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6200" cy="2673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ary Horizontal 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673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" w:hAnsi="Noto Sans"/>
          <w:b/>
          <w:color w:val="17365D"/>
          <w:sz w:val="46"/>
        </w:rPr>
        <w:t>LPCC LAW &amp; ETHICS — HIGH-YIELD COUNSELING ETHICS DECISION GUIDES</w:t>
      </w:r>
    </w:p>
    <w:p>
      <w:pPr>
        <w:jc w:val="center"/>
      </w:pPr>
      <w:r>
        <w:rPr>
          <w:rFonts w:ascii="Noto Sans" w:hAnsi="Noto Sans"/>
          <w:color w:val="1DA9A3"/>
          <w:sz w:val="24"/>
        </w:rPr>
        <w:t>Applied ethical-reasoning maps for California LPCC/APCC exam preparation</w:t>
      </w:r>
    </w:p>
    <w:p>
      <w:pPr>
        <w:jc w:val="center"/>
      </w:pPr>
      <w:r>
        <w:rPr>
          <w:rFonts w:ascii="Noto Sans" w:hAnsi="Noto Sans"/>
          <w:b/>
          <w:sz w:val="20"/>
        </w:rPr>
        <w:t>Version 1.1 | August 7, 2026</w:t>
      </w:r>
    </w:p>
    <w:p>
      <w:pPr>
        <w:jc w:val="center"/>
      </w:pPr>
      <w:r>
        <w:rPr>
          <w:rFonts w:ascii="Noto Sans" w:hAnsi="Noto Sans"/>
          <w:b/>
          <w:color w:val="17365D"/>
          <w:sz w:val="18"/>
        </w:rPr>
        <w:t>LEARNER RESOURCE | RELEASE VERSION | NO CE CREDIT</w:t>
      </w:r>
    </w:p>
    <w:p>
      <w:pPr>
        <w:jc w:val="center"/>
      </w:pPr>
      <w:r>
        <w:rPr>
          <w:rFonts w:ascii="Noto Sans" w:hAnsi="Noto Sans"/>
          <w:i/>
          <w:color w:val="1DA9A3"/>
          <w:sz w:val="20"/>
        </w:rPr>
        <w:t>Teaching Clinicians How to Think.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454"/>
            <w:shd w:fill="FFF4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ETHICS-SOURCE CURRENTNESS</w:t>
            </w:r>
            <w:r>
              <w:rPr>
                <w:rFonts w:ascii="Noto Sans" w:hAnsi="Noto Sans"/>
                <w:b/>
                <w:color w:val="17365D"/>
                <w:sz w:val="20"/>
              </w:rPr>
            </w:r>
          </w:p>
          <w:p>
            <w:r>
              <w:rPr>
                <w:rFonts w:ascii="Noto Sans" w:hAnsi="Noto Sans"/>
                <w:color w:val="1F2937"/>
                <w:sz w:val="19"/>
              </w:rPr>
              <w:t>This release uses the currently operative 2014 ACA Code of Ethics. CTA will compare and update affected guidance after any later official ACA Code is adopted and published.</w:t>
            </w:r>
          </w:p>
        </w:tc>
      </w:tr>
    </w:tbl>
    <w:p/>
    <w:p>
      <w:pPr>
        <w:pStyle w:val="Heading1"/>
      </w:pPr>
      <w:r>
        <w:t>Ethical Decision Sequence</w:t>
      </w:r>
    </w:p>
    <w:p>
      <w:pPr>
        <w:spacing w:after="100" w:line="252" w:lineRule="auto"/>
      </w:pPr>
      <w:r>
        <w:t>When law does not completely determine the answer, use a structured process: define the dilemma → identify stakeholders and power → check law and current professional standards → identify competence and role limits → compare harms/benefits and client preferences → choose the least harmful sufficient action → consult when useful → document and reassess.</w:t>
      </w:r>
    </w:p>
    <w:p>
      <w:pPr>
        <w:pStyle w:val="Heading2"/>
      </w:pPr>
      <w:r>
        <w:t>Client Welfare and Nonmaleficence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5328"/>
      </w:tblGrid>
      <w:tr>
        <w:trPr>
          <w:tblHeader w:val="true"/>
        </w:trPr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Ask</w:t>
            </w:r>
          </w:p>
        </w:tc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Stronger reasoning</w:t>
            </w:r>
          </w:p>
        </w:tc>
      </w:tr>
      <w:t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What foreseeable harm may result from action, omission, delay, or an impaired system?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Protect immediate safety; correct preventable risk; avoid both passive inaction and unnecessary intrusion.</w:t>
            </w:r>
          </w:p>
        </w:tc>
      </w:tr>
    </w:tbl>
    <w:p>
      <w:pPr>
        <w:pStyle w:val="Heading2"/>
      </w:pPr>
      <w:r>
        <w:t>Autonomy and Informed Participation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5328"/>
      </w:tblGrid>
      <w:tr>
        <w:trPr>
          <w:tblHeader w:val="true"/>
        </w:trPr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Ask</w:t>
            </w:r>
          </w:p>
        </w:tc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Stronger reasoning</w:t>
            </w:r>
          </w:p>
        </w:tc>
      </w:tr>
      <w:t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Does the client have understandable information and meaningful choice?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Support informed decision-making while preserving professional responsibility and lawful limits.</w:t>
            </w:r>
          </w:p>
        </w:tc>
      </w:tr>
    </w:tbl>
    <w:p>
      <w:pPr>
        <w:pStyle w:val="Heading2"/>
      </w:pPr>
      <w:r>
        <w:t>Competence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5328"/>
      </w:tblGrid>
      <w:tr>
        <w:trPr>
          <w:tblHeader w:val="true"/>
        </w:trPr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Ask</w:t>
            </w:r>
          </w:p>
        </w:tc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Stronger reasoning</w:t>
            </w:r>
          </w:p>
        </w:tc>
      </w:tr>
      <w:t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Is this counselor prepared for this service, population, technology, assessment, or role right now?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Identify the gap; assess risk; obtain training/supervision/consultation or modify/refer when necessary.</w:t>
            </w:r>
          </w:p>
        </w:tc>
      </w:tr>
    </w:tbl>
    <w:p>
      <w:pPr>
        <w:pStyle w:val="Heading2"/>
      </w:pPr>
      <w:r>
        <w:t>Professional Impairment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5328"/>
      </w:tblGrid>
      <w:tr>
        <w:trPr>
          <w:tblHeader w:val="true"/>
        </w:trPr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Ask</w:t>
            </w:r>
          </w:p>
        </w:tc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Stronger reasoning</w:t>
            </w:r>
          </w:p>
        </w:tc>
      </w:tr>
      <w:t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Is present functioning affecting judgment, reliability, or client safety?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Focus on observable function; take proportionate protective action; obtain assistance and reassess readiness.</w:t>
            </w:r>
          </w:p>
        </w:tc>
      </w:tr>
    </w:tbl>
    <w:p>
      <w:pPr>
        <w:pStyle w:val="Heading2"/>
      </w:pPr>
      <w:r>
        <w:t>Boundaries and Multiple Relationships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5328"/>
      </w:tblGrid>
      <w:tr>
        <w:trPr>
          <w:tblHeader w:val="true"/>
        </w:trPr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Ask</w:t>
            </w:r>
          </w:p>
        </w:tc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Stronger reasoning</w:t>
            </w:r>
          </w:p>
        </w:tc>
      </w:tr>
      <w:t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How do power, vulnerability, role conflict, dependency, alternatives, and treatment impact change the risk?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Do not treat consent or good intent as a complete safeguard; use transparency, consultation, documentation, and monitoring.</w:t>
            </w:r>
          </w:p>
        </w:tc>
      </w:tr>
    </w:tbl>
    <w:p>
      <w:pPr>
        <w:pStyle w:val="Heading2"/>
      </w:pPr>
      <w:r>
        <w:t>Sexual/Exploitative Conduct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5328"/>
      </w:tblGrid>
      <w:tr>
        <w:trPr>
          <w:tblHeader w:val="true"/>
        </w:trPr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Ask</w:t>
            </w:r>
          </w:p>
        </w:tc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Stronger reasoning</w:t>
            </w:r>
          </w:p>
        </w:tc>
      </w:tr>
      <w:t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Does the conduct exploit professional power or cross a heightened prohibition?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Recognize that ordinary boundary flexibility does not neutralize sexual exploitation risk.</w:t>
            </w:r>
          </w:p>
        </w:tc>
      </w:tr>
    </w:tbl>
    <w:p>
      <w:pPr>
        <w:pStyle w:val="Heading2"/>
      </w:pPr>
      <w:r>
        <w:t>Cultural Humility and Bias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5328"/>
      </w:tblGrid>
      <w:tr>
        <w:trPr>
          <w:tblHeader w:val="true"/>
        </w:trPr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Ask</w:t>
            </w:r>
          </w:p>
        </w:tc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Stronger reasoning</w:t>
            </w:r>
          </w:p>
        </w:tc>
      </w:tr>
      <w:t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Are assumptions, values, language, identity, disability, or systemic context distorting judgment?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Return to individualized facts, client meaning, accessibility, self-reflection, and appropriate consultation/resources.</w:t>
            </w:r>
          </w:p>
        </w:tc>
      </w:tr>
    </w:tbl>
    <w:p>
      <w:pPr>
        <w:pStyle w:val="Heading2"/>
      </w:pPr>
      <w:r>
        <w:t>Confidentiality and Information Sharing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5328"/>
      </w:tblGrid>
      <w:tr>
        <w:trPr>
          <w:tblHeader w:val="true"/>
        </w:trPr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Ask</w:t>
            </w:r>
          </w:p>
        </w:tc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Stronger reasoning</w:t>
            </w:r>
          </w:p>
        </w:tc>
      </w:tr>
      <w:t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What information is actually needed and what authority supports disclosure?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Use the minimum necessary/proportionate approach where applicable; do not disclose more simply because disclosure is legally possible.</w:t>
            </w:r>
          </w:p>
        </w:tc>
      </w:tr>
    </w:tbl>
    <w:p>
      <w:pPr>
        <w:pStyle w:val="Heading2"/>
      </w:pPr>
      <w:r>
        <w:t>Technology and Social Media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5328"/>
      </w:tblGrid>
      <w:tr>
        <w:trPr>
          <w:tblHeader w:val="true"/>
        </w:trPr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Ask</w:t>
            </w:r>
          </w:p>
        </w:tc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Stronger reasoning</w:t>
            </w:r>
          </w:p>
        </w:tc>
      </w:tr>
      <w:t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How do privacy, boundaries, competence, search behavior, recording, vendors, and access change the ethical risk?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Apply the same professional duties to the new medium; technology is not a waiver of confidentiality or boundaries.</w:t>
            </w:r>
          </w:p>
        </w:tc>
      </w:tr>
    </w:tbl>
    <w:p>
      <w:pPr>
        <w:pStyle w:val="Heading2"/>
      </w:pPr>
      <w:r>
        <w:t>Supervision and Gatekeeping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5328"/>
      </w:tblGrid>
      <w:tr>
        <w:trPr>
          <w:tblHeader w:val="true"/>
        </w:trPr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Ask</w:t>
            </w:r>
          </w:p>
        </w:tc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Stronger reasoning</w:t>
            </w:r>
          </w:p>
        </w:tc>
      </w:tr>
      <w:t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What duties are owed to the supervisee, clients, profession, and public?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Provide clear expectations, feedback, evaluation, remediation, documentation, and protective action when competence or impairment concerns persist.</w:t>
            </w:r>
          </w:p>
        </w:tc>
      </w:tr>
    </w:tbl>
    <w:p>
      <w:pPr>
        <w:pStyle w:val="Heading2"/>
      </w:pPr>
      <w:r>
        <w:t>Business Practices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5328"/>
      </w:tblGrid>
      <w:tr>
        <w:trPr>
          <w:tblHeader w:val="true"/>
        </w:trPr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Ask</w:t>
            </w:r>
          </w:p>
        </w:tc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Stronger reasoning</w:t>
            </w:r>
          </w:p>
        </w:tc>
      </w:tr>
      <w:t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Are fees, billing, referral arrangements, testimonials, advertising, or financial interests influencing care?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Prioritize transparency, accuracy, informed choice, nonexploitation, and avoidance of misleading claims/conflicts.</w:t>
            </w:r>
          </w:p>
        </w:tc>
      </w:tr>
    </w:tbl>
    <w:p>
      <w:pPr>
        <w:pStyle w:val="Heading2"/>
      </w:pPr>
      <w:r>
        <w:t>Colleague Ethical Concerns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5328"/>
      </w:tblGrid>
      <w:tr>
        <w:trPr>
          <w:tblHeader w:val="true"/>
        </w:trPr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Ask</w:t>
            </w:r>
          </w:p>
        </w:tc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Stronger reasoning</w:t>
            </w:r>
          </w:p>
        </w:tc>
      </w:tr>
      <w:t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Is there client danger, impairment, misconduct, or a lower-acuity concern?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Match urgency to risk; protect clients first when necessary; use consultation/direct resolution/reporting only as supported by facts and applicable rules.</w:t>
            </w:r>
          </w:p>
        </w:tc>
      </w:tr>
    </w:tbl>
    <w:p>
      <w:pPr>
        <w:pStyle w:val="Heading2"/>
      </w:pPr>
      <w:r>
        <w:t>Termination and Continuity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5328"/>
      </w:tblGrid>
      <w:tr>
        <w:trPr>
          <w:tblHeader w:val="true"/>
        </w:trPr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Ask</w:t>
            </w:r>
          </w:p>
        </w:tc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Stronger reasoning</w:t>
            </w:r>
          </w:p>
        </w:tc>
      </w:tr>
      <w:t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Is treatment no longer beneficial, feasible, competent, safe, or available?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Avoid abrupt abandonment; discuss transition, provide appropriate notice/referrals when possible, address risk, and document continuity planning.</w:t>
            </w:r>
          </w:p>
        </w:tc>
      </w:tr>
    </w:tbl>
    <w:p>
      <w:pPr>
        <w:pStyle w:val="Heading2"/>
      </w:pPr>
      <w:r>
        <w:t>Records and Professional Integrity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5328"/>
      </w:tblGrid>
      <w:tr>
        <w:trPr>
          <w:tblHeader w:val="true"/>
        </w:trPr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Ask</w:t>
            </w:r>
          </w:p>
        </w:tc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Stronger reasoning</w:t>
            </w:r>
          </w:p>
        </w:tc>
      </w:tr>
      <w:t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Would the record accurately show what happened and why?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Document material facts and reasoning; correct transparently; never fabricate, backdate, or conceal.</w:t>
            </w:r>
          </w:p>
        </w:tc>
      </w:tr>
    </w:tbl>
    <w:p>
      <w:pPr>
        <w:pStyle w:val="Heading1"/>
      </w:pPr>
      <w:r>
        <w:t>Common Ethical Distractor Patterns</w:t>
      </w:r>
    </w:p>
    <w:p>
      <w:pPr>
        <w:pStyle w:val="ListBullet"/>
        <w:spacing w:after="40"/>
      </w:pPr>
      <w:r>
        <w:t>Absolute secrecy or disclosure when the facts call for a narrower, conditional response.</w:t>
      </w:r>
    </w:p>
    <w:p>
      <w:pPr>
        <w:pStyle w:val="ListBullet"/>
        <w:spacing w:after="40"/>
      </w:pPr>
      <w:r>
        <w:t>Automatic termination/referral before assessing urgency, competence, alternatives, and continuity.</w:t>
      </w:r>
    </w:p>
    <w:p>
      <w:pPr>
        <w:pStyle w:val="ListBullet"/>
        <w:spacing w:after="40"/>
      </w:pPr>
      <w:r>
        <w:t>Client consent presented as if it eliminates power, exploitation, scope, or competence concerns.</w:t>
      </w:r>
    </w:p>
    <w:p>
      <w:pPr>
        <w:pStyle w:val="ListBullet"/>
        <w:spacing w:after="40"/>
      </w:pPr>
      <w:r>
        <w:t>A supervisor, attorney, colleague, employer, or policy used as if it transfers the counselor’s responsibility.</w:t>
      </w:r>
    </w:p>
    <w:p>
      <w:pPr>
        <w:pStyle w:val="ListBullet"/>
        <w:spacing w:after="40"/>
      </w:pPr>
      <w:r>
        <w:t>A diagnosis, identity, or stressor treated as proof of impairment or incompetence without functional evidence.</w:t>
      </w:r>
    </w:p>
    <w:p>
      <w:pPr>
        <w:pStyle w:val="ListBullet"/>
        <w:spacing w:after="40"/>
      </w:pPr>
      <w:r>
        <w:t>A “safe” sounding answer that is actually more intrusive than necessary.</w:t>
      </w:r>
    </w:p>
    <w:p>
      <w:pPr>
        <w:pStyle w:val="ListBullet"/>
        <w:spacing w:after="40"/>
      </w:pPr>
      <w:r>
        <w:t>Documentation offered instead of the clinically or legally necessary action.</w:t>
      </w:r>
    </w:p>
    <w:p>
      <w:pPr>
        <w:pStyle w:val="ListBullet"/>
        <w:spacing w:after="40"/>
      </w:pPr>
      <w:r>
        <w:t>Good intentions offered instead of current source authority and careful reasoning.</w:t>
      </w:r>
    </w:p>
    <w:p>
      <w:pPr>
        <w:pStyle w:val="Heading1"/>
      </w:pPr>
      <w:r>
        <w:t>Source Basis and Currency Control</w:t>
      </w:r>
    </w:p>
    <w:p>
      <w:pPr>
        <w:spacing w:after="100" w:line="252" w:lineRule="auto"/>
      </w:pPr>
      <w:r>
        <w:t>Source review date: August 7, 2026. California law and current official examination materials control if later changes conflict with this resource. The 2014 ACA Code of Ethics is the operative counseling-ethics source used for this release. CTA will update this resource when a later official ethics code or other material source change becomes effective.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5616"/>
      </w:tblGrid>
      <w:tr>
        <w:trPr>
          <w:tblHeader w:val="true"/>
        </w:trPr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5"/>
              </w:rPr>
              <w:t>Official source</w:t>
            </w:r>
          </w:p>
        </w:tc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5"/>
              </w:rPr>
              <w:t>Reference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Board of Behavioral Sciences — California Law and Ethics Examination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https://www.bbs.ca.gov/exams/calaw_ethics.html</w:t>
            </w:r>
          </w:p>
        </w:tc>
      </w:tr>
      <w:tr>
        <w:tc>
          <w:tcPr>
            <w:tcW w:type="dxa" w:w="360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Board of Behavioral Sciences — 2026 Statutes and Regulations</w:t>
            </w:r>
          </w:p>
        </w:tc>
        <w:tc>
          <w:tcPr>
            <w:tcW w:type="dxa" w:w="56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https://www.bbs.ca.gov/pdf/publications/lawsregs.pdf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Board of Behavioral Sciences — Law Changes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https://www.bbs.ca.gov/about/law_changes.html</w:t>
            </w:r>
          </w:p>
        </w:tc>
      </w:tr>
      <w:tr>
        <w:tc>
          <w:tcPr>
            <w:tcW w:type="dxa" w:w="360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Pearson VUE — California BBS examination resources</w:t>
            </w:r>
          </w:p>
        </w:tc>
        <w:tc>
          <w:tcPr>
            <w:tcW w:type="dxa" w:w="56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https://www.pearsonvue.com/us/en/bbs.html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American Counseling Association — Ethics Resources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https://www.counseling.org/resources/ethics</w:t>
            </w:r>
          </w:p>
        </w:tc>
      </w:tr>
      <w:tr>
        <w:tc>
          <w:tcPr>
            <w:tcW w:type="dxa" w:w="360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American Counseling Association — 2026 Code Revision Project</w:t>
            </w:r>
          </w:p>
        </w:tc>
        <w:tc>
          <w:tcPr>
            <w:tcW w:type="dxa" w:w="56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https://manifold.counseling.org/projects/aca-code-of-ethics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Legislative Information — Penal Code §11166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https://leginfo.legislature.ca.gov/faces/codes_displaySection.xhtml?lawCode=PEN&amp;sectionNum=11166.</w:t>
            </w:r>
          </w:p>
        </w:tc>
      </w:tr>
      <w:tr>
        <w:tc>
          <w:tcPr>
            <w:tcW w:type="dxa" w:w="360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Legislative Information — Family Code §6924</w:t>
            </w:r>
          </w:p>
        </w:tc>
        <w:tc>
          <w:tcPr>
            <w:tcW w:type="dxa" w:w="56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https://leginfo.legislature.ca.gov/faces/codes_displaySection.xhtml?lawCode=FAM&amp;sectionNum=6924.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Legislative Information — Health &amp; Safety Code §123110 et seq.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https://leginfo.legislature.ca.gov/faces/codes_displayText.xhtml?article=&amp;chapter=1.&amp;division=106.&amp;lawCode=HSC&amp;part=1.&amp;title=</w:t>
            </w:r>
          </w:p>
        </w:tc>
      </w:tr>
      <w:tr>
        <w:tc>
          <w:tcPr>
            <w:tcW w:type="dxa" w:w="360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Legislative Information — Welfare &amp; Institutions Code §15630</w:t>
            </w:r>
          </w:p>
        </w:tc>
        <w:tc>
          <w:tcPr>
            <w:tcW w:type="dxa" w:w="56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https://leginfo.legislature.ca.gov/faces/codes_displaySection.xhtml?lawCode=WIC&amp;sectionNum=15630.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454"/>
            <w:shd w:fill="FFF4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CURRENTNESS AND UPDATE CONTROL</w:t>
            </w:r>
            <w:r>
              <w:rPr>
                <w:rFonts w:ascii="Noto Sans" w:hAnsi="Noto Sans"/>
                <w:b/>
                <w:color w:val="17365D"/>
                <w:sz w:val="20"/>
              </w:rPr>
            </w:r>
          </w:p>
          <w:p>
            <w:r>
              <w:rPr>
                <w:rFonts w:ascii="Noto Sans" w:hAnsi="Noto Sans"/>
                <w:color w:val="1F2937"/>
                <w:sz w:val="19"/>
              </w:rPr>
              <w:t>Approved for learner use under CTA-EP-003. Learners should review current official examination and licensing materials near their examination date. CTA will version and update this resource when material official requirements or ethics standards change.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/>
        <w:color w:val="6E7681"/>
        <w:sz w:val="16"/>
      </w:rPr>
      <w:t>CTA | LPCC California Law &amp; Ethics Exam Preparation | LEARNER RESOURCE | RELEASE VERSION | NO CE CREDIT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57400" cy="141514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rimary Horizontal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141514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/>
      <w:b/>
      <w:bCs/>
      <w:color w:val="1DA9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