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HIGH-YIELD CALIFORNIA LAW DECISION GUIDES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Printable decision maps, legal triggers, and applied law-reasoning tools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" w:hAnsi="Noto Sans"/>
                <w:b/>
                <w:color w:val="17365D"/>
                <w:sz w:val="20"/>
              </w:rPr>
              <w:t>CTA LEGAL DECISION SEQUENCE</w:t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Authority → Trigger → Required action → Timing → Minimum necessary disclosure/action → Documentation. Start with the legal actor and source before choosing a clinically appealing response.</w:t>
            </w:r>
          </w:p>
        </w:tc>
      </w:tr>
    </w:tbl>
    <w:p/>
    <w:p>
      <w:pPr>
        <w:pStyle w:val="Heading2"/>
      </w:pPr>
      <w:r>
        <w:t>1. Universal Legal Decision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Any law-based vignette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Who is acting? What current statute/regulation controls? What fact triggers it? What action and timing follow?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actor → locate trigger → apply exact rule → take least excessive compliant action → document.</w:t>
            </w:r>
          </w:p>
        </w:tc>
      </w:tr>
    </w:tbl>
    <w:p>
      <w:pPr>
        <w:pStyle w:val="Heading2"/>
      </w:pPr>
      <w:r>
        <w:t>2. LPCC/APCC Status, Scope, and Setting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LPCC, APCC, trainee, supervisor, assessment/testing, independent practice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the person legally authorized in this role and setting before competence is considered?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Status → setting/employment/supervision → statutory scope → individual competence → referral/support if needed.</w:t>
            </w:r>
          </w:p>
        </w:tc>
      </w:tr>
    </w:tbl>
    <w:p>
      <w:pPr>
        <w:pStyle w:val="Heading2"/>
      </w:pPr>
      <w:r>
        <w:t>3. Required Notices and Advertising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website, profile, directory, social media, business card, associate title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exact professional identification and registrant information must appear?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Use filed first/last name, correct title/abbreviation, number; registrants add employer/entity and supervised status; do not imply independent licensure.</w:t>
            </w:r>
          </w:p>
        </w:tc>
      </w:tr>
    </w:tbl>
    <w:p>
      <w:pPr>
        <w:pStyle w:val="Heading2"/>
      </w:pPr>
      <w:r>
        <w:t>4. Telehealth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video/phone/asynchronous care, client travel, changing location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Where is the client now, and what initiation/every-session duties apply?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At initiation: consent, risks/limits, credential information, local resources. Each session: full name + present address, appropriateness, privacy/security. For other jurisdictions, verify authority there.</w:t>
            </w:r>
          </w:p>
        </w:tc>
      </w:tr>
    </w:tbl>
    <w:p>
      <w:pPr>
        <w:pStyle w:val="Heading2"/>
      </w:pPr>
      <w:r>
        <w:t>5. Interstate and Temporary Practice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client outside California, out-of-state counselor’s existing client visits California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Which jurisdiction regulates the service and does a narrow temporary allowance apply?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Do not infer portability. Verify destination law. California’s out-of-state PCC allowance is narrow, conditional, and time-limited.</w:t>
            </w:r>
          </w:p>
        </w:tc>
      </w:tr>
    </w:tbl>
    <w:p>
      <w:pPr>
        <w:pStyle w:val="Heading2"/>
      </w:pPr>
      <w:r>
        <w:t>6. Minor Consent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minor requests therapy, parent objects, custody issue, confidentiality request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Who has authority for this specific service?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Emergency? → custody/guardian/other adult authority → independent minor-consent statute → service limits → parent involvement → confidentiality/access → document.</w:t>
            </w:r>
          </w:p>
        </w:tc>
      </w:tr>
    </w:tbl>
    <w:p>
      <w:pPr>
        <w:pStyle w:val="Heading2"/>
      </w:pPr>
      <w:r>
        <w:t>7. Confidentiality vs. Privilege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records request, attorney, testimony, subpoena, multi-person treatment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the question about professional disclosure or courtroom evidentiary privilege?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client/treatment unit → requester → privilege holder → authorization/exception/order → minimum necessary response → document.</w:t>
            </w:r>
          </w:p>
        </w:tc>
      </w:tr>
    </w:tbl>
    <w:p>
      <w:pPr>
        <w:pStyle w:val="Heading2"/>
      </w:pPr>
      <w:r>
        <w:t>8. Authorizations and Releases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signed ROI, revocation, vague release, third-party request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the authorization valid for this information, recipient, purpose, and time period?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Verify authority, scope, recipient, purpose, expiration/revocation, and any special protection before disclosure.</w:t>
            </w:r>
          </w:p>
        </w:tc>
      </w:tr>
    </w:tbl>
    <w:p>
      <w:pPr>
        <w:pStyle w:val="Heading2"/>
      </w:pPr>
      <w:r>
        <w:t>9. Child Abuse Reporting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reasonable suspicion, client asks counselor not to report, colleague says “wait”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Has the CANRA threshold been met?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Report according to statutory timing; do not substitute supervisor notice or pre-report investigation; disclose/report what the statute requires and document.</w:t>
            </w:r>
          </w:p>
        </w:tc>
      </w:tr>
    </w:tbl>
    <w:p>
      <w:pPr>
        <w:pStyle w:val="Heading2"/>
      </w:pPr>
      <w:r>
        <w:t>10. Elder/Dependent Adult Reporting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physical abuse, neglect, financial abuse, facility context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setting and type of abuse control the reporting path and timeline?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Start with the general immediate/as-soon-as-practicable rule; identify special long-term-care/state-facility timelines before selecting an exact deadline.</w:t>
            </w:r>
          </w:p>
        </w:tc>
      </w:tr>
    </w:tbl>
    <w:p>
      <w:pPr>
        <w:pStyle w:val="Heading2"/>
      </w:pPr>
      <w:r>
        <w:t>11. Duty to Protect / Acute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communicated serious threat, danger facts, emergency response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statutory trigger is present and what protective step is required or permitted?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Separate a statutory duty-to-protect analysis from broader clinical risk management. Protect immediate safety without inventing a disclosure duty that the facts do not trigger.</w:t>
            </w:r>
          </w:p>
        </w:tc>
      </w:tr>
    </w:tbl>
    <w:p>
      <w:pPr>
        <w:pStyle w:val="Heading2"/>
      </w:pPr>
      <w:r>
        <w:t>12. Client Record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inspection, copies, parent request, self-consenting minor, unpaid fees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Who is requesting what records under what authority?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requester → applicable access right → timeline → narrow statutory restriction if any → notice/review procedure → document.</w:t>
            </w:r>
          </w:p>
        </w:tc>
      </w:tr>
    </w:tbl>
    <w:p>
      <w:pPr>
        <w:pStyle w:val="Heading2"/>
      </w:pPr>
      <w:r>
        <w:t>13. Record Retention, Security, and Destruction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closing practice, old file, cloud storage, legal hold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What minimum period applies, and is destruction actually permitted now?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Calculate statutory retention endpoint → check legal hold/complaint/audit/contract needs → protect records while retained → destroy confidentially only when lawful.</w:t>
            </w:r>
          </w:p>
        </w:tc>
      </w:tr>
    </w:tbl>
    <w:p>
      <w:pPr>
        <w:pStyle w:val="Heading2"/>
      </w:pPr>
      <w:r>
        <w:t>14. Fees and Business Practices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34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Use it when you see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question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Decision sequence</w:t>
            </w:r>
          </w:p>
        </w:tc>
      </w:tr>
      <w:tr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fee change, billing, referral payment, misleading claim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Is there a statutory/professional disclosure, fraud, or conflict issue?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Disclose material fees before enforcement; keep billing accurate; do not use financial arrangements to distort client choice or professional judgment.</w:t>
            </w:r>
          </w:p>
        </w:tc>
      </w:tr>
    </w:tbl>
    <w:p>
      <w:pPr>
        <w:pStyle w:val="Heading1"/>
      </w:pPr>
      <w:r>
        <w:t>Law vs. Ethics Sorting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5256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Prompt language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Primary lens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How to answer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“Legally required,” “must,” “mandated”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Law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statute/regulation and required procedure; apply the trigger and timing exactly.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“Permitted,” “may disclose”</w:t>
            </w:r>
          </w:p>
        </w:tc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Law + judgment</w:t>
            </w:r>
          </w:p>
        </w:tc>
        <w:tc>
          <w:tcPr>
            <w:tcW w:type="dxa" w:w="52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First establish legal permission, then ask whether the amount and method are proportionate and ethically sound.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“Most ethical,” “best protects”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Ethics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Choose the option best supporting welfare, autonomy, integrity, competence, and continuity while respecting law.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“First” / “initial”</w:t>
            </w:r>
          </w:p>
        </w:tc>
        <w:tc>
          <w:tcPr>
            <w:tcW w:type="dxa" w:w="172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Sequence</w:t>
            </w:r>
          </w:p>
        </w:tc>
        <w:tc>
          <w:tcPr>
            <w:tcW w:type="dxa" w:w="525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Select the necessary verification, assessment, or protective step before later action.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“Next”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Implementation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Assume the necessary prior step has occurred; choose the next appropriate action.</w:t>
            </w:r>
          </w:p>
        </w:tc>
      </w:tr>
    </w:tbl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