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6200" cy="2673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Horizontal 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673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" w:hAnsi="Noto Sans"/>
          <w:b/>
          <w:color w:val="17365D"/>
          <w:sz w:val="46"/>
        </w:rPr>
        <w:t>LPCC LAW &amp; ETHICS — HIGH-YIELD NUMBERS, TIMELINES &amp; TRIGGER WORDS</w:t>
      </w:r>
    </w:p>
    <w:p>
      <w:pPr>
        <w:jc w:val="center"/>
      </w:pPr>
      <w:r>
        <w:rPr>
          <w:rFonts w:ascii="Noto Sans" w:hAnsi="Noto Sans"/>
          <w:color w:val="1DA9A3"/>
          <w:sz w:val="24"/>
        </w:rPr>
        <w:t>A quick-reference and active-recall workbook for rules that turn on age, timing, frequency, or sequence</w:t>
      </w:r>
    </w:p>
    <w:p>
      <w:pPr>
        <w:jc w:val="center"/>
      </w:pPr>
      <w:r>
        <w:rPr>
          <w:rFonts w:ascii="Noto Sans" w:hAnsi="Noto Sans"/>
          <w:b/>
          <w:sz w:val="20"/>
        </w:rPr>
        <w:t>Version 1.1 | August 7, 2026</w:t>
      </w:r>
    </w:p>
    <w:p>
      <w:pPr>
        <w:jc w:val="center"/>
      </w:pPr>
      <w:r>
        <w:rPr>
          <w:rFonts w:ascii="Noto Sans" w:hAnsi="Noto Sans"/>
          <w:b/>
          <w:color w:val="17365D"/>
          <w:sz w:val="18"/>
        </w:rPr>
        <w:t>LEARNER RESOURCE | RELEASE VERSION | NO CE CREDIT</w:t>
      </w:r>
    </w:p>
    <w:p>
      <w:pPr>
        <w:jc w:val="center"/>
      </w:pPr>
      <w:r>
        <w:rPr>
          <w:rFonts w:ascii="Noto Sans" w:hAnsi="Noto Sans"/>
          <w:i/>
          <w:color w:val="1DA9A3"/>
          <w:sz w:val="20"/>
        </w:rPr>
        <w:t>Teaching Clinicians How to Think.</w:t>
      </w:r>
    </w:p>
    <w:p>
      <w:r>
        <w:br w:type="page"/>
      </w:r>
    </w:p>
    <w:p>
      <w:pPr>
        <w:pStyle w:val="Heading1"/>
      </w:pPr>
      <w:r>
        <w:t>How to Use This Toolkit</w:t>
      </w:r>
    </w:p>
    <w:p>
      <w:pPr>
        <w:spacing w:after="100" w:line="252" w:lineRule="auto"/>
      </w:pPr>
      <w:r>
        <w:t>Numbers are high-yield only when tied to the correct actor, trigger, and rule. Do not memorize a number without knowing what event starts the clock and whether a special setting creates an exception.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944"/>
        <w:gridCol w:w="3888"/>
        <w:gridCol w:w="1152"/>
      </w:tblGrid>
      <w:tr>
        <w:trPr>
          <w:tblHeader w:val="true"/>
        </w:trPr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Number / timing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What it controls</w:t>
            </w:r>
          </w:p>
        </w:tc>
        <w:tc>
          <w:tcPr>
            <w:tcW w:type="dxa" w:w="261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Trigger words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Exam participation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Annually until passed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Associate renewal obligation; passage is required for a subsequent Associate registration.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annual / subsequent registration</w:t>
            </w:r>
          </w:p>
        </w:tc>
      </w:tr>
      <w:tr>
        <w:tc>
          <w:tcPr>
            <w:tcW w:type="dxa" w:w="230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Law &amp; Ethics re-exam</w:t>
            </w:r>
          </w:p>
        </w:tc>
        <w:tc>
          <w:tcPr>
            <w:tcW w:type="dxa" w:w="194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90-day waiting period</w:t>
            </w:r>
          </w:p>
        </w:tc>
        <w:tc>
          <w:tcPr>
            <w:tcW w:type="dxa" w:w="388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BBS does not send re-exam eligibility to Pearson VUE until the waiting period from the last attempt has elapsed.</w:t>
            </w:r>
          </w:p>
        </w:tc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re-exam / last attempt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Official LPCC blueprint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44% Law / 56% Ethics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Current LPCC Law &amp; Ethics outline weighting used by CTA for cumulative-form coverage.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Law / Ethics weighting</w:t>
            </w:r>
          </w:p>
        </w:tc>
      </w:tr>
      <w:tr>
        <w:tc>
          <w:tcPr>
            <w:tcW w:type="dxa" w:w="230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Minor outpatient mental-health consent</w:t>
            </w:r>
          </w:p>
        </w:tc>
        <w:tc>
          <w:tcPr>
            <w:tcW w:type="dxa" w:w="194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Age 12 or older + sufficient maturity</w:t>
            </w:r>
          </w:p>
        </w:tc>
        <w:tc>
          <w:tcPr>
            <w:tcW w:type="dxa" w:w="388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For qualifying services, the attending professional determines whether the minor is mature enough to participate intelligently.</w:t>
            </w:r>
          </w:p>
        </w:tc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minor / 12 / mature enough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LPCC health-service record retention — adult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Minimum 7 years after therapy terminates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BPC §4999.75.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records / termination / seven years</w:t>
            </w:r>
          </w:p>
        </w:tc>
      </w:tr>
      <w:tr>
        <w:tc>
          <w:tcPr>
            <w:tcW w:type="dxa" w:w="230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LPCC health-service record retention — minor</w:t>
            </w:r>
          </w:p>
        </w:tc>
        <w:tc>
          <w:tcPr>
            <w:tcW w:type="dxa" w:w="194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Minimum 7 years from the date the client reaches age 18</w:t>
            </w:r>
          </w:p>
        </w:tc>
        <w:tc>
          <w:tcPr>
            <w:tcW w:type="dxa" w:w="388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BPC §4999.75; do not substitute an adult-termination calculation.</w:t>
            </w:r>
          </w:p>
        </w:tc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minor records / age 18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Patient record inspection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Within 5 working days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California patient-access law; identify requester and any lawful restriction first.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inspect / working days</w:t>
            </w:r>
          </w:p>
        </w:tc>
      </w:tr>
      <w:tr>
        <w:tc>
          <w:tcPr>
            <w:tcW w:type="dxa" w:w="230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Patient record copies</w:t>
            </w:r>
          </w:p>
        </w:tc>
        <w:tc>
          <w:tcPr>
            <w:tcW w:type="dxa" w:w="194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Within 15 days</w:t>
            </w:r>
          </w:p>
        </w:tc>
        <w:tc>
          <w:tcPr>
            <w:tcW w:type="dxa" w:w="388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California patient-access law; distinguish inspection from copies.</w:t>
            </w:r>
          </w:p>
        </w:tc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copies / 15 days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Child abuse mandated report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Initial report immediately or as soon as practicably possible; written follow-up within 36 hours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General CANRA sequence; internal notice to a supervisor is not a substitute.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reasonable suspicion / 36 hours</w:t>
            </w:r>
          </w:p>
        </w:tc>
      </w:tr>
      <w:tr>
        <w:tc>
          <w:tcPr>
            <w:tcW w:type="dxa" w:w="230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Elder/dependent adult abuse — general rule</w:t>
            </w:r>
          </w:p>
        </w:tc>
        <w:tc>
          <w:tcPr>
            <w:tcW w:type="dxa" w:w="194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Immediately or as soon as practicably possible; written/internet follow-up within 2 working days if initially reported by telephone</w:t>
            </w:r>
          </w:p>
        </w:tc>
        <w:tc>
          <w:tcPr>
            <w:tcW w:type="dxa" w:w="388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Special long-term-care/state-facility timelines may differ.</w:t>
            </w:r>
          </w:p>
        </w:tc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elder / dependent adult / two working days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Out-of-state PCC temporary practice in California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Up to 30 consecutive days in a calendar year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Narrow BPC §4999.23 allowance for qualifying independently licensed out-of-state counselors and existing clients, with additional conditions and Board notice.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existing client / visiting California / 30 consecutive days</w:t>
            </w:r>
          </w:p>
        </w:tc>
      </w:tr>
      <w:tr>
        <w:tc>
          <w:tcPr>
            <w:tcW w:type="dxa" w:w="230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Telehealth — every session</w:t>
            </w:r>
          </w:p>
        </w:tc>
        <w:tc>
          <w:tcPr>
            <w:tcW w:type="dxa" w:w="194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At the beginning of each session</w:t>
            </w:r>
          </w:p>
        </w:tc>
        <w:tc>
          <w:tcPr>
            <w:tcW w:type="dxa" w:w="388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Verbally obtain and document client full name and present address; assess appropriateness.</w:t>
            </w:r>
          </w:p>
        </w:tc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present address / each session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APCC advertising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Every advertisement</w:t>
            </w:r>
          </w:p>
        </w:tc>
        <w:tc>
          <w:tcPr>
            <w:tcW w:type="dxa" w:w="38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Use required professional identification; registrants include employer/volunteer entity and that they are supervised by a licensed person. “APCC” cannot stand alone without the complete registered title.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advertising / APCC / supervised</w:t>
            </w:r>
          </w:p>
        </w:tc>
      </w:tr>
      <w:tr>
        <w:tc>
          <w:tcPr>
            <w:tcW w:type="dxa" w:w="230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Notice to Clients</w:t>
            </w:r>
          </w:p>
        </w:tc>
        <w:tc>
          <w:tcPr>
            <w:tcW w:type="dxa" w:w="194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Before psychotherapy or as soon as practicably possible thereafter</w:t>
            </w:r>
          </w:p>
        </w:tc>
        <w:tc>
          <w:tcPr>
            <w:tcW w:type="dxa" w:w="388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On/after July 1, 2025, notice also includes filed name, credential type/number, and expiration date; delivery is documented.</w:t>
            </w:r>
          </w:p>
        </w:tc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notice / before psychotherapy</w:t>
            </w:r>
          </w:p>
        </w:tc>
      </w:tr>
    </w:tbl>
    <w:p>
      <w:pPr>
        <w:pStyle w:val="Heading1"/>
      </w:pPr>
      <w:r>
        <w:t>Trigger Words That Change the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984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Exam reasoning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FIRST / INITIAL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Select the necessary assessment, verification, or protective step before a later implementation action.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NEXT</w:t>
            </w:r>
          </w:p>
        </w:tc>
        <w:tc>
          <w:tcPr>
            <w:tcW w:type="dxa" w:w="69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Assume the prior necessary step has occurred; choose the next proportional action.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BEST / MOST APPROPRIATE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Compare plausible responses and choose the most complete, lawful, proportionate, client-protective option.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LEGALLY REQUIRED / MUST</w:t>
            </w:r>
          </w:p>
        </w:tc>
        <w:tc>
          <w:tcPr>
            <w:tcW w:type="dxa" w:w="69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Identify controlling statute or regulation; do not substitute a preferred ethical practice for a mandatory rule.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PERMITTED / MAY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Permission does not always mean the action is ethically best; assess minimum necessary disclosure, welfare, and proportionality.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REASONABLE SUSPICION</w:t>
            </w:r>
          </w:p>
        </w:tc>
        <w:tc>
          <w:tcPr>
            <w:tcW w:type="dxa" w:w="69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The reporting threshold is not proof or certainty; do not conduct a collateral investigation before fulfilling a mandated duty.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PRESENT ADDRESS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Think telehealth each-session location verification and safety/jurisdiction planning.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MINOR / PARENT / CUSTODY</w:t>
            </w:r>
          </w:p>
        </w:tc>
        <w:tc>
          <w:tcPr>
            <w:tcW w:type="dxa" w:w="69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Separate authority to consent, parent involvement, confidentiality, and record access.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SUBPOENA / COURT ORDER / TESTIMONY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Identify the legal document, privilege holder, scope, and required response before disclosing.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RECORD REQUEST</w:t>
            </w:r>
          </w:p>
        </w:tc>
        <w:tc>
          <w:tcPr>
            <w:tcW w:type="dxa" w:w="69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Identify requester and governing access rule; nonpayment or clinician discomfort is not itself a lawful ground for denial.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IMMEDIATE DANGER / ACUTE RISK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Protect safety first within lawful role; do not let routine paperwork delay necessary intervention.</w:t>
            </w:r>
          </w:p>
        </w:tc>
      </w:tr>
      <w:tr>
        <w:tc>
          <w:tcPr>
            <w:tcW w:type="dxa" w:w="223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IMPAIRMENT</w:t>
            </w:r>
          </w:p>
        </w:tc>
        <w:tc>
          <w:tcPr>
            <w:tcW w:type="dxa" w:w="69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Look for functional impact on judgment, reliability, or safety—not a diagnosis or stressor alone.</w:t>
            </w:r>
          </w:p>
        </w:tc>
      </w:tr>
    </w:tbl>
    <w:p>
      <w:pPr>
        <w:pStyle w:val="Heading1"/>
      </w:pPr>
      <w:r>
        <w:t>Active Recall</w:t>
      </w:r>
    </w:p>
    <w:p>
      <w:pPr>
        <w:spacing w:after="100" w:line="252" w:lineRule="auto"/>
      </w:pPr>
      <w:r>
        <w:t>☐ What event starts the seven-year LPCC adult record-retention clock?  ______________________________________________________________</w:t>
      </w:r>
    </w:p>
    <w:p>
      <w:pPr>
        <w:spacing w:after="100" w:line="252" w:lineRule="auto"/>
      </w:pPr>
      <w:r>
        <w:t>☐ What is different about the minor record-retention endpoint?  ______________________________________________________________</w:t>
      </w:r>
    </w:p>
    <w:p>
      <w:pPr>
        <w:spacing w:after="100" w:line="252" w:lineRule="auto"/>
      </w:pPr>
      <w:r>
        <w:t>☐ What two elements form the current California minor-consent threshold for qualifying outpatient mental-health care?  ______________________________________________________________</w:t>
      </w:r>
    </w:p>
    <w:p>
      <w:pPr>
        <w:spacing w:after="100" w:line="252" w:lineRule="auto"/>
      </w:pPr>
      <w:r>
        <w:t>☐ What must be obtained and documented at the beginning of every telehealth session?  ______________________________________________________________</w:t>
      </w:r>
    </w:p>
    <w:p>
      <w:pPr>
        <w:spacing w:after="100" w:line="252" w:lineRule="auto"/>
      </w:pPr>
      <w:r>
        <w:t>☐ What additional information must a registrant include in advertising?  ______________________________________________________________</w:t>
      </w:r>
    </w:p>
    <w:p>
      <w:pPr>
        <w:spacing w:after="100" w:line="252" w:lineRule="auto"/>
      </w:pPr>
      <w:r>
        <w:t>☐ What is the general CANRA report sequence?  ______________________________________________________________</w:t>
      </w:r>
    </w:p>
    <w:p>
      <w:pPr>
        <w:spacing w:after="100" w:line="252" w:lineRule="auto"/>
      </w:pPr>
      <w:r>
        <w:t>☐ What is the general elder/dependent-adult reporting sequence, and when might special facility rules change it?  ______________________________________________________________</w:t>
      </w:r>
    </w:p>
    <w:p>
      <w:pPr>
        <w:spacing w:after="100" w:line="252" w:lineRule="auto"/>
      </w:pPr>
      <w:r>
        <w:t>☐ Why is “30 days” not a general interstate-practice permission?  ______________________________________________________________</w:t>
      </w:r>
    </w:p>
    <w:p>
      <w:pPr>
        <w:pStyle w:val="Heading1"/>
      </w:pPr>
      <w:r>
        <w:t>Source Basis and Currency Control</w:t>
      </w:r>
    </w:p>
    <w:p>
      <w:pPr>
        <w:spacing w:after="100" w:line="252" w:lineRule="auto"/>
      </w:pPr>
      <w:r>
        <w:t>Source review date: August 7, 2026. California law and current official examination materials control if later changes conflict with this resource. The 2014 ACA Code of Ethics is the operative counseling-ethics source used for this release. CTA will update this resource when a later official ethics code or other material source change becomes effective.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616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5"/>
              </w:rPr>
              <w:t>Official source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5"/>
              </w:rPr>
              <w:t>Reference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California Law and Ethics Examination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https://www.bbs.ca.gov/exams/calaw_ethics.html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2026 Statutes and Regulations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https://www.bbs.ca.gov/pdf/publications/lawsregs.pdf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Law Changes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https://www.bbs.ca.gov/about/law_changes.html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Pearson VUE — California BBS examination resources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https://www.pearsonvue.com/us/en/bbs.html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American Counseling Association — Ethics Resources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https://www.counseling.org/resources/ethics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American Counseling Association — 2026 Code Revision Project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https://manifold.counseling.org/projects/aca-code-of-ethics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Penal Code §11166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https://leginfo.legislature.ca.gov/faces/codes_displaySection.xhtml?lawCode=PEN&amp;sectionNum=11166.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Family Code §6924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https://leginfo.legislature.ca.gov/faces/codes_displaySection.xhtml?lawCode=FAM&amp;sectionNum=6924.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Health &amp; Safety Code §123110 et seq.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https://leginfo.legislature.ca.gov/faces/codes_displayText.xhtml?article=&amp;chapter=1.&amp;division=106.&amp;lawCode=HSC&amp;part=1.&amp;title=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Welfare &amp; Institutions Code §15630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https://leginfo.legislature.ca.gov/faces/codes_displaySection.xhtml?lawCode=WIC&amp;sectionNum=15630.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454"/>
            <w:shd w:fill="FFF4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CURRENTNESS AND UPDATE CONTROL</w:t>
            </w:r>
            <w:r>
              <w:rPr>
                <w:rFonts w:ascii="Noto Sans" w:hAnsi="Noto Sans"/>
                <w:b/>
                <w:color w:val="17365D"/>
                <w:sz w:val="20"/>
              </w:rPr>
            </w:r>
          </w:p>
          <w:p>
            <w:r>
              <w:rPr>
                <w:rFonts w:ascii="Noto Sans" w:hAnsi="Noto Sans"/>
                <w:color w:val="1F2937"/>
                <w:sz w:val="19"/>
              </w:rPr>
              <w:t>Approved for learner use under CTA-EP-003. Learners should review current official examination and licensing materials near their examination date. CTA will version and update this resource when material official requirements or ethics standards change.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6E7681"/>
        <w:sz w:val="16"/>
      </w:rPr>
      <w:t>CTA | LPCC California Law &amp; Ethics Exam Preparation | LEARNER RESOURCE | RELEASE VERSION | NO CE CREDIT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57400" cy="14151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imary Horizontal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141514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DA9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