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6200" cy="2673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 Horizontal 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673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" w:hAnsi="Noto Sans"/>
          <w:b/>
          <w:color w:val="17365D"/>
          <w:sz w:val="46"/>
        </w:rPr>
        <w:t>LPCC LAW &amp; ETHICS — PROGRAMWIDE RAPID REVIEW GUIDE</w:t>
      </w:r>
    </w:p>
    <w:p>
      <w:pPr>
        <w:jc w:val="center"/>
      </w:pPr>
      <w:r>
        <w:rPr>
          <w:rFonts w:ascii="Noto Sans" w:hAnsi="Noto Sans"/>
          <w:color w:val="1DA9A3"/>
          <w:sz w:val="24"/>
        </w:rPr>
        <w:t>45 concise rules for retrieval practice before cumulative assessments</w:t>
      </w:r>
    </w:p>
    <w:p>
      <w:pPr>
        <w:jc w:val="center"/>
      </w:pPr>
      <w:r>
        <w:rPr>
          <w:rFonts w:ascii="Noto Sans" w:hAnsi="Noto Sans"/>
          <w:b/>
          <w:sz w:val="20"/>
        </w:rPr>
        <w:t>Version 1.1 | August 7, 2026</w:t>
      </w:r>
    </w:p>
    <w:p>
      <w:pPr>
        <w:jc w:val="center"/>
      </w:pPr>
      <w:r>
        <w:rPr>
          <w:rFonts w:ascii="Noto Sans" w:hAnsi="Noto Sans"/>
          <w:b/>
          <w:color w:val="17365D"/>
          <w:sz w:val="18"/>
        </w:rPr>
        <w:t>LEARNER RESOURCE | RELEASE VERSION | NO CE CREDIT</w:t>
      </w:r>
    </w:p>
    <w:p>
      <w:pPr>
        <w:jc w:val="center"/>
      </w:pPr>
      <w:r>
        <w:rPr>
          <w:rFonts w:ascii="Noto Sans" w:hAnsi="Noto Sans"/>
          <w:i/>
          <w:color w:val="1DA9A3"/>
          <w:sz w:val="20"/>
        </w:rPr>
        <w:t>Teaching Clinicians How to Think.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454"/>
            <w:shd w:fill="EAF6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" w:hAnsi="Noto Sans"/>
                <w:b/>
                <w:color w:val="17365D"/>
                <w:sz w:val="20"/>
              </w:rPr>
              <w:t>RAPID REVIEW IS NOT FIRST-PASS INSTRUCTION</w:t>
            </w:r>
          </w:p>
          <w:p>
            <w:r>
              <w:rPr>
                <w:rFonts w:ascii="Noto Sans" w:hAnsi="Noto Sans"/>
                <w:color w:val="1F2937"/>
                <w:sz w:val="19"/>
              </w:rPr>
              <w:t>Use these rules after studying the complete workbook content and rationales. A one-line summary cannot carry every exception, statutory condition, or fact pattern.</w:t>
            </w:r>
          </w:p>
        </w:tc>
      </w:tr>
    </w:tbl>
    <w:p/>
    <w:p>
      <w:pPr>
        <w:pStyle w:val="Heading1"/>
      </w:pPr>
      <w:r>
        <w:t>Workbook 1 Rapid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376"/>
        <w:gridCol w:w="5184"/>
        <w:gridCol w:w="1008"/>
      </w:tblGrid>
      <w:tr>
        <w:trPr>
          <w:tblHeader w:val="true"/>
        </w:trPr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Ch.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Chapter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Rapid review rule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Self-check</w:t>
            </w:r>
          </w:p>
        </w:tc>
      </w:tr>
      <w:t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1.1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Foundations of Informed Consent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Consent is an ongoing decision-making process built on information, understanding, voluntariness, choice, and documentation.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1.2</w:t>
            </w:r>
          </w:p>
        </w:tc>
        <w:tc>
          <w:tcPr>
            <w:tcW w:type="dxa" w:w="237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Information Required for Informed Decision-Making</w:t>
            </w:r>
          </w:p>
        </w:tc>
        <w:tc>
          <w:tcPr>
            <w:tcW w:type="dxa" w:w="518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Give decision-relevant information in an understandable form: nature, purpose, material risks/benefits, reasonable options, costs, and limits.</w:t>
            </w:r>
          </w:p>
        </w:tc>
        <w:tc>
          <w:tcPr>
            <w:tcW w:type="dxa" w:w="10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1.3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Ongoing Informed Consent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Revisit consent when a material treatment, role, risk, platform, participant, or understanding changes.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1.4</w:t>
            </w:r>
          </w:p>
        </w:tc>
        <w:tc>
          <w:tcPr>
            <w:tcW w:type="dxa" w:w="237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Required Disclosures</w:t>
            </w:r>
          </w:p>
        </w:tc>
        <w:tc>
          <w:tcPr>
            <w:tcW w:type="dxa" w:w="518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Separate required Board/client notices, professional status disclosures, advertising rules, telehealth initiation duties, and financial disclosures.</w:t>
            </w:r>
          </w:p>
        </w:tc>
        <w:tc>
          <w:tcPr>
            <w:tcW w:type="dxa" w:w="10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1.5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General Consent Requirements for Minors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Do not infer authority to consent for a minor from who transports, pays, or appears involved; verify the legal basis.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1.6</w:t>
            </w:r>
          </w:p>
        </w:tc>
        <w:tc>
          <w:tcPr>
            <w:tcW w:type="dxa" w:w="237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Minor Consent Exceptions</w:t>
            </w:r>
          </w:p>
        </w:tc>
        <w:tc>
          <w:tcPr>
            <w:tcW w:type="dxa" w:w="518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For qualifying outpatient mental-health services, current California law allows a minor age 12+ to consent when sufficiently mature; analyze service limits and parent involvement separately.</w:t>
            </w:r>
          </w:p>
        </w:tc>
        <w:tc>
          <w:tcPr>
            <w:tcW w:type="dxa" w:w="10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1.7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Working with Parents and Families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Consent authority, treatment participation, confidentiality, and record access are related but distinct questions.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</w:tbl>
    <w:p>
      <w:pPr>
        <w:pStyle w:val="Heading1"/>
      </w:pPr>
      <w:r>
        <w:t>Workbook 2 Rapid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376"/>
        <w:gridCol w:w="5184"/>
        <w:gridCol w:w="1008"/>
      </w:tblGrid>
      <w:tr>
        <w:trPr>
          <w:tblHeader w:val="true"/>
        </w:trPr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Ch.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Chapter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Rapid review rule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Self-check</w:t>
            </w:r>
          </w:p>
        </w:tc>
      </w:tr>
      <w:t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2.1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Telehealth Foundations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Telehealth does not expand scope; verify client location, legal authority, appropriateness, safety, and continuity.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2.2</w:t>
            </w:r>
          </w:p>
        </w:tc>
        <w:tc>
          <w:tcPr>
            <w:tcW w:type="dxa" w:w="237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Telehealth Informed Consent</w:t>
            </w:r>
          </w:p>
        </w:tc>
        <w:tc>
          <w:tcPr>
            <w:tcW w:type="dxa" w:w="518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At telehealth initiation, complete and document the required consent/disclosure process; do not substitute a generic signature for the process.</w:t>
            </w:r>
          </w:p>
        </w:tc>
        <w:tc>
          <w:tcPr>
            <w:tcW w:type="dxa" w:w="10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2.3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Telehealth Privacy and Security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Distinguish privacy, confidentiality, and security; assess the environment, technology, vendor role, and incident facts.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2.4</w:t>
            </w:r>
          </w:p>
        </w:tc>
        <w:tc>
          <w:tcPr>
            <w:tcW w:type="dxa" w:w="237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Technology, Electronic Communication, and Professional Responsibilities</w:t>
            </w:r>
          </w:p>
        </w:tc>
        <w:tc>
          <w:tcPr>
            <w:tcW w:type="dxa" w:w="518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Electronic communication requires clear expectations, appropriate safeguards, clinical documentation, and emergency-response planning.</w:t>
            </w:r>
          </w:p>
        </w:tc>
        <w:tc>
          <w:tcPr>
            <w:tcW w:type="dxa" w:w="10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2.5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Social Media, Boundaries, and Digital Ethics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Social media does not erase professional boundaries or confidentiality; public availability does not equal professional permission to use or disclose.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2.6</w:t>
            </w:r>
          </w:p>
        </w:tc>
        <w:tc>
          <w:tcPr>
            <w:tcW w:type="dxa" w:w="237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Technology Risk Management and Compliance</w:t>
            </w:r>
          </w:p>
        </w:tc>
        <w:tc>
          <w:tcPr>
            <w:tcW w:type="dxa" w:w="518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Risk analysis identifies threats and vulnerabilities; risk management reduces, monitors, documents, and tests safeguards.</w:t>
            </w:r>
          </w:p>
        </w:tc>
        <w:tc>
          <w:tcPr>
            <w:tcW w:type="dxa" w:w="10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</w:tbl>
    <w:p>
      <w:pPr>
        <w:pStyle w:val="Heading1"/>
      </w:pPr>
      <w:r>
        <w:t>Workbook 3 Rapid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376"/>
        <w:gridCol w:w="5184"/>
        <w:gridCol w:w="1008"/>
      </w:tblGrid>
      <w:tr>
        <w:trPr>
          <w:tblHeader w:val="true"/>
        </w:trPr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Ch.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Chapter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Rapid review rule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Self-check</w:t>
            </w:r>
          </w:p>
        </w:tc>
      </w:tr>
      <w:t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3.1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Professional Competence Foundations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Competence is current, service-specific, and context-specific—not guaranteed by licensure, confidence, or years in practice.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3.2</w:t>
            </w:r>
          </w:p>
        </w:tc>
        <w:tc>
          <w:tcPr>
            <w:tcW w:type="dxa" w:w="237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Scope of Practice vs. Scope of Competence</w:t>
            </w:r>
          </w:p>
        </w:tc>
        <w:tc>
          <w:tcPr>
            <w:tcW w:type="dxa" w:w="518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Always ask two questions: Is the service legally within LPCC scope? Is this counselor actually competent to provide it?</w:t>
            </w:r>
          </w:p>
        </w:tc>
        <w:tc>
          <w:tcPr>
            <w:tcW w:type="dxa" w:w="10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3.3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Maintaining Professional Competence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Competence must be maintained through current learning, reflection, feedback, and attention to changing standards and functioning.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3.4</w:t>
            </w:r>
          </w:p>
        </w:tc>
        <w:tc>
          <w:tcPr>
            <w:tcW w:type="dxa" w:w="237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Consultation and Seeking Professional Assistance</w:t>
            </w:r>
          </w:p>
        </w:tc>
        <w:tc>
          <w:tcPr>
            <w:tcW w:type="dxa" w:w="518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Consultation informs judgment; it does not transfer responsibility or create legal authority that does not otherwise exist.</w:t>
            </w:r>
          </w:p>
        </w:tc>
        <w:tc>
          <w:tcPr>
            <w:tcW w:type="dxa" w:w="10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3.5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Clinical Supervision, Feedback, and Accountability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Supervision includes evaluation, feedback, client protection, professional development, documentation, and gatekeeping—not merely support.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3.6</w:t>
            </w:r>
          </w:p>
        </w:tc>
        <w:tc>
          <w:tcPr>
            <w:tcW w:type="dxa" w:w="237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Professional Roles and Role Clarification</w:t>
            </w:r>
          </w:p>
        </w:tc>
        <w:tc>
          <w:tcPr>
            <w:tcW w:type="dxa" w:w="518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Identify the exact actor and role before deciding what authority, title, disclosure, supervision, or responsibility applies.</w:t>
            </w:r>
          </w:p>
        </w:tc>
        <w:tc>
          <w:tcPr>
            <w:tcW w:type="dxa" w:w="10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</w:tbl>
    <w:p>
      <w:pPr>
        <w:pStyle w:val="Heading1"/>
      </w:pPr>
      <w:r>
        <w:t>Workbook 4 Rapid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376"/>
        <w:gridCol w:w="5184"/>
        <w:gridCol w:w="1008"/>
      </w:tblGrid>
      <w:tr>
        <w:trPr>
          <w:tblHeader w:val="true"/>
        </w:trPr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Ch.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Chapter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Rapid review rule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Self-check</w:t>
            </w:r>
          </w:p>
        </w:tc>
      </w:tr>
      <w:t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4.1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Recognizing Professional Impairment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Impairment is about functional impact on safe practice, not diagnosis, stress, or a label by itself.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4.2</w:t>
            </w:r>
          </w:p>
        </w:tc>
        <w:tc>
          <w:tcPr>
            <w:tcW w:type="dxa" w:w="237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Substance Use and Professional Impairment</w:t>
            </w:r>
          </w:p>
        </w:tc>
        <w:tc>
          <w:tcPr>
            <w:tcW w:type="dxa" w:w="518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Substance-related concerns are evaluated through observable function, client risk, duty modification, assistance, continuity, and reassessment.</w:t>
            </w:r>
          </w:p>
        </w:tc>
        <w:tc>
          <w:tcPr>
            <w:tcW w:type="dxa" w:w="10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4.3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Mental Health, Burnout, and Compassion Fatigue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Burnout, mental-health symptoms, and secondary traumatic stress matter when they affect judgment, reliability, boundaries, or client welfare.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4.4</w:t>
            </w:r>
          </w:p>
        </w:tc>
        <w:tc>
          <w:tcPr>
            <w:tcW w:type="dxa" w:w="237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Physical Conditions, Fatigue, and Professional Functioning</w:t>
            </w:r>
          </w:p>
        </w:tc>
        <w:tc>
          <w:tcPr>
            <w:tcW w:type="dxa" w:w="518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Physical illness, medication effects, sleep loss, and fatigue become professional issues when present functioning is compromised.</w:t>
            </w:r>
          </w:p>
        </w:tc>
        <w:tc>
          <w:tcPr>
            <w:tcW w:type="dxa" w:w="10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4.5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Responding Ethically to Professional Impairment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Match the response to urgency and functional risk: protect clients first, then assess, obtain help, document, and monitor return to duty.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</w:tbl>
    <w:p>
      <w:pPr>
        <w:pStyle w:val="Heading1"/>
      </w:pPr>
      <w:r>
        <w:t>Workbook 5 Rapid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376"/>
        <w:gridCol w:w="5184"/>
        <w:gridCol w:w="1008"/>
      </w:tblGrid>
      <w:tr>
        <w:trPr>
          <w:tblHeader w:val="true"/>
        </w:trPr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Ch.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Chapter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Rapid review rule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Self-check</w:t>
            </w:r>
          </w:p>
        </w:tc>
      </w:tr>
      <w:t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5.1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The Principle of Nonmaleficence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Nonmaleficence means preventing foreseeable harm through competent, proportionate, timely action—not merely avoiding intentional injury.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5.2</w:t>
            </w:r>
          </w:p>
        </w:tc>
        <w:tc>
          <w:tcPr>
            <w:tcW w:type="dxa" w:w="237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Avoiding and Preventing Client Harm</w:t>
            </w:r>
          </w:p>
        </w:tc>
        <w:tc>
          <w:tcPr>
            <w:tcW w:type="dxa" w:w="518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When harm risk exists, protect immediate safety, correct preventable system failures, preserve continuity, and document the reasoning.</w:t>
            </w:r>
          </w:p>
        </w:tc>
        <w:tc>
          <w:tcPr>
            <w:tcW w:type="dxa" w:w="10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5.3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Beneficence and Promoting Client Welfare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Beneficence requires active attention to client welfare, effectiveness, access, continuity, and appropriate transition when care is no longer beneficial.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5.4</w:t>
            </w:r>
          </w:p>
        </w:tc>
        <w:tc>
          <w:tcPr>
            <w:tcW w:type="dxa" w:w="237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Professional Responsibility and Accountability</w:t>
            </w:r>
          </w:p>
        </w:tc>
        <w:tc>
          <w:tcPr>
            <w:tcW w:type="dxa" w:w="518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Professional responsibility includes accurate records, truthful communication, appropriate consultation/reporting, and accountability for one’s own decisions.</w:t>
            </w:r>
          </w:p>
        </w:tc>
        <w:tc>
          <w:tcPr>
            <w:tcW w:type="dxa" w:w="10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5.5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Professional Judgment and Ethical Decision-Making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Strong judgment starts with the controlling authority and facts, calibrates urgency, avoids assumptions, and chooses the least excessive sufficient response.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</w:tbl>
    <w:p>
      <w:pPr>
        <w:pStyle w:val="Heading1"/>
      </w:pPr>
      <w:r>
        <w:t>Workbook 6 Rapid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376"/>
        <w:gridCol w:w="5184"/>
        <w:gridCol w:w="1008"/>
      </w:tblGrid>
      <w:tr>
        <w:trPr>
          <w:tblHeader w:val="true"/>
        </w:trPr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Ch.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Chapter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Rapid review rule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Self-check</w:t>
            </w:r>
          </w:p>
        </w:tc>
      </w:tr>
      <w:t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6.1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Professional Boundaries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Boundaries are clinical and ethical safeguards; analyze purpose, power, vulnerability, alternatives, transparency, and treatment impact.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6.2</w:t>
            </w:r>
          </w:p>
        </w:tc>
        <w:tc>
          <w:tcPr>
            <w:tcW w:type="dxa" w:w="237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Boundary Crossings and Boundary Violations</w:t>
            </w:r>
          </w:p>
        </w:tc>
        <w:tc>
          <w:tcPr>
            <w:tcW w:type="dxa" w:w="518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A boundary crossing is not automatically a violation; secrecy, exploitation, repeated role drift, client harm, and impaired objectivity raise concern.</w:t>
            </w:r>
          </w:p>
        </w:tc>
        <w:tc>
          <w:tcPr>
            <w:tcW w:type="dxa" w:w="10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6.3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Multiple and Dual Relationships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Multiple relationships require prospective risk analysis; client consent does not erase power, conflicting roles, or professional responsibility.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6.4</w:t>
            </w:r>
          </w:p>
        </w:tc>
        <w:tc>
          <w:tcPr>
            <w:tcW w:type="dxa" w:w="237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Gifts, Bartering, and Financial Relationships</w:t>
            </w:r>
          </w:p>
        </w:tc>
        <w:tc>
          <w:tcPr>
            <w:tcW w:type="dxa" w:w="518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Evaluate gifts, bartering, fees, referrals, and financial arrangements for coercion, exploitation, conflicts, transparency, and client welfare.</w:t>
            </w:r>
          </w:p>
        </w:tc>
        <w:tc>
          <w:tcPr>
            <w:tcW w:type="dxa" w:w="10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6.5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Sexual Misconduct and Client Exploitation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Sexual exploitation is a high-risk legal/ethical area; do not reduce it to client consent or ordinary boundary flexibility.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</w:tbl>
    <w:p>
      <w:pPr>
        <w:pStyle w:val="Heading1"/>
      </w:pPr>
      <w:r>
        <w:t>Workbook 7 Rapid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376"/>
        <w:gridCol w:w="5184"/>
        <w:gridCol w:w="1008"/>
      </w:tblGrid>
      <w:tr>
        <w:trPr>
          <w:tblHeader w:val="true"/>
        </w:trPr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Ch.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Chapter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Rapid review rule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Self-check</w:t>
            </w:r>
          </w:p>
        </w:tc>
      </w:tr>
      <w:t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7.1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Cultural Humility and Culturally Responsive Practice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Cultural humility requires ongoing self-reflection, curiosity, individualized assessment, and responsiveness rather than claims of complete cultural mastery.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7.2</w:t>
            </w:r>
          </w:p>
        </w:tc>
        <w:tc>
          <w:tcPr>
            <w:tcW w:type="dxa" w:w="237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Bias, Assumptions, and Ethical Decision-Making</w:t>
            </w:r>
          </w:p>
        </w:tc>
        <w:tc>
          <w:tcPr>
            <w:tcW w:type="dxa" w:w="518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Bias can distort what facts are noticed and how they are interpreted; return to evidence, alternatives, context, and client perspective.</w:t>
            </w:r>
          </w:p>
        </w:tc>
        <w:tc>
          <w:tcPr>
            <w:tcW w:type="dxa" w:w="10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7.3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Working With Diverse Populations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Adapt communication, assessment, and treatment to the client’s linguistic, cultural, developmental, disability, and contextual needs within competence.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</w:tbl>
    <w:p>
      <w:pPr>
        <w:pStyle w:val="Heading1"/>
      </w:pPr>
      <w:r>
        <w:t>Workbook 8 Rapid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376"/>
        <w:gridCol w:w="5184"/>
        <w:gridCol w:w="1008"/>
      </w:tblGrid>
      <w:tr>
        <w:trPr>
          <w:tblHeader w:val="true"/>
        </w:trPr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Ch.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Chapter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Rapid review rule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Self-check</w:t>
            </w:r>
          </w:p>
        </w:tc>
      </w:tr>
      <w:t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8.1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Confidentiality in Individual, Couple, Family, and Group Treatment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In multi-person treatment, clarify who the client is, confidentiality expectations, information handling, and privilege rather than assuming one universal rule.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8.2</w:t>
            </w:r>
          </w:p>
        </w:tc>
        <w:tc>
          <w:tcPr>
            <w:tcW w:type="dxa" w:w="237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Authorizations, Releases of Information, and Limits on Disclosure</w:t>
            </w:r>
          </w:p>
        </w:tc>
        <w:tc>
          <w:tcPr>
            <w:tcW w:type="dxa" w:w="518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Before releasing information, identify the requester, legal authority, valid authorization or exception, scope, recipient, and minimum necessary disclosure.</w:t>
            </w:r>
          </w:p>
        </w:tc>
        <w:tc>
          <w:tcPr>
            <w:tcW w:type="dxa" w:w="10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8.3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Privacy, Protected Health Information, and HIPAA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HIPAA and California privacy law may overlap; first determine which framework applies and what information, entity, and disclosure are involved.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8.4</w:t>
            </w:r>
          </w:p>
        </w:tc>
        <w:tc>
          <w:tcPr>
            <w:tcW w:type="dxa" w:w="237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Client Access to Records and Responding to Record Requests</w:t>
            </w:r>
          </w:p>
        </w:tc>
        <w:tc>
          <w:tcPr>
            <w:tcW w:type="dxa" w:w="518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Record access depends on the requester and governing law; follow the applicable timeline and statutory limits rather than denying from discomfort or nonpayment.</w:t>
            </w:r>
          </w:p>
        </w:tc>
        <w:tc>
          <w:tcPr>
            <w:tcW w:type="dxa" w:w="10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</w:tbl>
    <w:p>
      <w:pPr>
        <w:pStyle w:val="Heading1"/>
      </w:pPr>
      <w:r>
        <w:t>Workbook 9 Rapid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376"/>
        <w:gridCol w:w="5184"/>
        <w:gridCol w:w="1008"/>
      </w:tblGrid>
      <w:tr>
        <w:trPr>
          <w:tblHeader w:val="true"/>
        </w:trPr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Ch.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Chapter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Rapid review rule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Self-check</w:t>
            </w:r>
          </w:p>
        </w:tc>
      </w:tr>
      <w:t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9.1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Clinical Documentation Standards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Document clinically significant facts, reasoning, actions, consultations, and follow-up accurately and sufficiently without turning notes into exhaustive transcripts.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9.2</w:t>
            </w:r>
          </w:p>
        </w:tc>
        <w:tc>
          <w:tcPr>
            <w:tcW w:type="dxa" w:w="237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Documentation Errors, Risk Management, and High-Risk Situations</w:t>
            </w:r>
          </w:p>
        </w:tc>
        <w:tc>
          <w:tcPr>
            <w:tcW w:type="dxa" w:w="518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Correct errors transparently and preserve record integrity; do not secretly erase, backdate, fabricate, or conceal material information.</w:t>
            </w:r>
          </w:p>
        </w:tc>
        <w:tc>
          <w:tcPr>
            <w:tcW w:type="dxa" w:w="10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9.3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Record Retention Requirements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LPCC health-service records have a California statutory minimum retention period; calculate the correct endpoint, including the special rule for minors.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  <w:tr>
        <w:tc>
          <w:tcPr>
            <w:tcW w:type="dxa" w:w="72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9.4</w:t>
            </w:r>
          </w:p>
        </w:tc>
        <w:tc>
          <w:tcPr>
            <w:tcW w:type="dxa" w:w="237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Record Security, Storage, and Record Destruction</w:t>
            </w:r>
          </w:p>
        </w:tc>
        <w:tc>
          <w:tcPr>
            <w:tcW w:type="dxa" w:w="518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Protect records across creation, access, storage, transmission, backup, incident response, legal holds, and confidential destruction.</w:t>
            </w:r>
          </w:p>
        </w:tc>
        <w:tc>
          <w:tcPr>
            <w:tcW w:type="dxa" w:w="10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□ Know it  □ Review</w:t>
            </w:r>
          </w:p>
        </w:tc>
      </w:tr>
    </w:tbl>
    <w:p>
      <w:pPr>
        <w:pStyle w:val="Heading1"/>
      </w:pPr>
      <w:r>
        <w:t>30-Second Integrated Checklist</w:t>
      </w:r>
    </w:p>
    <w:p>
      <w:pPr>
        <w:pStyle w:val="ListBullet"/>
        <w:spacing w:after="40"/>
      </w:pPr>
      <w:r>
        <w:t>Who is the exact actor/status?</w:t>
      </w:r>
    </w:p>
    <w:p>
      <w:pPr>
        <w:pStyle w:val="ListBullet"/>
        <w:spacing w:after="40"/>
      </w:pPr>
      <w:r>
        <w:t>What fact triggers the controlling rule?</w:t>
      </w:r>
    </w:p>
    <w:p>
      <w:pPr>
        <w:pStyle w:val="ListBullet"/>
        <w:spacing w:after="40"/>
      </w:pPr>
      <w:r>
        <w:t>Is the question law, ethics, or both?</w:t>
      </w:r>
    </w:p>
    <w:p>
      <w:pPr>
        <w:pStyle w:val="ListBullet"/>
        <w:spacing w:after="40"/>
      </w:pPr>
      <w:r>
        <w:t>Is there immediate safety/mandated action?</w:t>
      </w:r>
    </w:p>
    <w:p>
      <w:pPr>
        <w:pStyle w:val="ListBullet"/>
        <w:spacing w:after="40"/>
      </w:pPr>
      <w:r>
        <w:t>Is the proposed service within legal scope and actual competence?</w:t>
      </w:r>
    </w:p>
    <w:p>
      <w:pPr>
        <w:pStyle w:val="ListBullet"/>
        <w:spacing w:after="40"/>
      </w:pPr>
      <w:r>
        <w:t>What does FIRST/NEXT/BEST/MOST change?</w:t>
      </w:r>
    </w:p>
    <w:p>
      <w:pPr>
        <w:pStyle w:val="ListBullet"/>
        <w:spacing w:after="40"/>
      </w:pPr>
      <w:r>
        <w:t>What is the least excessive response that fully addresses the problem?</w:t>
      </w:r>
    </w:p>
    <w:p>
      <w:pPr>
        <w:pStyle w:val="ListBullet"/>
        <w:spacing w:after="40"/>
      </w:pPr>
      <w:r>
        <w:t>What must be documented, reported, disclosed, or followed up?</w:t>
      </w:r>
    </w:p>
    <w:p>
      <w:pPr>
        <w:pStyle w:val="Heading1"/>
      </w:pPr>
      <w:r>
        <w:t>Source Basis and Currency Control</w:t>
      </w:r>
    </w:p>
    <w:p>
      <w:pPr>
        <w:spacing w:after="100" w:line="252" w:lineRule="auto"/>
      </w:pPr>
      <w:r>
        <w:t>Source review date: August 7, 2026. California law and current official examination materials control if later changes conflict with this resource. The 2014 ACA Code of Ethics is the operative counseling-ethics source used for this release. CTA will update this resource when a later official ethics code or other material source change becomes effective.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5616"/>
      </w:tblGrid>
      <w:tr>
        <w:trPr>
          <w:tblHeader w:val="true"/>
        </w:trPr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5"/>
              </w:rPr>
              <w:t>Official source</w:t>
            </w:r>
          </w:p>
        </w:tc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5"/>
              </w:rPr>
              <w:t>Reference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Board of Behavioral Sciences — California Law and Ethics Examination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https://www.bbs.ca.gov/exams/calaw_ethics.html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Board of Behavioral Sciences — 2026 Statutes and Regulations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https://www.bbs.ca.gov/pdf/publications/lawsregs.pdf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Board of Behavioral Sciences — Law Changes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https://www.bbs.ca.gov/about/law_changes.html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Pearson VUE — California BBS examination resources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https://www.pearsonvue.com/us/en/bbs.html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American Counseling Association — Ethics Resources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https://www.counseling.org/resources/ethics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American Counseling Association — 2026 Code Revision Project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https://manifold.counseling.org/projects/aca-code-of-ethics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Legislative Information — Penal Code §11166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https://leginfo.legislature.ca.gov/faces/codes_displaySection.xhtml?lawCode=PEN&amp;sectionNum=11166.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Legislative Information — Family Code §6924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https://leginfo.legislature.ca.gov/faces/codes_displaySection.xhtml?lawCode=FAM&amp;sectionNum=6924.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Legislative Information — Health &amp; Safety Code §123110 et seq.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https://leginfo.legislature.ca.gov/faces/codes_displayText.xhtml?article=&amp;chapter=1.&amp;division=106.&amp;lawCode=HSC&amp;part=1.&amp;title=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Legislative Information — Welfare &amp; Institutions Code §15630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https://leginfo.legislature.ca.gov/faces/codes_displaySection.xhtml?lawCode=WIC&amp;sectionNum=15630.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454"/>
            <w:shd w:fill="FFF4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CURRENTNESS AND UPDATE CONTROL</w:t>
            </w:r>
            <w:r>
              <w:rPr>
                <w:rFonts w:ascii="Noto Sans" w:hAnsi="Noto Sans"/>
                <w:b/>
                <w:color w:val="17365D"/>
                <w:sz w:val="20"/>
              </w:rPr>
            </w:r>
          </w:p>
          <w:p>
            <w:r>
              <w:rPr>
                <w:rFonts w:ascii="Noto Sans" w:hAnsi="Noto Sans"/>
                <w:color w:val="1F2937"/>
                <w:sz w:val="19"/>
              </w:rPr>
              <w:t>Approved for learner use under CTA-EP-003. Learners should review current official examination and licensing materials near their examination date. CTA will version and update this resource when material official requirements or ethics standards change.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/>
        <w:color w:val="6E7681"/>
        <w:sz w:val="16"/>
      </w:rPr>
      <w:t>CTA | LPCC California Law &amp; Ethics Exam Preparation | LEARNER RESOURCE | RELEASE VERSION | NO CE CREDIT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57400" cy="141514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rimary Horizontal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141514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1DA9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