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86200" cy="2673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imary Horizontal 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2673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" w:hAnsi="Noto Sans"/>
          <w:b/>
          <w:color w:val="17365D"/>
          <w:sz w:val="46"/>
        </w:rPr>
        <w:t>LPCC LAW &amp; ETHICS — STUDY SCHEDULES &amp; ERROR LOG</w:t>
      </w:r>
    </w:p>
    <w:p>
      <w:pPr>
        <w:jc w:val="center"/>
      </w:pPr>
      <w:r>
        <w:rPr>
          <w:rFonts w:ascii="Noto Sans" w:hAnsi="Noto Sans"/>
          <w:color w:val="1DA9A3"/>
          <w:sz w:val="24"/>
        </w:rPr>
        <w:t>Flexible 8-week, 4-week, and 2-week pathways plus a structured missed-question repair system</w:t>
      </w:r>
    </w:p>
    <w:p>
      <w:pPr>
        <w:jc w:val="center"/>
      </w:pPr>
      <w:r>
        <w:rPr>
          <w:rFonts w:ascii="Noto Sans" w:hAnsi="Noto Sans"/>
          <w:b/>
          <w:sz w:val="20"/>
        </w:rPr>
        <w:t>Version 1.1 | August 7, 2026</w:t>
      </w:r>
    </w:p>
    <w:p>
      <w:pPr>
        <w:jc w:val="center"/>
      </w:pPr>
      <w:r>
        <w:rPr>
          <w:rFonts w:ascii="Noto Sans" w:hAnsi="Noto Sans"/>
          <w:b/>
          <w:color w:val="17365D"/>
          <w:sz w:val="18"/>
        </w:rPr>
        <w:t>LEARNER RESOURCE | RELEASE VERSION | NO CE CREDIT</w:t>
      </w:r>
    </w:p>
    <w:p>
      <w:pPr>
        <w:jc w:val="center"/>
      </w:pPr>
      <w:r>
        <w:rPr>
          <w:rFonts w:ascii="Noto Sans" w:hAnsi="Noto Sans"/>
          <w:i/>
          <w:color w:val="1DA9A3"/>
          <w:sz w:val="20"/>
        </w:rPr>
        <w:t>Teaching Clinicians How to Think.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88"/>
      </w:tblGrid>
      <w:tr>
        <w:tc>
          <w:tcPr>
            <w:tcW w:type="dxa" w:w="10454"/>
            <w:shd w:fill="EAF6F5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Noto Sans" w:hAnsi="Noto Sans"/>
                <w:b/>
                <w:color w:val="17365D"/>
                <w:sz w:val="20"/>
              </w:rPr>
              <w:t>GUIDANCE—NOT ACCESS LOCKING</w:t>
            </w:r>
          </w:p>
          <w:p>
            <w:r>
              <w:rPr>
                <w:rFonts w:ascii="Noto Sans" w:hAnsi="Noto Sans"/>
                <w:color w:val="1F2937"/>
                <w:sz w:val="19"/>
              </w:rPr>
              <w:t>These pathways recommend order and pacing. Learners may open, download, and print all study materials from the beginning and may study offline. Completion of one resource is not a prerequisite to opening another.</w:t>
            </w:r>
          </w:p>
        </w:tc>
      </w:tr>
    </w:tbl>
    <w:p/>
    <w:p>
      <w:pPr>
        <w:pStyle w:val="Heading1"/>
      </w:pPr>
      <w:r>
        <w:t>8-Week Standard Pathway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3096"/>
        <w:gridCol w:w="5328"/>
      </w:tblGrid>
      <w:tr>
        <w:trPr>
          <w:tblHeader w:val="true"/>
        </w:trPr>
        <w:tc>
          <w:tcPr>
            <w:tcW w:type="dxa" w:w="3485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/>
                <w:color w:val="FFFFFF"/>
                <w:sz w:val="16"/>
              </w:rPr>
              <w:t>Week</w:t>
            </w:r>
          </w:p>
        </w:tc>
        <w:tc>
          <w:tcPr>
            <w:tcW w:type="dxa" w:w="3485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/>
                <w:color w:val="FFFFFF"/>
                <w:sz w:val="16"/>
              </w:rPr>
              <w:t>Primary focus</w:t>
            </w:r>
          </w:p>
        </w:tc>
        <w:tc>
          <w:tcPr>
            <w:tcW w:type="dxa" w:w="3485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/>
                <w:color w:val="FFFFFF"/>
                <w:sz w:val="16"/>
              </w:rPr>
              <w:t>Study objective</w:t>
            </w:r>
          </w:p>
        </w:tc>
      </w:tr>
      <w:tr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1</w:t>
            </w:r>
          </w:p>
        </w:tc>
        <w:tc>
          <w:tcPr>
            <w:tcW w:type="dxa" w:w="30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Start Here + LPCC/APCC license-specific module + WB1</w:t>
            </w:r>
          </w:p>
        </w:tc>
        <w:tc>
          <w:tcPr>
            <w:tcW w:type="dxa" w:w="53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Build profession identity, authority, consent, minor/family foundations.</w:t>
            </w:r>
          </w:p>
        </w:tc>
      </w:tr>
      <w:tr>
        <w:tc>
          <w:tcPr>
            <w:tcW w:type="dxa" w:w="792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2</w:t>
            </w:r>
          </w:p>
        </w:tc>
        <w:tc>
          <w:tcPr>
            <w:tcW w:type="dxa" w:w="3096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WB2</w:t>
            </w:r>
          </w:p>
        </w:tc>
        <w:tc>
          <w:tcPr>
            <w:tcW w:type="dxa" w:w="5328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Telehealth, technology, social media, privacy/security.</w:t>
            </w:r>
          </w:p>
        </w:tc>
      </w:tr>
      <w:tr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3</w:t>
            </w:r>
          </w:p>
        </w:tc>
        <w:tc>
          <w:tcPr>
            <w:tcW w:type="dxa" w:w="30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WB3</w:t>
            </w:r>
          </w:p>
        </w:tc>
        <w:tc>
          <w:tcPr>
            <w:tcW w:type="dxa" w:w="53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Competence, scope, consultation, supervision, roles.</w:t>
            </w:r>
          </w:p>
        </w:tc>
      </w:tr>
      <w:tr>
        <w:tc>
          <w:tcPr>
            <w:tcW w:type="dxa" w:w="792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4</w:t>
            </w:r>
          </w:p>
        </w:tc>
        <w:tc>
          <w:tcPr>
            <w:tcW w:type="dxa" w:w="3096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WB4 + WB5</w:t>
            </w:r>
          </w:p>
        </w:tc>
        <w:tc>
          <w:tcPr>
            <w:tcW w:type="dxa" w:w="5328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Impairment, client welfare, harm prevention, judgment.</w:t>
            </w:r>
          </w:p>
        </w:tc>
      </w:tr>
      <w:tr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5</w:t>
            </w:r>
          </w:p>
        </w:tc>
        <w:tc>
          <w:tcPr>
            <w:tcW w:type="dxa" w:w="30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WB6 + WB7</w:t>
            </w:r>
          </w:p>
        </w:tc>
        <w:tc>
          <w:tcPr>
            <w:tcW w:type="dxa" w:w="53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Boundaries, exploitation, finances, cultural humility and bias.</w:t>
            </w:r>
          </w:p>
        </w:tc>
      </w:tr>
      <w:tr>
        <w:tc>
          <w:tcPr>
            <w:tcW w:type="dxa" w:w="792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6</w:t>
            </w:r>
          </w:p>
        </w:tc>
        <w:tc>
          <w:tcPr>
            <w:tcW w:type="dxa" w:w="3096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WB8 + WB9</w:t>
            </w:r>
          </w:p>
        </w:tc>
        <w:tc>
          <w:tcPr>
            <w:tcW w:type="dxa" w:w="5328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Confidentiality, information sharing, records, documentation, retention/security.</w:t>
            </w:r>
          </w:p>
        </w:tc>
      </w:tr>
      <w:tr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7</w:t>
            </w:r>
          </w:p>
        </w:tc>
        <w:tc>
          <w:tcPr>
            <w:tcW w:type="dxa" w:w="30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Practice A → remediation → Practice B</w:t>
            </w:r>
          </w:p>
        </w:tc>
        <w:tc>
          <w:tcPr>
            <w:tcW w:type="dxa" w:w="53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Use error categories and chapter routing; do not chase only the score.</w:t>
            </w:r>
          </w:p>
        </w:tc>
      </w:tr>
      <w:tr>
        <w:tc>
          <w:tcPr>
            <w:tcW w:type="dxa" w:w="792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8</w:t>
            </w:r>
          </w:p>
        </w:tc>
        <w:tc>
          <w:tcPr>
            <w:tcW w:type="dxa" w:w="3096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Comprehensive Final → targeted review → final-week tools</w:t>
            </w:r>
          </w:p>
        </w:tc>
        <w:tc>
          <w:tcPr>
            <w:tcW w:type="dxa" w:w="5328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Concentrate on repeated error patterns, timing rules, and weak chapters.</w:t>
            </w:r>
          </w:p>
        </w:tc>
      </w:tr>
    </w:tbl>
    <w:p>
      <w:pPr>
        <w:pStyle w:val="Heading1"/>
      </w:pPr>
      <w:r>
        <w:t>4-Week Accelerated Pathway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"/>
        <w:gridCol w:w="8208"/>
      </w:tblGrid>
      <w:tr>
        <w:trPr>
          <w:tblHeader w:val="true"/>
        </w:trPr>
        <w:tc>
          <w:tcPr>
            <w:tcW w:type="dxa" w:w="5227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/>
                <w:color w:val="FFFFFF"/>
                <w:sz w:val="16"/>
              </w:rPr>
              <w:t>Week</w:t>
            </w:r>
          </w:p>
        </w:tc>
        <w:tc>
          <w:tcPr>
            <w:tcW w:type="dxa" w:w="5227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/>
                <w:color w:val="FFFFFF"/>
                <w:sz w:val="16"/>
              </w:rPr>
              <w:t>Focus</w:t>
            </w:r>
          </w:p>
        </w:tc>
      </w:tr>
      <w:tr>
        <w:tc>
          <w:tcPr>
            <w:tcW w:type="dxa" w:w="10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1</w:t>
            </w:r>
          </w:p>
        </w:tc>
        <w:tc>
          <w:tcPr>
            <w:tcW w:type="dxa" w:w="82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License-specific module + WB1–WB2</w:t>
            </w:r>
          </w:p>
        </w:tc>
      </w:tr>
      <w:tr>
        <w:tc>
          <w:tcPr>
            <w:tcW w:type="dxa" w:w="1008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2</w:t>
            </w:r>
          </w:p>
        </w:tc>
        <w:tc>
          <w:tcPr>
            <w:tcW w:type="dxa" w:w="8208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WB3–WB5</w:t>
            </w:r>
          </w:p>
        </w:tc>
      </w:tr>
      <w:tr>
        <w:tc>
          <w:tcPr>
            <w:tcW w:type="dxa" w:w="10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3</w:t>
            </w:r>
          </w:p>
        </w:tc>
        <w:tc>
          <w:tcPr>
            <w:tcW w:type="dxa" w:w="82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WB6–WB9 + rapid review</w:t>
            </w:r>
          </w:p>
        </w:tc>
      </w:tr>
      <w:tr>
        <w:tc>
          <w:tcPr>
            <w:tcW w:type="dxa" w:w="1008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4</w:t>
            </w:r>
          </w:p>
        </w:tc>
        <w:tc>
          <w:tcPr>
            <w:tcW w:type="dxa" w:w="8208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Practice A → remediation → Practice B → remediation → Comprehensive Final + final review</w:t>
            </w:r>
          </w:p>
        </w:tc>
      </w:tr>
    </w:tbl>
    <w:p>
      <w:pPr>
        <w:pStyle w:val="Heading1"/>
      </w:pPr>
      <w:r>
        <w:t>2-Week Intensive Pathway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0"/>
        <w:gridCol w:w="8136"/>
      </w:tblGrid>
      <w:tr>
        <w:trPr>
          <w:tblHeader w:val="true"/>
        </w:trPr>
        <w:tc>
          <w:tcPr>
            <w:tcW w:type="dxa" w:w="5227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/>
                <w:color w:val="FFFFFF"/>
                <w:sz w:val="16"/>
              </w:rPr>
              <w:t>Days</w:t>
            </w:r>
          </w:p>
        </w:tc>
        <w:tc>
          <w:tcPr>
            <w:tcW w:type="dxa" w:w="5227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/>
                <w:color w:val="FFFFFF"/>
                <w:sz w:val="16"/>
              </w:rPr>
              <w:t>Focus</w:t>
            </w:r>
          </w:p>
        </w:tc>
      </w:tr>
      <w:tr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1–2</w:t>
            </w:r>
          </w:p>
        </w:tc>
        <w:tc>
          <w:tcPr>
            <w:tcW w:type="dxa" w:w="81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License-specific module + WB1</w:t>
            </w:r>
          </w:p>
        </w:tc>
      </w:tr>
      <w:tr>
        <w:tc>
          <w:tcPr>
            <w:tcW w:type="dxa" w:w="1080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3–4</w:t>
            </w:r>
          </w:p>
        </w:tc>
        <w:tc>
          <w:tcPr>
            <w:tcW w:type="dxa" w:w="8136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WB2–WB3</w:t>
            </w:r>
          </w:p>
        </w:tc>
      </w:tr>
      <w:tr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5–6</w:t>
            </w:r>
          </w:p>
        </w:tc>
        <w:tc>
          <w:tcPr>
            <w:tcW w:type="dxa" w:w="81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WB4–WB5</w:t>
            </w:r>
          </w:p>
        </w:tc>
      </w:tr>
      <w:tr>
        <w:tc>
          <w:tcPr>
            <w:tcW w:type="dxa" w:w="1080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7–8</w:t>
            </w:r>
          </w:p>
        </w:tc>
        <w:tc>
          <w:tcPr>
            <w:tcW w:type="dxa" w:w="8136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WB6–WB7</w:t>
            </w:r>
          </w:p>
        </w:tc>
      </w:tr>
      <w:tr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9–10</w:t>
            </w:r>
          </w:p>
        </w:tc>
        <w:tc>
          <w:tcPr>
            <w:tcW w:type="dxa" w:w="81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WB8–WB9</w:t>
            </w:r>
          </w:p>
        </w:tc>
      </w:tr>
      <w:tr>
        <w:tc>
          <w:tcPr>
            <w:tcW w:type="dxa" w:w="1080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11</w:t>
            </w:r>
          </w:p>
        </w:tc>
        <w:tc>
          <w:tcPr>
            <w:tcW w:type="dxa" w:w="8136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Practice A + repair</w:t>
            </w:r>
          </w:p>
        </w:tc>
      </w:tr>
      <w:tr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12</w:t>
            </w:r>
          </w:p>
        </w:tc>
        <w:tc>
          <w:tcPr>
            <w:tcW w:type="dxa" w:w="81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Practice B + repair</w:t>
            </w:r>
          </w:p>
        </w:tc>
      </w:tr>
      <w:tr>
        <w:tc>
          <w:tcPr>
            <w:tcW w:type="dxa" w:w="1080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13</w:t>
            </w:r>
          </w:p>
        </w:tc>
        <w:tc>
          <w:tcPr>
            <w:tcW w:type="dxa" w:w="8136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Comprehensive Final + targeted review</w:t>
            </w:r>
          </w:p>
        </w:tc>
      </w:tr>
      <w:tr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14</w:t>
            </w:r>
          </w:p>
        </w:tc>
        <w:tc>
          <w:tcPr>
            <w:tcW w:type="dxa" w:w="81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Numbers/timelines, weak chapters, light final review and logistics</w:t>
            </w:r>
          </w:p>
        </w:tc>
      </w:tr>
    </w:tbl>
    <w:p>
      <w:pPr>
        <w:pStyle w:val="Heading1"/>
      </w:pPr>
      <w:r>
        <w:t>Daily Study Cycle</w:t>
      </w:r>
    </w:p>
    <w:p>
      <w:pPr>
        <w:spacing w:after="100" w:line="252" w:lineRule="auto"/>
      </w:pPr>
      <w:r>
        <w:t>1. Preview objectives and the chapter Big Idea.</w:t>
      </w:r>
    </w:p>
    <w:p>
      <w:pPr>
        <w:spacing w:after="100" w:line="252" w:lineRule="auto"/>
      </w:pPr>
      <w:r>
        <w:t>2. Study core content and explain key distinctions aloud.</w:t>
      </w:r>
    </w:p>
    <w:p>
      <w:pPr>
        <w:spacing w:after="100" w:line="252" w:lineRule="auto"/>
      </w:pPr>
      <w:r>
        <w:t>3. Complete retrieval practice/flashcards without looking first.</w:t>
      </w:r>
    </w:p>
    <w:p>
      <w:pPr>
        <w:spacing w:after="100" w:line="252" w:lineRule="auto"/>
      </w:pPr>
      <w:r>
        <w:t>4. Complete the chapter assessment or selected practice questions.</w:t>
      </w:r>
    </w:p>
    <w:p>
      <w:pPr>
        <w:spacing w:after="100" w:line="252" w:lineRule="auto"/>
      </w:pPr>
      <w:r>
        <w:t>5. Read rationales for misses and guesses.</w:t>
      </w:r>
    </w:p>
    <w:p>
      <w:pPr>
        <w:spacing w:after="100" w:line="252" w:lineRule="auto"/>
      </w:pPr>
      <w:r>
        <w:t>6. Log the error category and exact remediation route.</w:t>
      </w:r>
    </w:p>
    <w:p>
      <w:pPr>
        <w:spacing w:after="100" w:line="252" w:lineRule="auto"/>
      </w:pPr>
      <w:r>
        <w:t>7. Re-solve one new or rephrased example before marking the concept repaired.</w:t>
      </w:r>
    </w:p>
    <w:p>
      <w:pPr>
        <w:pStyle w:val="Heading1"/>
      </w:pPr>
      <w:r>
        <w:t>Missed-Question Repair Log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936"/>
        <w:gridCol w:w="792"/>
        <w:gridCol w:w="1656"/>
        <w:gridCol w:w="2016"/>
        <w:gridCol w:w="936"/>
        <w:gridCol w:w="1224"/>
        <w:gridCol w:w="864"/>
      </w:tblGrid>
      <w:tr>
        <w:trPr>
          <w:tblHeader w:val="true"/>
        </w:trPr>
        <w:tc>
          <w:tcPr>
            <w:tcW w:type="dxa" w:w="1307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/>
                <w:color w:val="FFFFFF"/>
                <w:sz w:val="13"/>
              </w:rPr>
              <w:t>Date</w:t>
            </w:r>
          </w:p>
        </w:tc>
        <w:tc>
          <w:tcPr>
            <w:tcW w:type="dxa" w:w="1307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/>
                <w:color w:val="FFFFFF"/>
                <w:sz w:val="13"/>
              </w:rPr>
              <w:t>Form/Q</w:t>
            </w:r>
          </w:p>
        </w:tc>
        <w:tc>
          <w:tcPr>
            <w:tcW w:type="dxa" w:w="1307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/>
                <w:color w:val="FFFFFF"/>
                <w:sz w:val="13"/>
              </w:rPr>
              <w:t>Chosen</w:t>
            </w:r>
          </w:p>
        </w:tc>
        <w:tc>
          <w:tcPr>
            <w:tcW w:type="dxa" w:w="1307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/>
                <w:color w:val="FFFFFF"/>
                <w:sz w:val="13"/>
              </w:rPr>
              <w:t>Why weaker</w:t>
            </w:r>
          </w:p>
        </w:tc>
        <w:tc>
          <w:tcPr>
            <w:tcW w:type="dxa" w:w="1307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/>
                <w:color w:val="FFFFFF"/>
                <w:sz w:val="13"/>
              </w:rPr>
              <w:t>Rule/principle</w:t>
            </w:r>
          </w:p>
        </w:tc>
        <w:tc>
          <w:tcPr>
            <w:tcW w:type="dxa" w:w="1307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/>
                <w:color w:val="FFFFFF"/>
                <w:sz w:val="13"/>
              </w:rPr>
              <w:t>WB/Ch.</w:t>
            </w:r>
          </w:p>
        </w:tc>
        <w:tc>
          <w:tcPr>
            <w:tcW w:type="dxa" w:w="1307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/>
                <w:color w:val="FFFFFF"/>
                <w:sz w:val="13"/>
              </w:rPr>
              <w:t>Error K/R/S/M/C</w:t>
            </w:r>
          </w:p>
        </w:tc>
        <w:tc>
          <w:tcPr>
            <w:tcW w:type="dxa" w:w="1307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/>
                <w:color w:val="FFFFFF"/>
                <w:sz w:val="13"/>
              </w:rPr>
              <w:t>Recheck</w:t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</w:r>
          </w:p>
        </w:tc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</w:r>
          </w:p>
        </w:tc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</w:r>
          </w:p>
        </w:tc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</w:r>
          </w:p>
        </w:tc>
        <w:tc>
          <w:tcPr>
            <w:tcW w:type="dxa" w:w="8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936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</w:r>
          </w:p>
        </w:tc>
        <w:tc>
          <w:tcPr>
            <w:tcW w:type="dxa" w:w="936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</w:r>
          </w:p>
        </w:tc>
        <w:tc>
          <w:tcPr>
            <w:tcW w:type="dxa" w:w="792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</w:r>
          </w:p>
        </w:tc>
        <w:tc>
          <w:tcPr>
            <w:tcW w:type="dxa" w:w="1656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</w:r>
          </w:p>
        </w:tc>
        <w:tc>
          <w:tcPr>
            <w:tcW w:type="dxa" w:w="2016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</w:r>
          </w:p>
        </w:tc>
        <w:tc>
          <w:tcPr>
            <w:tcW w:type="dxa" w:w="936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</w:r>
          </w:p>
        </w:tc>
        <w:tc>
          <w:tcPr>
            <w:tcW w:type="dxa" w:w="1224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</w:r>
          </w:p>
        </w:tc>
        <w:tc>
          <w:tcPr>
            <w:tcW w:type="dxa" w:w="864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</w:r>
          </w:p>
        </w:tc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</w:r>
          </w:p>
        </w:tc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</w:r>
          </w:p>
        </w:tc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</w:r>
          </w:p>
        </w:tc>
        <w:tc>
          <w:tcPr>
            <w:tcW w:type="dxa" w:w="8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936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</w:r>
          </w:p>
        </w:tc>
        <w:tc>
          <w:tcPr>
            <w:tcW w:type="dxa" w:w="936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</w:r>
          </w:p>
        </w:tc>
        <w:tc>
          <w:tcPr>
            <w:tcW w:type="dxa" w:w="792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</w:r>
          </w:p>
        </w:tc>
        <w:tc>
          <w:tcPr>
            <w:tcW w:type="dxa" w:w="1656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</w:r>
          </w:p>
        </w:tc>
        <w:tc>
          <w:tcPr>
            <w:tcW w:type="dxa" w:w="2016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</w:r>
          </w:p>
        </w:tc>
        <w:tc>
          <w:tcPr>
            <w:tcW w:type="dxa" w:w="936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</w:r>
          </w:p>
        </w:tc>
        <w:tc>
          <w:tcPr>
            <w:tcW w:type="dxa" w:w="1224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</w:r>
          </w:p>
        </w:tc>
        <w:tc>
          <w:tcPr>
            <w:tcW w:type="dxa" w:w="864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</w:r>
          </w:p>
        </w:tc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</w:r>
          </w:p>
        </w:tc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</w:r>
          </w:p>
        </w:tc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</w:r>
          </w:p>
        </w:tc>
        <w:tc>
          <w:tcPr>
            <w:tcW w:type="dxa" w:w="8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936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</w:r>
          </w:p>
        </w:tc>
        <w:tc>
          <w:tcPr>
            <w:tcW w:type="dxa" w:w="936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</w:r>
          </w:p>
        </w:tc>
        <w:tc>
          <w:tcPr>
            <w:tcW w:type="dxa" w:w="792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</w:r>
          </w:p>
        </w:tc>
        <w:tc>
          <w:tcPr>
            <w:tcW w:type="dxa" w:w="1656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</w:r>
          </w:p>
        </w:tc>
        <w:tc>
          <w:tcPr>
            <w:tcW w:type="dxa" w:w="2016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</w:r>
          </w:p>
        </w:tc>
        <w:tc>
          <w:tcPr>
            <w:tcW w:type="dxa" w:w="936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</w:r>
          </w:p>
        </w:tc>
        <w:tc>
          <w:tcPr>
            <w:tcW w:type="dxa" w:w="1224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</w:r>
          </w:p>
        </w:tc>
        <w:tc>
          <w:tcPr>
            <w:tcW w:type="dxa" w:w="864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</w:r>
          </w:p>
        </w:tc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</w:r>
          </w:p>
        </w:tc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</w:r>
          </w:p>
        </w:tc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</w:r>
          </w:p>
        </w:tc>
        <w:tc>
          <w:tcPr>
            <w:tcW w:type="dxa" w:w="8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936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</w:r>
          </w:p>
        </w:tc>
        <w:tc>
          <w:tcPr>
            <w:tcW w:type="dxa" w:w="936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</w:r>
          </w:p>
        </w:tc>
        <w:tc>
          <w:tcPr>
            <w:tcW w:type="dxa" w:w="792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</w:r>
          </w:p>
        </w:tc>
        <w:tc>
          <w:tcPr>
            <w:tcW w:type="dxa" w:w="1656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</w:r>
          </w:p>
        </w:tc>
        <w:tc>
          <w:tcPr>
            <w:tcW w:type="dxa" w:w="2016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</w:r>
          </w:p>
        </w:tc>
        <w:tc>
          <w:tcPr>
            <w:tcW w:type="dxa" w:w="936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</w:r>
          </w:p>
        </w:tc>
        <w:tc>
          <w:tcPr>
            <w:tcW w:type="dxa" w:w="1224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</w:r>
          </w:p>
        </w:tc>
        <w:tc>
          <w:tcPr>
            <w:tcW w:type="dxa" w:w="864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</w:r>
          </w:p>
        </w:tc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</w:r>
          </w:p>
        </w:tc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</w:r>
          </w:p>
        </w:tc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</w:r>
          </w:p>
        </w:tc>
        <w:tc>
          <w:tcPr>
            <w:tcW w:type="dxa" w:w="8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936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</w:r>
          </w:p>
        </w:tc>
        <w:tc>
          <w:tcPr>
            <w:tcW w:type="dxa" w:w="936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</w:r>
          </w:p>
        </w:tc>
        <w:tc>
          <w:tcPr>
            <w:tcW w:type="dxa" w:w="792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</w:r>
          </w:p>
        </w:tc>
        <w:tc>
          <w:tcPr>
            <w:tcW w:type="dxa" w:w="1656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</w:r>
          </w:p>
        </w:tc>
        <w:tc>
          <w:tcPr>
            <w:tcW w:type="dxa" w:w="2016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</w:r>
          </w:p>
        </w:tc>
        <w:tc>
          <w:tcPr>
            <w:tcW w:type="dxa" w:w="936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</w:r>
          </w:p>
        </w:tc>
        <w:tc>
          <w:tcPr>
            <w:tcW w:type="dxa" w:w="1224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</w:r>
          </w:p>
        </w:tc>
        <w:tc>
          <w:tcPr>
            <w:tcW w:type="dxa" w:w="864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</w:r>
          </w:p>
        </w:tc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</w:r>
          </w:p>
        </w:tc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</w:r>
          </w:p>
        </w:tc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</w:r>
          </w:p>
        </w:tc>
        <w:tc>
          <w:tcPr>
            <w:tcW w:type="dxa" w:w="8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936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</w:r>
          </w:p>
        </w:tc>
        <w:tc>
          <w:tcPr>
            <w:tcW w:type="dxa" w:w="936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</w:r>
          </w:p>
        </w:tc>
        <w:tc>
          <w:tcPr>
            <w:tcW w:type="dxa" w:w="792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</w:r>
          </w:p>
        </w:tc>
        <w:tc>
          <w:tcPr>
            <w:tcW w:type="dxa" w:w="1656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</w:r>
          </w:p>
        </w:tc>
        <w:tc>
          <w:tcPr>
            <w:tcW w:type="dxa" w:w="2016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</w:r>
          </w:p>
        </w:tc>
        <w:tc>
          <w:tcPr>
            <w:tcW w:type="dxa" w:w="936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</w:r>
          </w:p>
        </w:tc>
        <w:tc>
          <w:tcPr>
            <w:tcW w:type="dxa" w:w="1224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</w:r>
          </w:p>
        </w:tc>
        <w:tc>
          <w:tcPr>
            <w:tcW w:type="dxa" w:w="864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</w:r>
          </w:p>
        </w:tc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</w:r>
          </w:p>
        </w:tc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</w:r>
          </w:p>
        </w:tc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</w:r>
          </w:p>
        </w:tc>
        <w:tc>
          <w:tcPr>
            <w:tcW w:type="dxa" w:w="8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936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</w:r>
          </w:p>
        </w:tc>
        <w:tc>
          <w:tcPr>
            <w:tcW w:type="dxa" w:w="936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</w:r>
          </w:p>
        </w:tc>
        <w:tc>
          <w:tcPr>
            <w:tcW w:type="dxa" w:w="792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</w:r>
          </w:p>
        </w:tc>
        <w:tc>
          <w:tcPr>
            <w:tcW w:type="dxa" w:w="1656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</w:r>
          </w:p>
        </w:tc>
        <w:tc>
          <w:tcPr>
            <w:tcW w:type="dxa" w:w="2016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</w:r>
          </w:p>
        </w:tc>
        <w:tc>
          <w:tcPr>
            <w:tcW w:type="dxa" w:w="936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</w:r>
          </w:p>
        </w:tc>
        <w:tc>
          <w:tcPr>
            <w:tcW w:type="dxa" w:w="1224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</w:r>
          </w:p>
        </w:tc>
        <w:tc>
          <w:tcPr>
            <w:tcW w:type="dxa" w:w="864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</w:r>
          </w:p>
        </w:tc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</w:r>
          </w:p>
        </w:tc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</w:r>
          </w:p>
        </w:tc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</w:r>
          </w:p>
        </w:tc>
        <w:tc>
          <w:tcPr>
            <w:tcW w:type="dxa" w:w="8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936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</w:r>
          </w:p>
        </w:tc>
        <w:tc>
          <w:tcPr>
            <w:tcW w:type="dxa" w:w="936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</w:r>
          </w:p>
        </w:tc>
        <w:tc>
          <w:tcPr>
            <w:tcW w:type="dxa" w:w="792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</w:r>
          </w:p>
        </w:tc>
        <w:tc>
          <w:tcPr>
            <w:tcW w:type="dxa" w:w="1656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</w:r>
          </w:p>
        </w:tc>
        <w:tc>
          <w:tcPr>
            <w:tcW w:type="dxa" w:w="2016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</w:r>
          </w:p>
        </w:tc>
        <w:tc>
          <w:tcPr>
            <w:tcW w:type="dxa" w:w="936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</w:r>
          </w:p>
        </w:tc>
        <w:tc>
          <w:tcPr>
            <w:tcW w:type="dxa" w:w="1224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</w:r>
          </w:p>
        </w:tc>
        <w:tc>
          <w:tcPr>
            <w:tcW w:type="dxa" w:w="864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</w:r>
          </w:p>
        </w:tc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</w:r>
          </w:p>
        </w:tc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</w:r>
          </w:p>
        </w:tc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</w:r>
          </w:p>
        </w:tc>
        <w:tc>
          <w:tcPr>
            <w:tcW w:type="dxa" w:w="8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936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</w:r>
          </w:p>
        </w:tc>
        <w:tc>
          <w:tcPr>
            <w:tcW w:type="dxa" w:w="936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</w:r>
          </w:p>
        </w:tc>
        <w:tc>
          <w:tcPr>
            <w:tcW w:type="dxa" w:w="792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</w:r>
          </w:p>
        </w:tc>
        <w:tc>
          <w:tcPr>
            <w:tcW w:type="dxa" w:w="1656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</w:r>
          </w:p>
        </w:tc>
        <w:tc>
          <w:tcPr>
            <w:tcW w:type="dxa" w:w="2016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</w:r>
          </w:p>
        </w:tc>
        <w:tc>
          <w:tcPr>
            <w:tcW w:type="dxa" w:w="936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</w:r>
          </w:p>
        </w:tc>
        <w:tc>
          <w:tcPr>
            <w:tcW w:type="dxa" w:w="1224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</w:r>
          </w:p>
        </w:tc>
        <w:tc>
          <w:tcPr>
            <w:tcW w:type="dxa" w:w="864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</w:r>
          </w:p>
        </w:tc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</w:r>
          </w:p>
        </w:tc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</w:r>
          </w:p>
        </w:tc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</w:r>
          </w:p>
        </w:tc>
        <w:tc>
          <w:tcPr>
            <w:tcW w:type="dxa" w:w="8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936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</w:r>
          </w:p>
        </w:tc>
        <w:tc>
          <w:tcPr>
            <w:tcW w:type="dxa" w:w="936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</w:r>
          </w:p>
        </w:tc>
        <w:tc>
          <w:tcPr>
            <w:tcW w:type="dxa" w:w="792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</w:r>
          </w:p>
        </w:tc>
        <w:tc>
          <w:tcPr>
            <w:tcW w:type="dxa" w:w="1656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</w:r>
          </w:p>
        </w:tc>
        <w:tc>
          <w:tcPr>
            <w:tcW w:type="dxa" w:w="2016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</w:r>
          </w:p>
        </w:tc>
        <w:tc>
          <w:tcPr>
            <w:tcW w:type="dxa" w:w="936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</w:r>
          </w:p>
        </w:tc>
        <w:tc>
          <w:tcPr>
            <w:tcW w:type="dxa" w:w="1224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</w:r>
          </w:p>
        </w:tc>
        <w:tc>
          <w:tcPr>
            <w:tcW w:type="dxa" w:w="864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</w:r>
          </w:p>
        </w:tc>
      </w:tr>
    </w:tbl>
    <w:p>
      <w:pPr>
        <w:pStyle w:val="Heading1"/>
      </w:pPr>
      <w:r>
        <w:t>Repeated-Error Tracker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792"/>
        <w:gridCol w:w="2088"/>
        <w:gridCol w:w="3312"/>
        <w:gridCol w:w="1296"/>
      </w:tblGrid>
      <w:tr>
        <w:trPr>
          <w:tblHeader w:val="true"/>
        </w:trPr>
        <w:tc>
          <w:tcPr>
            <w:tcW w:type="dxa" w:w="2091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/>
                <w:color w:val="FFFFFF"/>
                <w:sz w:val="14"/>
              </w:rPr>
              <w:t>Error pattern</w:t>
            </w:r>
          </w:p>
        </w:tc>
        <w:tc>
          <w:tcPr>
            <w:tcW w:type="dxa" w:w="2091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/>
                <w:color w:val="FFFFFF"/>
                <w:sz w:val="14"/>
              </w:rPr>
              <w:t>Count</w:t>
            </w:r>
          </w:p>
        </w:tc>
        <w:tc>
          <w:tcPr>
            <w:tcW w:type="dxa" w:w="2091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/>
                <w:color w:val="FFFFFF"/>
                <w:sz w:val="14"/>
              </w:rPr>
              <w:t>Examples</w:t>
            </w:r>
          </w:p>
        </w:tc>
        <w:tc>
          <w:tcPr>
            <w:tcW w:type="dxa" w:w="2091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/>
                <w:color w:val="FFFFFF"/>
                <w:sz w:val="14"/>
              </w:rPr>
              <w:t>Repair action</w:t>
            </w:r>
          </w:p>
        </w:tc>
        <w:tc>
          <w:tcPr>
            <w:tcW w:type="dxa" w:w="2091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/>
                <w:color w:val="FFFFFF"/>
                <w:sz w:val="14"/>
              </w:rPr>
              <w:t>Status</w:t>
            </w:r>
          </w:p>
        </w:tc>
      </w:tr>
      <w:tr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Knowledge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</w:r>
          </w:p>
        </w:tc>
        <w:tc>
          <w:tcPr>
            <w:tcW w:type="dxa" w:w="33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□ Open  □ Repaired</w:t>
            </w:r>
          </w:p>
        </w:tc>
      </w:tr>
      <w:tr>
        <w:tc>
          <w:tcPr>
            <w:tcW w:type="dxa" w:w="1728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Reasoning/sequence</w:t>
            </w:r>
          </w:p>
        </w:tc>
        <w:tc>
          <w:tcPr>
            <w:tcW w:type="dxa" w:w="792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</w:r>
          </w:p>
        </w:tc>
        <w:tc>
          <w:tcPr>
            <w:tcW w:type="dxa" w:w="2088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</w:r>
          </w:p>
        </w:tc>
        <w:tc>
          <w:tcPr>
            <w:tcW w:type="dxa" w:w="3312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</w:r>
          </w:p>
        </w:tc>
        <w:tc>
          <w:tcPr>
            <w:tcW w:type="dxa" w:w="1296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□ Open  □ Repaired</w:t>
            </w:r>
          </w:p>
        </w:tc>
      </w:tr>
      <w:tr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Stem/qualifier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</w:r>
          </w:p>
        </w:tc>
        <w:tc>
          <w:tcPr>
            <w:tcW w:type="dxa" w:w="33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□ Open  □ Repaired</w:t>
            </w:r>
          </w:p>
        </w:tc>
      </w:tr>
      <w:tr>
        <w:tc>
          <w:tcPr>
            <w:tcW w:type="dxa" w:w="1728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Memory retrieval</w:t>
            </w:r>
          </w:p>
        </w:tc>
        <w:tc>
          <w:tcPr>
            <w:tcW w:type="dxa" w:w="792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</w:r>
          </w:p>
        </w:tc>
        <w:tc>
          <w:tcPr>
            <w:tcW w:type="dxa" w:w="2088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</w:r>
          </w:p>
        </w:tc>
        <w:tc>
          <w:tcPr>
            <w:tcW w:type="dxa" w:w="3312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</w:r>
          </w:p>
        </w:tc>
        <w:tc>
          <w:tcPr>
            <w:tcW w:type="dxa" w:w="1296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□ Open  □ Repaired</w:t>
            </w:r>
          </w:p>
        </w:tc>
      </w:tr>
      <w:tr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Changed answer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</w:r>
          </w:p>
        </w:tc>
        <w:tc>
          <w:tcPr>
            <w:tcW w:type="dxa" w:w="33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□ Open  □ Repaired</w:t>
            </w:r>
          </w:p>
        </w:tc>
      </w:tr>
      <w:tr>
        <w:tc>
          <w:tcPr>
            <w:tcW w:type="dxa" w:w="1728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Timing/number</w:t>
            </w:r>
          </w:p>
        </w:tc>
        <w:tc>
          <w:tcPr>
            <w:tcW w:type="dxa" w:w="792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</w:r>
          </w:p>
        </w:tc>
        <w:tc>
          <w:tcPr>
            <w:tcW w:type="dxa" w:w="2088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</w:r>
          </w:p>
        </w:tc>
        <w:tc>
          <w:tcPr>
            <w:tcW w:type="dxa" w:w="3312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</w:r>
          </w:p>
        </w:tc>
        <w:tc>
          <w:tcPr>
            <w:tcW w:type="dxa" w:w="1296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□ Open  □ Repaired</w:t>
            </w:r>
          </w:p>
        </w:tc>
      </w:tr>
      <w:tr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Role/status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</w:r>
          </w:p>
        </w:tc>
        <w:tc>
          <w:tcPr>
            <w:tcW w:type="dxa" w:w="33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□ Open  □ Repaired</w:t>
            </w:r>
          </w:p>
        </w:tc>
      </w:tr>
      <w:tr>
        <w:tc>
          <w:tcPr>
            <w:tcW w:type="dxa" w:w="1728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Law vs. ethics</w:t>
            </w:r>
          </w:p>
        </w:tc>
        <w:tc>
          <w:tcPr>
            <w:tcW w:type="dxa" w:w="792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</w:r>
          </w:p>
        </w:tc>
        <w:tc>
          <w:tcPr>
            <w:tcW w:type="dxa" w:w="2088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</w:r>
          </w:p>
        </w:tc>
        <w:tc>
          <w:tcPr>
            <w:tcW w:type="dxa" w:w="3312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</w:r>
          </w:p>
        </w:tc>
        <w:tc>
          <w:tcPr>
            <w:tcW w:type="dxa" w:w="1296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□ Open  □ Repaired</w:t>
            </w:r>
          </w:p>
        </w:tc>
      </w:tr>
      <w:tr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Overreaction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</w:r>
          </w:p>
        </w:tc>
        <w:tc>
          <w:tcPr>
            <w:tcW w:type="dxa" w:w="33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□ Open  □ Repaired</w:t>
            </w:r>
          </w:p>
        </w:tc>
      </w:tr>
      <w:tr>
        <w:tc>
          <w:tcPr>
            <w:tcW w:type="dxa" w:w="1728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Underreaction</w:t>
            </w:r>
          </w:p>
        </w:tc>
        <w:tc>
          <w:tcPr>
            <w:tcW w:type="dxa" w:w="792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</w:r>
          </w:p>
        </w:tc>
        <w:tc>
          <w:tcPr>
            <w:tcW w:type="dxa" w:w="2088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</w:r>
          </w:p>
        </w:tc>
        <w:tc>
          <w:tcPr>
            <w:tcW w:type="dxa" w:w="3312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</w:r>
          </w:p>
        </w:tc>
        <w:tc>
          <w:tcPr>
            <w:tcW w:type="dxa" w:w="1296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□ Open  □ Repaired</w:t>
            </w:r>
          </w:p>
        </w:tc>
      </w:tr>
    </w:tbl>
    <w:p>
      <w:pPr>
        <w:pStyle w:val="Heading1"/>
      </w:pPr>
      <w:r>
        <w:t>Final Targeted Study Plan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2304"/>
        <w:gridCol w:w="2232"/>
        <w:gridCol w:w="2880"/>
        <w:gridCol w:w="1008"/>
      </w:tblGrid>
      <w:tr>
        <w:trPr>
          <w:tblHeader w:val="true"/>
        </w:trPr>
        <w:tc>
          <w:tcPr>
            <w:tcW w:type="dxa" w:w="2091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/>
                <w:color w:val="FFFFFF"/>
                <w:sz w:val="14"/>
              </w:rPr>
              <w:t>Priority</w:t>
            </w:r>
          </w:p>
        </w:tc>
        <w:tc>
          <w:tcPr>
            <w:tcW w:type="dxa" w:w="2091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/>
                <w:color w:val="FFFFFF"/>
                <w:sz w:val="14"/>
              </w:rPr>
              <w:t>Chapter/concept</w:t>
            </w:r>
          </w:p>
        </w:tc>
        <w:tc>
          <w:tcPr>
            <w:tcW w:type="dxa" w:w="2091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/>
                <w:color w:val="FFFFFF"/>
                <w:sz w:val="14"/>
              </w:rPr>
              <w:t>Evidence from attempts</w:t>
            </w:r>
          </w:p>
        </w:tc>
        <w:tc>
          <w:tcPr>
            <w:tcW w:type="dxa" w:w="2091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/>
                <w:color w:val="FFFFFF"/>
                <w:sz w:val="14"/>
              </w:rPr>
              <w:t>Specific repair task</w:t>
            </w:r>
          </w:p>
        </w:tc>
        <w:tc>
          <w:tcPr>
            <w:tcW w:type="dxa" w:w="2091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/>
                <w:color w:val="FFFFFF"/>
                <w:sz w:val="14"/>
              </w:rPr>
              <w:t>Recheck date</w:t>
            </w:r>
          </w:p>
        </w:tc>
      </w:tr>
      <w:tr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1</w:t>
            </w:r>
          </w:p>
        </w:tc>
        <w:tc>
          <w:tcPr>
            <w:tcW w:type="dxa" w:w="2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</w:r>
          </w:p>
        </w:tc>
        <w:tc>
          <w:tcPr>
            <w:tcW w:type="dxa" w:w="10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</w:r>
          </w:p>
        </w:tc>
      </w:tr>
      <w:tr>
        <w:tc>
          <w:tcPr>
            <w:tcW w:type="dxa" w:w="792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2</w:t>
            </w:r>
          </w:p>
        </w:tc>
        <w:tc>
          <w:tcPr>
            <w:tcW w:type="dxa" w:w="2304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</w:r>
          </w:p>
        </w:tc>
        <w:tc>
          <w:tcPr>
            <w:tcW w:type="dxa" w:w="2232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</w:r>
          </w:p>
        </w:tc>
        <w:tc>
          <w:tcPr>
            <w:tcW w:type="dxa" w:w="2880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</w:r>
          </w:p>
        </w:tc>
        <w:tc>
          <w:tcPr>
            <w:tcW w:type="dxa" w:w="1008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</w:r>
          </w:p>
        </w:tc>
      </w:tr>
      <w:tr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2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</w:r>
          </w:p>
        </w:tc>
        <w:tc>
          <w:tcPr>
            <w:tcW w:type="dxa" w:w="10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</w:r>
          </w:p>
        </w:tc>
      </w:tr>
      <w:tr>
        <w:tc>
          <w:tcPr>
            <w:tcW w:type="dxa" w:w="792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2304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</w:r>
          </w:p>
        </w:tc>
        <w:tc>
          <w:tcPr>
            <w:tcW w:type="dxa" w:w="2232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</w:r>
          </w:p>
        </w:tc>
        <w:tc>
          <w:tcPr>
            <w:tcW w:type="dxa" w:w="2880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</w:r>
          </w:p>
        </w:tc>
        <w:tc>
          <w:tcPr>
            <w:tcW w:type="dxa" w:w="1008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</w:r>
          </w:p>
        </w:tc>
      </w:tr>
      <w:tr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2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</w:r>
          </w:p>
        </w:tc>
        <w:tc>
          <w:tcPr>
            <w:tcW w:type="dxa" w:w="10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</w:r>
          </w:p>
        </w:tc>
      </w:tr>
      <w:tr>
        <w:tc>
          <w:tcPr>
            <w:tcW w:type="dxa" w:w="792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2304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</w:r>
          </w:p>
        </w:tc>
        <w:tc>
          <w:tcPr>
            <w:tcW w:type="dxa" w:w="2232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</w:r>
          </w:p>
        </w:tc>
        <w:tc>
          <w:tcPr>
            <w:tcW w:type="dxa" w:w="2880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</w:r>
          </w:p>
        </w:tc>
        <w:tc>
          <w:tcPr>
            <w:tcW w:type="dxa" w:w="1008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</w:r>
          </w:p>
        </w:tc>
      </w:tr>
      <w:tr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2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</w:r>
          </w:p>
        </w:tc>
        <w:tc>
          <w:tcPr>
            <w:tcW w:type="dxa" w:w="10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</w:r>
          </w:p>
        </w:tc>
      </w:tr>
      <w:tr>
        <w:tc>
          <w:tcPr>
            <w:tcW w:type="dxa" w:w="792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2304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</w:r>
          </w:p>
        </w:tc>
        <w:tc>
          <w:tcPr>
            <w:tcW w:type="dxa" w:w="2232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</w:r>
          </w:p>
        </w:tc>
        <w:tc>
          <w:tcPr>
            <w:tcW w:type="dxa" w:w="2880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</w:r>
          </w:p>
        </w:tc>
        <w:tc>
          <w:tcPr>
            <w:tcW w:type="dxa" w:w="1008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</w:r>
          </w:p>
        </w:tc>
      </w:tr>
    </w:tbl>
    <w:p>
      <w:pPr>
        <w:pStyle w:val="Heading1"/>
      </w:pPr>
      <w:r>
        <w:t>Source Basis and Currency Control</w:t>
      </w:r>
    </w:p>
    <w:p>
      <w:pPr>
        <w:spacing w:after="100" w:line="252" w:lineRule="auto"/>
      </w:pPr>
      <w:r>
        <w:t>Source review date: August 7, 2026. California law and current official examination materials control if later changes conflict with this resource. The 2014 ACA Code of Ethics is the operative counseling-ethics source used for this release. CTA will update this resource when a later official ethics code or other material source change becomes effective.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5616"/>
      </w:tblGrid>
      <w:tr>
        <w:trPr>
          <w:tblHeader w:val="true"/>
        </w:trPr>
        <w:tc>
          <w:tcPr>
            <w:tcW w:type="dxa" w:w="5227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/>
                <w:color w:val="FFFFFF"/>
                <w:sz w:val="15"/>
              </w:rPr>
              <w:t>Official source</w:t>
            </w:r>
          </w:p>
        </w:tc>
        <w:tc>
          <w:tcPr>
            <w:tcW w:type="dxa" w:w="5227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/>
                <w:color w:val="FFFFFF"/>
                <w:sz w:val="15"/>
              </w:rPr>
              <w:t>Reference</w:t>
            </w:r>
          </w:p>
        </w:tc>
      </w:tr>
      <w:tr>
        <w:tc>
          <w:tcPr>
            <w:tcW w:type="dxa" w:w="36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5"/>
              </w:rPr>
              <w:t>California Board of Behavioral Sciences — California Law and Ethics Examination</w:t>
            </w:r>
          </w:p>
        </w:tc>
        <w:tc>
          <w:tcPr>
            <w:tcW w:type="dxa" w:w="56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5"/>
              </w:rPr>
              <w:t>https://www.bbs.ca.gov/exams/calaw_ethics.html</w:t>
            </w:r>
          </w:p>
        </w:tc>
      </w:tr>
      <w:tr>
        <w:tc>
          <w:tcPr>
            <w:tcW w:type="dxa" w:w="3600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5"/>
              </w:rPr>
              <w:t>California Board of Behavioral Sciences — 2026 Statutes and Regulations</w:t>
            </w:r>
          </w:p>
        </w:tc>
        <w:tc>
          <w:tcPr>
            <w:tcW w:type="dxa" w:w="5616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5"/>
              </w:rPr>
              <w:t>https://www.bbs.ca.gov/pdf/publications/lawsregs.pdf</w:t>
            </w:r>
          </w:p>
        </w:tc>
      </w:tr>
      <w:tr>
        <w:tc>
          <w:tcPr>
            <w:tcW w:type="dxa" w:w="36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5"/>
              </w:rPr>
              <w:t>California Board of Behavioral Sciences — Law Changes</w:t>
            </w:r>
          </w:p>
        </w:tc>
        <w:tc>
          <w:tcPr>
            <w:tcW w:type="dxa" w:w="56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5"/>
              </w:rPr>
              <w:t>https://www.bbs.ca.gov/about/law_changes.html</w:t>
            </w:r>
          </w:p>
        </w:tc>
      </w:tr>
      <w:tr>
        <w:tc>
          <w:tcPr>
            <w:tcW w:type="dxa" w:w="3600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5"/>
              </w:rPr>
              <w:t>Pearson VUE — California BBS examination resources</w:t>
            </w:r>
          </w:p>
        </w:tc>
        <w:tc>
          <w:tcPr>
            <w:tcW w:type="dxa" w:w="5616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5"/>
              </w:rPr>
              <w:t>https://www.pearsonvue.com/us/en/bbs.html</w:t>
            </w:r>
          </w:p>
        </w:tc>
      </w:tr>
      <w:tr>
        <w:tc>
          <w:tcPr>
            <w:tcW w:type="dxa" w:w="36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5"/>
              </w:rPr>
              <w:t>American Counseling Association — Ethics Resources</w:t>
            </w:r>
          </w:p>
        </w:tc>
        <w:tc>
          <w:tcPr>
            <w:tcW w:type="dxa" w:w="56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5"/>
              </w:rPr>
              <w:t>https://www.counseling.org/resources/ethics</w:t>
            </w:r>
          </w:p>
        </w:tc>
      </w:tr>
      <w:tr>
        <w:tc>
          <w:tcPr>
            <w:tcW w:type="dxa" w:w="3600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5"/>
              </w:rPr>
              <w:t>American Counseling Association — 2026 Code Revision Project</w:t>
            </w:r>
          </w:p>
        </w:tc>
        <w:tc>
          <w:tcPr>
            <w:tcW w:type="dxa" w:w="5616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5"/>
              </w:rPr>
              <w:t>https://manifold.counseling.org/projects/aca-code-of-ethics</w:t>
            </w:r>
          </w:p>
        </w:tc>
      </w:tr>
      <w:tr>
        <w:tc>
          <w:tcPr>
            <w:tcW w:type="dxa" w:w="36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5"/>
              </w:rPr>
              <w:t>California Legislative Information — Penal Code §11166</w:t>
            </w:r>
          </w:p>
        </w:tc>
        <w:tc>
          <w:tcPr>
            <w:tcW w:type="dxa" w:w="56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5"/>
              </w:rPr>
              <w:t>https://leginfo.legislature.ca.gov/faces/codes_displaySection.xhtml?lawCode=PEN&amp;sectionNum=11166.</w:t>
            </w:r>
          </w:p>
        </w:tc>
      </w:tr>
      <w:tr>
        <w:tc>
          <w:tcPr>
            <w:tcW w:type="dxa" w:w="3600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5"/>
              </w:rPr>
              <w:t>California Legislative Information — Family Code §6924</w:t>
            </w:r>
          </w:p>
        </w:tc>
        <w:tc>
          <w:tcPr>
            <w:tcW w:type="dxa" w:w="5616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5"/>
              </w:rPr>
              <w:t>https://leginfo.legislature.ca.gov/faces/codes_displaySection.xhtml?lawCode=FAM&amp;sectionNum=6924.</w:t>
            </w:r>
          </w:p>
        </w:tc>
      </w:tr>
      <w:tr>
        <w:tc>
          <w:tcPr>
            <w:tcW w:type="dxa" w:w="36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5"/>
              </w:rPr>
              <w:t>California Legislative Information — Health &amp; Safety Code §123110 et seq.</w:t>
            </w:r>
          </w:p>
        </w:tc>
        <w:tc>
          <w:tcPr>
            <w:tcW w:type="dxa" w:w="56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5"/>
              </w:rPr>
              <w:t>https://leginfo.legislature.ca.gov/faces/codes_displayText.xhtml?article=&amp;chapter=1.&amp;division=106.&amp;lawCode=HSC&amp;part=1.&amp;title=</w:t>
            </w:r>
          </w:p>
        </w:tc>
      </w:tr>
      <w:tr>
        <w:tc>
          <w:tcPr>
            <w:tcW w:type="dxa" w:w="3600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5"/>
              </w:rPr>
              <w:t>California Legislative Information — Welfare &amp; Institutions Code §15630</w:t>
            </w:r>
          </w:p>
        </w:tc>
        <w:tc>
          <w:tcPr>
            <w:tcW w:type="dxa" w:w="5616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5"/>
              </w:rPr>
              <w:t>https://leginfo.legislature.ca.gov/faces/codes_displaySection.xhtml?lawCode=WIC&amp;sectionNum=15630.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88"/>
      </w:tblGrid>
      <w:tr>
        <w:tc>
          <w:tcPr>
            <w:tcW w:type="dxa" w:w="10454"/>
            <w:shd w:fill="FFF4C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CURRENTNESS AND UPDATE CONTROL</w:t>
            </w:r>
            <w:r>
              <w:rPr>
                <w:rFonts w:ascii="Noto Sans" w:hAnsi="Noto Sans"/>
                <w:b/>
                <w:color w:val="17365D"/>
                <w:sz w:val="20"/>
              </w:rPr>
            </w:r>
          </w:p>
          <w:p>
            <w:r>
              <w:rPr>
                <w:rFonts w:ascii="Noto Sans" w:hAnsi="Noto Sans"/>
                <w:color w:val="1F2937"/>
                <w:sz w:val="19"/>
              </w:rPr>
              <w:t>Approved for learner use under CTA-EP-003. Learners should review current official examination and licensing materials near their examination date. CTA will version and update this resource when material official requirements or ethics standards change.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" w:hAnsi="Noto Sans"/>
        <w:color w:val="6E7681"/>
        <w:sz w:val="16"/>
      </w:rPr>
      <w:t>CTA | LPCC California Law &amp; Ethics Exam Preparation | LEARNER RESOURCE | RELEASE VERSION | NO CE CREDIT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2057400" cy="141514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Primary Horizontal 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57400" cy="141514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" w:hAnsi="Noto Sans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" w:hAnsi="Noto Sans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" w:hAnsi="Noto Sans"/>
      <w:b/>
      <w:bCs/>
      <w:color w:val="1DA9A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" w:hAnsi="Noto Sans"/>
      <w:b/>
      <w:bCs/>
      <w:color w:val="1736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" w:hAnsi="Noto Sans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