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1886857"/>
            <wp:docPr id="1" name="Picture 1"/>
            <wp:cNvGraphicFramePr>
              <a:graphicFrameLocks noChangeAspect="1"/>
            </wp:cNvGraphicFramePr>
            <a:graphic>
              <a:graphicData uri="http://schemas.openxmlformats.org/drawingml/2006/picture">
                <pic:pic>
                  <pic:nvPicPr>
                    <pic:cNvPr id="0" name="Primary Horizontal Logo.png"/>
                    <pic:cNvPicPr/>
                  </pic:nvPicPr>
                  <pic:blipFill>
                    <a:blip r:embed="rId9"/>
                    <a:stretch>
                      <a:fillRect/>
                    </a:stretch>
                  </pic:blipFill>
                  <pic:spPr>
                    <a:xfrm>
                      <a:off x="0" y="0"/>
                      <a:ext cx="2743200" cy="1886857"/>
                    </a:xfrm>
                    <a:prstGeom prst="rect"/>
                  </pic:spPr>
                </pic:pic>
              </a:graphicData>
            </a:graphic>
          </wp:inline>
        </w:drawing>
      </w:r>
    </w:p>
    <w:p>
      <w:pPr>
        <w:pStyle w:val="Title"/>
        <w:jc w:val="center"/>
      </w:pPr>
      <w:r>
        <w:t>LPCC Law &amp; Ethics Study Guide</w:t>
      </w:r>
    </w:p>
    <w:p>
      <w:pPr>
        <w:jc w:val="center"/>
      </w:pPr>
      <w:r>
        <w:rPr>
          <w:b/>
          <w:color w:val="179B95"/>
          <w:sz w:val="26"/>
        </w:rPr>
        <w:t>Workbook 1: Informed Consent, Minors, and Family Involvement | LPCC Candidate Edition</w:t>
      </w:r>
    </w:p>
    <w:p>
      <w:pPr>
        <w:jc w:val="center"/>
      </w:pPr>
      <w:r>
        <w:rPr>
          <w:color w:val="5F5F5F"/>
          <w:sz w:val="18"/>
        </w:rPr>
        <w:t>CTA-EP-003 | Version 1.0 | August 7, 2026</w:t>
      </w:r>
    </w:p>
    <w:tbl>
      <w:tblPr>
        <w:tblStyle w:val="TableGrid"/>
        <w:tblW w:type="auto" w:w="0"/>
        <w:jc w:val="center"/>
        <w:tblLook w:firstColumn="1" w:firstRow="1" w:lastColumn="0" w:lastRow="0" w:noHBand="0" w:noVBand="1" w:val="04A0"/>
      </w:tblPr>
      <w:tblGrid>
        <w:gridCol w:w="10368"/>
      </w:tblGrid>
      <w:tr>
        <w:tc>
          <w:tcPr>
            <w:tcW w:type="dxa" w:w="10368"/>
            <w:shd w:fill="FFF4D6"/>
            <w:vAlign w:val="top"/>
          </w:tcPr>
          <w:p>
            <w:pPr>
              <w:spacing w:after="0"/>
            </w:pPr>
            <w:r/>
            <w:r>
              <w:rPr>
                <w:rFonts w:ascii="Aptos" w:hAnsi="Aptos"/>
                <w:b/>
                <w:sz w:val="18"/>
              </w:rPr>
              <w:t>EXAM PREPARATION ONLY. No CE credit or certificate. Educational material - not legal advice, an eligibility decision, or a guarantee of examination success.</w:t>
            </w:r>
          </w:p>
        </w:tc>
      </w:tr>
    </w:tbl>
    <w:p>
      <w:pPr>
        <w:pStyle w:val="Heading1"/>
      </w:pPr>
      <w:r>
        <w:t>Publication Notice</w:t>
      </w:r>
    </w:p>
    <w:p>
      <w:r>
        <w:t>This LPCC Candidate Edition is a final learner-facing reconstruction built from the approved LPCC/APCC Study Center and completed LPCC production controls. It is profession-specific to the California LPCC Law and Ethics Examination. The guide teaches study principles and reasoning frameworks; candidates should consult current official BBS and examination materials for current administrative requirements.</w:t>
      </w:r>
    </w:p>
    <w:p>
      <w:r>
        <w:t>CTA is independent and is not affiliated with, sponsored by, or endorsed by the California Board of Behavioral Sciences, Pearson VUE, ACA, NBCC, or CCE.</w:t>
      </w:r>
    </w:p>
    <w:p>
      <w:pPr>
        <w:pStyle w:val="Heading1"/>
      </w:pPr>
      <w:r>
        <w:t>How to Use This Workbook</w:t>
      </w:r>
    </w:p>
    <w:p>
      <w:pPr>
        <w:pStyle w:val="ListBullet"/>
        <w:spacing w:after="30"/>
      </w:pPr>
      <w:r>
        <w:t>Study each core chapter in order or use the chapters selectively for remediation.</w:t>
      </w:r>
    </w:p>
    <w:p>
      <w:pPr>
        <w:pStyle w:val="ListBullet"/>
        <w:spacing w:after="30"/>
      </w:pPr>
      <w:r>
        <w:t>For each concept, learn the controlling rule first, then use the memory cue to recognize common exam distinctions.</w:t>
      </w:r>
    </w:p>
    <w:p>
      <w:pPr>
        <w:pStyle w:val="ListBullet"/>
        <w:spacing w:after="30"/>
      </w:pPr>
      <w:r>
        <w:t>Complete the corresponding online chapter test after study; chapter tests are separate from this learner guide.</w:t>
      </w:r>
    </w:p>
    <w:p>
      <w:pPr>
        <w:pStyle w:val="ListBullet"/>
        <w:spacing w:after="30"/>
      </w:pPr>
      <w:r>
        <w:t>Use the 807-card Study Center for spaced review and targeted remediation.</w:t>
      </w:r>
    </w:p>
    <w:p>
      <w:pPr>
        <w:pStyle w:val="ListBullet"/>
        <w:spacing w:after="30"/>
      </w:pPr>
      <w:r>
        <w:t>When a current legal, regulatory, or ethics source changes, follow CTA's posted update notice.</w:t>
      </w:r>
    </w:p>
    <w:p>
      <w:pPr>
        <w:pStyle w:val="Heading1"/>
      </w:pPr>
      <w:r>
        <w:t>Chapter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007"/>
            <w:vAlign w:val="top"/>
            <w:shd w:fill="17365D"/>
          </w:tcPr>
          <w:p>
            <w:pPr>
              <w:spacing w:after="0"/>
            </w:pPr>
            <w:r/>
            <w:r>
              <w:rPr>
                <w:rFonts w:ascii="Aptos" w:hAnsi="Aptos"/>
                <w:b/>
                <w:color w:val="FFFFFF"/>
                <w:sz w:val="18"/>
              </w:rPr>
              <w:t>Chapter</w:t>
            </w:r>
          </w:p>
        </w:tc>
        <w:tc>
          <w:tcPr>
            <w:tcW w:type="dxa" w:w="8063"/>
            <w:vAlign w:val="top"/>
            <w:shd w:fill="17365D"/>
          </w:tcPr>
          <w:p>
            <w:pPr>
              <w:spacing w:after="0"/>
            </w:pPr>
            <w:r/>
            <w:r>
              <w:rPr>
                <w:rFonts w:ascii="Aptos" w:hAnsi="Aptos"/>
                <w:b/>
                <w:color w:val="FFFFFF"/>
                <w:sz w:val="18"/>
              </w:rPr>
              <w:t>Title</w:t>
            </w:r>
          </w:p>
        </w:tc>
        <w:tc>
          <w:tcPr>
            <w:tcW w:type="dxa" w:w="1296"/>
            <w:vAlign w:val="top"/>
            <w:shd w:fill="17365D"/>
          </w:tcPr>
          <w:p>
            <w:pPr>
              <w:spacing w:after="0"/>
            </w:pPr>
            <w:r/>
            <w:r>
              <w:rPr>
                <w:rFonts w:ascii="Aptos" w:hAnsi="Aptos"/>
                <w:b/>
                <w:color w:val="FFFFFF"/>
                <w:sz w:val="18"/>
              </w:rPr>
              <w:t>Study Cards</w:t>
            </w:r>
          </w:p>
        </w:tc>
      </w:tr>
      <w:tr>
        <w:tc>
          <w:tcPr>
            <w:tcW w:type="dxa" w:w="1007"/>
            <w:vAlign w:val="top"/>
          </w:tcPr>
          <w:p>
            <w:pPr>
              <w:spacing w:after="0"/>
            </w:pPr>
            <w:r/>
            <w:r>
              <w:rPr>
                <w:rFonts w:ascii="Aptos" w:hAnsi="Aptos"/>
                <w:b w:val="0"/>
                <w:sz w:val="17"/>
              </w:rPr>
              <w:t>1</w:t>
            </w:r>
          </w:p>
        </w:tc>
        <w:tc>
          <w:tcPr>
            <w:tcW w:type="dxa" w:w="8063"/>
            <w:vAlign w:val="top"/>
          </w:tcPr>
          <w:p>
            <w:pPr>
              <w:spacing w:after="0"/>
            </w:pPr>
            <w:r/>
            <w:r>
              <w:rPr>
                <w:rFonts w:ascii="Aptos" w:hAnsi="Aptos"/>
                <w:b w:val="0"/>
                <w:sz w:val="17"/>
              </w:rPr>
              <w:t>Foundations of Informed Consent</w:t>
            </w:r>
          </w:p>
        </w:tc>
        <w:tc>
          <w:tcPr>
            <w:tcW w:type="dxa" w:w="1296"/>
            <w:vAlign w:val="top"/>
          </w:tcPr>
          <w:p>
            <w:pPr>
              <w:spacing w:after="0"/>
            </w:pPr>
            <w:r/>
            <w:r>
              <w:rPr>
                <w:rFonts w:ascii="Aptos" w:hAnsi="Aptos"/>
                <w:b w:val="0"/>
                <w:sz w:val="17"/>
              </w:rPr>
              <w:t>17</w:t>
            </w:r>
          </w:p>
        </w:tc>
      </w:tr>
      <w:tr>
        <w:tc>
          <w:tcPr>
            <w:tcW w:type="dxa" w:w="1007"/>
            <w:vAlign w:val="top"/>
            <w:shd w:fill="F2F4F7"/>
          </w:tcPr>
          <w:p>
            <w:pPr>
              <w:spacing w:after="0"/>
            </w:pPr>
            <w:r/>
            <w:r>
              <w:rPr>
                <w:rFonts w:ascii="Aptos" w:hAnsi="Aptos"/>
                <w:b w:val="0"/>
                <w:sz w:val="17"/>
              </w:rPr>
              <w:t>2</w:t>
            </w:r>
          </w:p>
        </w:tc>
        <w:tc>
          <w:tcPr>
            <w:tcW w:type="dxa" w:w="8063"/>
            <w:vAlign w:val="top"/>
            <w:shd w:fill="F2F4F7"/>
          </w:tcPr>
          <w:p>
            <w:pPr>
              <w:spacing w:after="0"/>
            </w:pPr>
            <w:r/>
            <w:r>
              <w:rPr>
                <w:rFonts w:ascii="Aptos" w:hAnsi="Aptos"/>
                <w:b w:val="0"/>
                <w:sz w:val="17"/>
              </w:rPr>
              <w:t>Information Required for Informed Decision-Making</w:t>
            </w:r>
          </w:p>
        </w:tc>
        <w:tc>
          <w:tcPr>
            <w:tcW w:type="dxa" w:w="1296"/>
            <w:vAlign w:val="top"/>
            <w:shd w:fill="F2F4F7"/>
          </w:tcPr>
          <w:p>
            <w:pPr>
              <w:spacing w:after="0"/>
            </w:pPr>
            <w:r/>
            <w:r>
              <w:rPr>
                <w:rFonts w:ascii="Aptos" w:hAnsi="Aptos"/>
                <w:b w:val="0"/>
                <w:sz w:val="17"/>
              </w:rPr>
              <w:t>17</w:t>
            </w:r>
          </w:p>
        </w:tc>
      </w:tr>
      <w:tr>
        <w:tc>
          <w:tcPr>
            <w:tcW w:type="dxa" w:w="1007"/>
            <w:vAlign w:val="top"/>
          </w:tcPr>
          <w:p>
            <w:pPr>
              <w:spacing w:after="0"/>
            </w:pPr>
            <w:r/>
            <w:r>
              <w:rPr>
                <w:rFonts w:ascii="Aptos" w:hAnsi="Aptos"/>
                <w:b w:val="0"/>
                <w:sz w:val="17"/>
              </w:rPr>
              <w:t>3</w:t>
            </w:r>
          </w:p>
        </w:tc>
        <w:tc>
          <w:tcPr>
            <w:tcW w:type="dxa" w:w="8063"/>
            <w:vAlign w:val="top"/>
          </w:tcPr>
          <w:p>
            <w:pPr>
              <w:spacing w:after="0"/>
            </w:pPr>
            <w:r/>
            <w:r>
              <w:rPr>
                <w:rFonts w:ascii="Aptos" w:hAnsi="Aptos"/>
                <w:b w:val="0"/>
                <w:sz w:val="17"/>
              </w:rPr>
              <w:t>Ongoing Informed Consent</w:t>
            </w:r>
          </w:p>
        </w:tc>
        <w:tc>
          <w:tcPr>
            <w:tcW w:type="dxa" w:w="1296"/>
            <w:vAlign w:val="top"/>
          </w:tcPr>
          <w:p>
            <w:pPr>
              <w:spacing w:after="0"/>
            </w:pPr>
            <w:r/>
            <w:r>
              <w:rPr>
                <w:rFonts w:ascii="Aptos" w:hAnsi="Aptos"/>
                <w:b w:val="0"/>
                <w:sz w:val="17"/>
              </w:rPr>
              <w:t>17</w:t>
            </w:r>
          </w:p>
        </w:tc>
      </w:tr>
      <w:tr>
        <w:tc>
          <w:tcPr>
            <w:tcW w:type="dxa" w:w="1007"/>
            <w:vAlign w:val="top"/>
            <w:shd w:fill="F2F4F7"/>
          </w:tcPr>
          <w:p>
            <w:pPr>
              <w:spacing w:after="0"/>
            </w:pPr>
            <w:r/>
            <w:r>
              <w:rPr>
                <w:rFonts w:ascii="Aptos" w:hAnsi="Aptos"/>
                <w:b w:val="0"/>
                <w:sz w:val="17"/>
              </w:rPr>
              <w:t>4</w:t>
            </w:r>
          </w:p>
        </w:tc>
        <w:tc>
          <w:tcPr>
            <w:tcW w:type="dxa" w:w="8063"/>
            <w:vAlign w:val="top"/>
            <w:shd w:fill="F2F4F7"/>
          </w:tcPr>
          <w:p>
            <w:pPr>
              <w:spacing w:after="0"/>
            </w:pPr>
            <w:r/>
            <w:r>
              <w:rPr>
                <w:rFonts w:ascii="Aptos" w:hAnsi="Aptos"/>
                <w:b w:val="0"/>
                <w:sz w:val="17"/>
              </w:rPr>
              <w:t>Required Disclosures</w:t>
            </w:r>
          </w:p>
        </w:tc>
        <w:tc>
          <w:tcPr>
            <w:tcW w:type="dxa" w:w="1296"/>
            <w:vAlign w:val="top"/>
            <w:shd w:fill="F2F4F7"/>
          </w:tcPr>
          <w:p>
            <w:pPr>
              <w:spacing w:after="0"/>
            </w:pPr>
            <w:r/>
            <w:r>
              <w:rPr>
                <w:rFonts w:ascii="Aptos" w:hAnsi="Aptos"/>
                <w:b w:val="0"/>
                <w:sz w:val="17"/>
              </w:rPr>
              <w:t>16</w:t>
            </w:r>
          </w:p>
        </w:tc>
      </w:tr>
      <w:tr>
        <w:tc>
          <w:tcPr>
            <w:tcW w:type="dxa" w:w="1007"/>
            <w:vAlign w:val="top"/>
          </w:tcPr>
          <w:p>
            <w:pPr>
              <w:spacing w:after="0"/>
            </w:pPr>
            <w:r/>
            <w:r>
              <w:rPr>
                <w:rFonts w:ascii="Aptos" w:hAnsi="Aptos"/>
                <w:b w:val="0"/>
                <w:sz w:val="17"/>
              </w:rPr>
              <w:t>5</w:t>
            </w:r>
          </w:p>
        </w:tc>
        <w:tc>
          <w:tcPr>
            <w:tcW w:type="dxa" w:w="8063"/>
            <w:vAlign w:val="top"/>
          </w:tcPr>
          <w:p>
            <w:pPr>
              <w:spacing w:after="0"/>
            </w:pPr>
            <w:r/>
            <w:r>
              <w:rPr>
                <w:rFonts w:ascii="Aptos" w:hAnsi="Aptos"/>
                <w:b w:val="0"/>
                <w:sz w:val="17"/>
              </w:rPr>
              <w:t>General Consent Requirements for Minors</w:t>
            </w:r>
          </w:p>
        </w:tc>
        <w:tc>
          <w:tcPr>
            <w:tcW w:type="dxa" w:w="1296"/>
            <w:vAlign w:val="top"/>
          </w:tcPr>
          <w:p>
            <w:pPr>
              <w:spacing w:after="0"/>
            </w:pPr>
            <w:r/>
            <w:r>
              <w:rPr>
                <w:rFonts w:ascii="Aptos" w:hAnsi="Aptos"/>
                <w:b w:val="0"/>
                <w:sz w:val="17"/>
              </w:rPr>
              <w:t>22</w:t>
            </w:r>
          </w:p>
        </w:tc>
      </w:tr>
      <w:tr>
        <w:tc>
          <w:tcPr>
            <w:tcW w:type="dxa" w:w="1007"/>
            <w:vAlign w:val="top"/>
            <w:shd w:fill="F2F4F7"/>
          </w:tcPr>
          <w:p>
            <w:pPr>
              <w:spacing w:after="0"/>
            </w:pPr>
            <w:r/>
            <w:r>
              <w:rPr>
                <w:rFonts w:ascii="Aptos" w:hAnsi="Aptos"/>
                <w:b w:val="0"/>
                <w:sz w:val="17"/>
              </w:rPr>
              <w:t>6</w:t>
            </w:r>
          </w:p>
        </w:tc>
        <w:tc>
          <w:tcPr>
            <w:tcW w:type="dxa" w:w="8063"/>
            <w:vAlign w:val="top"/>
            <w:shd w:fill="F2F4F7"/>
          </w:tcPr>
          <w:p>
            <w:pPr>
              <w:spacing w:after="0"/>
            </w:pPr>
            <w:r/>
            <w:r>
              <w:rPr>
                <w:rFonts w:ascii="Aptos" w:hAnsi="Aptos"/>
                <w:b w:val="0"/>
                <w:sz w:val="17"/>
              </w:rPr>
              <w:t>Minor Consent Exceptions</w:t>
            </w:r>
          </w:p>
        </w:tc>
        <w:tc>
          <w:tcPr>
            <w:tcW w:type="dxa" w:w="1296"/>
            <w:vAlign w:val="top"/>
            <w:shd w:fill="F2F4F7"/>
          </w:tcPr>
          <w:p>
            <w:pPr>
              <w:spacing w:after="0"/>
            </w:pPr>
            <w:r/>
            <w:r>
              <w:rPr>
                <w:rFonts w:ascii="Aptos" w:hAnsi="Aptos"/>
                <w:b w:val="0"/>
                <w:sz w:val="17"/>
              </w:rPr>
              <w:t>35</w:t>
            </w:r>
          </w:p>
        </w:tc>
      </w:tr>
      <w:tr>
        <w:tc>
          <w:tcPr>
            <w:tcW w:type="dxa" w:w="1007"/>
            <w:vAlign w:val="top"/>
          </w:tcPr>
          <w:p>
            <w:pPr>
              <w:spacing w:after="0"/>
            </w:pPr>
            <w:r/>
            <w:r>
              <w:rPr>
                <w:rFonts w:ascii="Aptos" w:hAnsi="Aptos"/>
                <w:b w:val="0"/>
                <w:sz w:val="17"/>
              </w:rPr>
              <w:t>7</w:t>
            </w:r>
          </w:p>
        </w:tc>
        <w:tc>
          <w:tcPr>
            <w:tcW w:type="dxa" w:w="8063"/>
            <w:vAlign w:val="top"/>
          </w:tcPr>
          <w:p>
            <w:pPr>
              <w:spacing w:after="0"/>
            </w:pPr>
            <w:r/>
            <w:r>
              <w:rPr>
                <w:rFonts w:ascii="Aptos" w:hAnsi="Aptos"/>
                <w:b w:val="0"/>
                <w:sz w:val="17"/>
              </w:rPr>
              <w:t>Working with Parents and Families</w:t>
            </w:r>
          </w:p>
        </w:tc>
        <w:tc>
          <w:tcPr>
            <w:tcW w:type="dxa" w:w="1296"/>
            <w:vAlign w:val="top"/>
          </w:tcPr>
          <w:p>
            <w:pPr>
              <w:spacing w:after="0"/>
            </w:pPr>
            <w:r/>
            <w:r>
              <w:rPr>
                <w:rFonts w:ascii="Aptos" w:hAnsi="Aptos"/>
                <w:b w:val="0"/>
                <w:sz w:val="17"/>
              </w:rPr>
              <w:t>42</w:t>
            </w:r>
          </w:p>
        </w:tc>
      </w:tr>
    </w:tbl>
    <w:p>
      <w:r>
        <w:br w:type="page"/>
      </w:r>
    </w:p>
    <w:p>
      <w:pPr>
        <w:pStyle w:val="Heading2"/>
      </w:pPr>
      <w:r>
        <w:t>Chapter 1</w:t>
      </w:r>
    </w:p>
    <w:p>
      <w:pPr>
        <w:pStyle w:val="Heading1"/>
      </w:pPr>
      <w:r>
        <w:t>Foundations of Informed Consent</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Meaningful informed consent is a process involving information, sufficient understanding, voluntariness, and an actual treatment decision. Informed consent exists to support meaningful client decision-making and participation.</w:t>
            </w:r>
          </w:p>
        </w:tc>
      </w:tr>
    </w:tbl>
    <w:p>
      <w:pPr>
        <w:pStyle w:val="Heading2"/>
      </w:pPr>
      <w:r>
        <w:t>What to Learn</w:t>
      </w:r>
    </w:p>
    <w:p>
      <w:pPr>
        <w:pStyle w:val="ListBullet"/>
        <w:spacing w:after="30"/>
      </w:pPr>
      <w:r>
        <w:t>Explain and apply Informed Consent as a Process.</w:t>
      </w:r>
    </w:p>
    <w:p>
      <w:pPr>
        <w:pStyle w:val="ListBullet"/>
        <w:spacing w:after="30"/>
      </w:pPr>
      <w:r>
        <w:t>Explain and apply Purpose and Autonomy.</w:t>
      </w:r>
    </w:p>
    <w:p>
      <w:pPr>
        <w:pStyle w:val="ListBullet"/>
        <w:spacing w:after="30"/>
      </w:pPr>
      <w:r>
        <w:t>Explain and apply Informed Refusal.</w:t>
      </w:r>
    </w:p>
    <w:p>
      <w:pPr>
        <w:pStyle w:val="ListBullet"/>
        <w:spacing w:after="30"/>
      </w:pPr>
      <w:r>
        <w:t>Explain and apply Decision-Specific Capacity.</w:t>
      </w:r>
    </w:p>
    <w:p>
      <w:pPr>
        <w:pStyle w:val="ListBullet"/>
        <w:spacing w:after="30"/>
      </w:pPr>
      <w:r>
        <w:t>Explain and apply Questions After Intake.</w:t>
      </w:r>
    </w:p>
    <w:p>
      <w:pPr>
        <w:pStyle w:val="ListBullet"/>
        <w:spacing w:after="30"/>
      </w:pPr>
      <w:r>
        <w:t>Explain and apply Shared Decision-Making.</w:t>
      </w:r>
    </w:p>
    <w:p>
      <w:pPr>
        <w:pStyle w:val="ListBullet"/>
        <w:spacing w:after="30"/>
      </w:pPr>
      <w:r>
        <w:t>Explain and apply External Pressure and Voluntariness.</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Informed Consent as a Process</w:t>
            </w:r>
          </w:p>
        </w:tc>
        <w:tc>
          <w:tcPr>
            <w:tcW w:type="dxa" w:w="5256"/>
            <w:vAlign w:val="top"/>
          </w:tcPr>
          <w:p>
            <w:pPr>
              <w:spacing w:after="0"/>
            </w:pPr>
            <w:r/>
            <w:r>
              <w:rPr>
                <w:rFonts w:ascii="Aptos" w:hAnsi="Aptos"/>
                <w:b w:val="0"/>
                <w:sz w:val="16"/>
              </w:rPr>
              <w:t>Meaningful informed consent is a process involving information, sufficient understanding, voluntariness, and an actual treatment decision.</w:t>
            </w:r>
          </w:p>
        </w:tc>
        <w:tc>
          <w:tcPr>
            <w:tcW w:type="dxa" w:w="2520"/>
            <w:vAlign w:val="top"/>
          </w:tcPr>
          <w:p>
            <w:pPr>
              <w:spacing w:after="0"/>
            </w:pPr>
            <w:r/>
            <w:r>
              <w:rPr>
                <w:rFonts w:ascii="Aptos" w:hAnsi="Aptos"/>
                <w:b w:val="0"/>
                <w:sz w:val="16"/>
              </w:rPr>
              <w:t>When the choices contrast a process with paperwork, select the answer centered on meaningful decision-making.</w:t>
            </w:r>
          </w:p>
        </w:tc>
      </w:tr>
      <w:tr>
        <w:tc>
          <w:tcPr>
            <w:tcW w:type="dxa" w:w="2376"/>
            <w:vAlign w:val="top"/>
            <w:shd w:fill="F7F9FA"/>
          </w:tcPr>
          <w:p>
            <w:pPr>
              <w:spacing w:after="0"/>
            </w:pPr>
            <w:r/>
            <w:r>
              <w:rPr>
                <w:rFonts w:ascii="Aptos" w:hAnsi="Aptos"/>
                <w:b/>
                <w:sz w:val="16"/>
              </w:rPr>
              <w:t>Purpose and Autonomy</w:t>
            </w:r>
          </w:p>
        </w:tc>
        <w:tc>
          <w:tcPr>
            <w:tcW w:type="dxa" w:w="5256"/>
            <w:vAlign w:val="top"/>
            <w:shd w:fill="F7F9FA"/>
          </w:tcPr>
          <w:p>
            <w:pPr>
              <w:spacing w:after="0"/>
            </w:pPr>
            <w:r/>
            <w:r>
              <w:rPr>
                <w:rFonts w:ascii="Aptos" w:hAnsi="Aptos"/>
                <w:b w:val="0"/>
                <w:sz w:val="16"/>
              </w:rPr>
              <w:t>Informed consent exists to support meaningful client decision-making and participation.</w:t>
            </w:r>
          </w:p>
        </w:tc>
        <w:tc>
          <w:tcPr>
            <w:tcW w:type="dxa" w:w="2520"/>
            <w:vAlign w:val="top"/>
            <w:shd w:fill="F7F9FA"/>
          </w:tcPr>
          <w:p>
            <w:pPr>
              <w:spacing w:after="0"/>
            </w:pPr>
            <w:r/>
            <w:r>
              <w:rPr>
                <w:rFonts w:ascii="Aptos" w:hAnsi="Aptos"/>
                <w:b w:val="0"/>
                <w:sz w:val="16"/>
              </w:rPr>
              <w:t>The primary purpose is client decision-making—not guaranteed outcomes, defensive paperwork, or therapist protection.</w:t>
            </w:r>
          </w:p>
        </w:tc>
      </w:tr>
      <w:tr>
        <w:tc>
          <w:tcPr>
            <w:tcW w:type="dxa" w:w="2376"/>
            <w:vAlign w:val="top"/>
          </w:tcPr>
          <w:p>
            <w:pPr>
              <w:spacing w:after="0"/>
            </w:pPr>
            <w:r/>
            <w:r>
              <w:rPr>
                <w:rFonts w:ascii="Aptos" w:hAnsi="Aptos"/>
                <w:b/>
                <w:sz w:val="16"/>
              </w:rPr>
              <w:t>Informed Refusal</w:t>
            </w:r>
          </w:p>
        </w:tc>
        <w:tc>
          <w:tcPr>
            <w:tcW w:type="dxa" w:w="5256"/>
            <w:vAlign w:val="top"/>
          </w:tcPr>
          <w:p>
            <w:pPr>
              <w:spacing w:after="0"/>
            </w:pPr>
            <w:r/>
            <w:r>
              <w:rPr>
                <w:rFonts w:ascii="Aptos" w:hAnsi="Aptos"/>
                <w:b w:val="0"/>
                <w:sz w:val="16"/>
              </w:rPr>
              <w:t>A competent adult in voluntary treatment may generally decline a proposed intervention after receiving and understanding relevant information.</w:t>
            </w:r>
          </w:p>
        </w:tc>
        <w:tc>
          <w:tcPr>
            <w:tcW w:type="dxa" w:w="2520"/>
            <w:vAlign w:val="top"/>
          </w:tcPr>
          <w:p>
            <w:pPr>
              <w:spacing w:after="0"/>
            </w:pPr>
            <w:r/>
            <w:r>
              <w:rPr>
                <w:rFonts w:ascii="Aptos" w:hAnsi="Aptos"/>
                <w:b w:val="0"/>
                <w:sz w:val="16"/>
              </w:rPr>
              <w:t>Look for the qualifiers competent adult, voluntary treatment, and understands the recommendation.</w:t>
            </w:r>
          </w:p>
        </w:tc>
      </w:tr>
      <w:tr>
        <w:tc>
          <w:tcPr>
            <w:tcW w:type="dxa" w:w="2376"/>
            <w:vAlign w:val="top"/>
            <w:shd w:fill="F7F9FA"/>
          </w:tcPr>
          <w:p>
            <w:pPr>
              <w:spacing w:after="0"/>
            </w:pPr>
            <w:r/>
            <w:r>
              <w:rPr>
                <w:rFonts w:ascii="Aptos" w:hAnsi="Aptos"/>
                <w:b/>
                <w:sz w:val="16"/>
              </w:rPr>
              <w:t>Decision-Specific Capacity</w:t>
            </w:r>
          </w:p>
        </w:tc>
        <w:tc>
          <w:tcPr>
            <w:tcW w:type="dxa" w:w="5256"/>
            <w:vAlign w:val="top"/>
            <w:shd w:fill="F7F9FA"/>
          </w:tcPr>
          <w:p>
            <w:pPr>
              <w:spacing w:after="0"/>
            </w:pPr>
            <w:r/>
            <w:r>
              <w:rPr>
                <w:rFonts w:ascii="Aptos" w:hAnsi="Aptos"/>
                <w:b w:val="0"/>
                <w:sz w:val="16"/>
              </w:rPr>
              <w:t>Capacity is decision-specific and concerns the person’s ability to understand and participate meaningfully in that decision.</w:t>
            </w:r>
          </w:p>
        </w:tc>
        <w:tc>
          <w:tcPr>
            <w:tcW w:type="dxa" w:w="2520"/>
            <w:vAlign w:val="top"/>
            <w:shd w:fill="F7F9FA"/>
          </w:tcPr>
          <w:p>
            <w:pPr>
              <w:spacing w:after="0"/>
            </w:pPr>
            <w:r/>
            <w:r>
              <w:rPr>
                <w:rFonts w:ascii="Aptos" w:hAnsi="Aptos"/>
                <w:b w:val="0"/>
                <w:sz w:val="16"/>
              </w:rPr>
              <w:t>Eliminate answers that equate diagnosis, disagreement, or a signature with capacity.</w:t>
            </w:r>
          </w:p>
        </w:tc>
      </w:tr>
      <w:tr>
        <w:tc>
          <w:tcPr>
            <w:tcW w:type="dxa" w:w="2376"/>
            <w:vAlign w:val="top"/>
          </w:tcPr>
          <w:p>
            <w:pPr>
              <w:spacing w:after="0"/>
            </w:pPr>
            <w:r/>
            <w:r>
              <w:rPr>
                <w:rFonts w:ascii="Aptos" w:hAnsi="Aptos"/>
                <w:b/>
                <w:sz w:val="16"/>
              </w:rPr>
              <w:t>Questions After Intake</w:t>
            </w:r>
          </w:p>
        </w:tc>
        <w:tc>
          <w:tcPr>
            <w:tcW w:type="dxa" w:w="5256"/>
            <w:vAlign w:val="top"/>
          </w:tcPr>
          <w:p>
            <w:pPr>
              <w:spacing w:after="0"/>
            </w:pPr>
            <w:r/>
            <w:r>
              <w:rPr>
                <w:rFonts w:ascii="Aptos" w:hAnsi="Aptos"/>
                <w:b w:val="0"/>
                <w:sz w:val="16"/>
              </w:rPr>
              <w:t>Later questions are part of the ongoing decision-making process and should be addressed directly.</w:t>
            </w:r>
          </w:p>
        </w:tc>
        <w:tc>
          <w:tcPr>
            <w:tcW w:type="dxa" w:w="2520"/>
            <w:vAlign w:val="top"/>
          </w:tcPr>
          <w:p>
            <w:pPr>
              <w:spacing w:after="0"/>
            </w:pPr>
            <w:r/>
            <w:r>
              <w:rPr>
                <w:rFonts w:ascii="Aptos" w:hAnsi="Aptos"/>
                <w:b w:val="0"/>
                <w:sz w:val="16"/>
              </w:rPr>
              <w:t>A prior signature never makes a later, reasonable treatment question irrelevant.</w:t>
            </w:r>
          </w:p>
        </w:tc>
      </w:tr>
      <w:tr>
        <w:tc>
          <w:tcPr>
            <w:tcW w:type="dxa" w:w="2376"/>
            <w:vAlign w:val="top"/>
            <w:shd w:fill="F7F9FA"/>
          </w:tcPr>
          <w:p>
            <w:pPr>
              <w:spacing w:after="0"/>
            </w:pPr>
            <w:r/>
            <w:r>
              <w:rPr>
                <w:rFonts w:ascii="Aptos" w:hAnsi="Aptos"/>
                <w:b/>
                <w:sz w:val="16"/>
              </w:rPr>
              <w:t>Shared Decision-Making</w:t>
            </w:r>
          </w:p>
        </w:tc>
        <w:tc>
          <w:tcPr>
            <w:tcW w:type="dxa" w:w="5256"/>
            <w:vAlign w:val="top"/>
            <w:shd w:fill="F7F9FA"/>
          </w:tcPr>
          <w:p>
            <w:pPr>
              <w:spacing w:after="0"/>
            </w:pPr>
            <w:r/>
            <w:r>
              <w:rPr>
                <w:rFonts w:ascii="Aptos" w:hAnsi="Aptos"/>
                <w:b w:val="0"/>
                <w:sz w:val="16"/>
              </w:rPr>
              <w:t>Professional expertise permits a recommendation, but it does not justify withholding reasonable information or dismissing client questions.</w:t>
            </w:r>
          </w:p>
        </w:tc>
        <w:tc>
          <w:tcPr>
            <w:tcW w:type="dxa" w:w="2520"/>
            <w:vAlign w:val="top"/>
            <w:shd w:fill="F7F9FA"/>
          </w:tcPr>
          <w:p>
            <w:pPr>
              <w:spacing w:after="0"/>
            </w:pPr>
            <w:r/>
            <w:r>
              <w:rPr>
                <w:rFonts w:ascii="Aptos" w:hAnsi="Aptos"/>
                <w:b w:val="0"/>
                <w:sz w:val="16"/>
              </w:rPr>
              <w:t>Distinguish a strong professional recommendation from professional domination.</w:t>
            </w:r>
          </w:p>
        </w:tc>
      </w:tr>
      <w:tr>
        <w:tc>
          <w:tcPr>
            <w:tcW w:type="dxa" w:w="2376"/>
            <w:vAlign w:val="top"/>
          </w:tcPr>
          <w:p>
            <w:pPr>
              <w:spacing w:after="0"/>
            </w:pPr>
            <w:r/>
            <w:r>
              <w:rPr>
                <w:rFonts w:ascii="Aptos" w:hAnsi="Aptos"/>
                <w:b/>
                <w:sz w:val="16"/>
              </w:rPr>
              <w:t>External Pressure and Voluntariness</w:t>
            </w:r>
          </w:p>
        </w:tc>
        <w:tc>
          <w:tcPr>
            <w:tcW w:type="dxa" w:w="5256"/>
            <w:vAlign w:val="top"/>
          </w:tcPr>
          <w:p>
            <w:pPr>
              <w:spacing w:after="0"/>
            </w:pPr>
            <w:r/>
            <w:r>
              <w:rPr>
                <w:rFonts w:ascii="Aptos" w:hAnsi="Aptos"/>
                <w:b w:val="0"/>
                <w:sz w:val="16"/>
              </w:rPr>
              <w:t>External pressure is relevant, but the therapist should assess the client’s own goals and choice before deciding whether participation is voluntary.</w:t>
            </w:r>
          </w:p>
        </w:tc>
        <w:tc>
          <w:tcPr>
            <w:tcW w:type="dxa" w:w="2520"/>
            <w:vAlign w:val="top"/>
          </w:tcPr>
          <w:p>
            <w:pPr>
              <w:spacing w:after="0"/>
            </w:pPr>
            <w:r/>
            <w:r>
              <w:rPr>
                <w:rFonts w:ascii="Aptos" w:hAnsi="Aptos"/>
                <w:b w:val="0"/>
                <w:sz w:val="16"/>
              </w:rPr>
              <w:t>The first response to external pressure is usually explore—not automatically validate or invalidate consent.</w:t>
            </w:r>
          </w:p>
        </w:tc>
      </w:tr>
      <w:tr>
        <w:tc>
          <w:tcPr>
            <w:tcW w:type="dxa" w:w="2376"/>
            <w:vAlign w:val="top"/>
            <w:shd w:fill="F7F9FA"/>
          </w:tcPr>
          <w:p>
            <w:pPr>
              <w:spacing w:after="0"/>
            </w:pPr>
            <w:r/>
            <w:r>
              <w:rPr>
                <w:rFonts w:ascii="Aptos" w:hAnsi="Aptos"/>
                <w:b/>
                <w:sz w:val="16"/>
              </w:rPr>
              <w:t>Understandable Communication</w:t>
            </w:r>
          </w:p>
        </w:tc>
        <w:tc>
          <w:tcPr>
            <w:tcW w:type="dxa" w:w="5256"/>
            <w:vAlign w:val="top"/>
            <w:shd w:fill="F7F9FA"/>
          </w:tcPr>
          <w:p>
            <w:pPr>
              <w:spacing w:after="0"/>
            </w:pPr>
            <w:r/>
            <w:r>
              <w:rPr>
                <w:rFonts w:ascii="Aptos" w:hAnsi="Aptos"/>
                <w:b w:val="0"/>
                <w:sz w:val="16"/>
              </w:rPr>
              <w:t>The therapist should use clear, accessible communication and verify comprehension.</w:t>
            </w:r>
          </w:p>
        </w:tc>
        <w:tc>
          <w:tcPr>
            <w:tcW w:type="dxa" w:w="2520"/>
            <w:vAlign w:val="top"/>
            <w:shd w:fill="F7F9FA"/>
          </w:tcPr>
          <w:p>
            <w:pPr>
              <w:spacing w:after="0"/>
            </w:pPr>
            <w:r/>
            <w:r>
              <w:rPr>
                <w:rFonts w:ascii="Aptos" w:hAnsi="Aptos"/>
                <w:b w:val="0"/>
                <w:sz w:val="16"/>
              </w:rPr>
              <w:t>When the problem is understanding, improve communication rather than merely documenting the problem.</w:t>
            </w:r>
          </w:p>
        </w:tc>
      </w:tr>
      <w:tr>
        <w:tc>
          <w:tcPr>
            <w:tcW w:type="dxa" w:w="2376"/>
            <w:vAlign w:val="top"/>
          </w:tcPr>
          <w:p>
            <w:pPr>
              <w:spacing w:after="0"/>
            </w:pPr>
            <w:r/>
            <w:r>
              <w:rPr>
                <w:rFonts w:ascii="Aptos" w:hAnsi="Aptos"/>
                <w:b/>
                <w:sz w:val="16"/>
              </w:rPr>
              <w:t>Client Deference</w:t>
            </w:r>
          </w:p>
        </w:tc>
        <w:tc>
          <w:tcPr>
            <w:tcW w:type="dxa" w:w="5256"/>
            <w:vAlign w:val="top"/>
          </w:tcPr>
          <w:p>
            <w:pPr>
              <w:spacing w:after="0"/>
            </w:pPr>
            <w:r/>
            <w:r>
              <w:rPr>
                <w:rFonts w:ascii="Aptos" w:hAnsi="Aptos"/>
                <w:b w:val="0"/>
                <w:sz w:val="16"/>
              </w:rPr>
              <w:t>The therapist should confirm that the client understands the basic decision and knowingly chooses to rely on the recommendation.</w:t>
            </w:r>
          </w:p>
        </w:tc>
        <w:tc>
          <w:tcPr>
            <w:tcW w:type="dxa" w:w="2520"/>
            <w:vAlign w:val="top"/>
          </w:tcPr>
          <w:p>
            <w:pPr>
              <w:spacing w:after="0"/>
            </w:pPr>
            <w:r/>
            <w:r>
              <w:rPr>
                <w:rFonts w:ascii="Aptos" w:hAnsi="Aptos"/>
                <w:b w:val="0"/>
                <w:sz w:val="16"/>
              </w:rPr>
              <w:t>Client deference can be valid, but it should be informed—not assumed to be a waiver of all information.</w:t>
            </w:r>
          </w:p>
        </w:tc>
      </w:tr>
      <w:tr>
        <w:tc>
          <w:tcPr>
            <w:tcW w:type="dxa" w:w="2376"/>
            <w:vAlign w:val="top"/>
            <w:shd w:fill="F7F9FA"/>
          </w:tcPr>
          <w:p>
            <w:pPr>
              <w:spacing w:after="0"/>
            </w:pPr>
            <w:r/>
            <w:r>
              <w:rPr>
                <w:rFonts w:ascii="Aptos" w:hAnsi="Aptos"/>
                <w:b/>
                <w:sz w:val="16"/>
              </w:rPr>
              <w:t>Therapist Pressure</w:t>
            </w:r>
          </w:p>
        </w:tc>
        <w:tc>
          <w:tcPr>
            <w:tcW w:type="dxa" w:w="5256"/>
            <w:vAlign w:val="top"/>
            <w:shd w:fill="F7F9FA"/>
          </w:tcPr>
          <w:p>
            <w:pPr>
              <w:spacing w:after="0"/>
            </w:pPr>
            <w:r/>
            <w:r>
              <w:rPr>
                <w:rFonts w:ascii="Aptos" w:hAnsi="Aptos"/>
                <w:b w:val="0"/>
                <w:sz w:val="16"/>
              </w:rPr>
              <w:t>The therapist should restore understandable, voluntary decision-making and evaluate any legitimate treatment or termination issues separately.</w:t>
            </w:r>
          </w:p>
        </w:tc>
        <w:tc>
          <w:tcPr>
            <w:tcW w:type="dxa" w:w="2520"/>
            <w:vAlign w:val="top"/>
            <w:shd w:fill="F7F9FA"/>
          </w:tcPr>
          <w:p>
            <w:pPr>
              <w:spacing w:after="0"/>
            </w:pPr>
            <w:r/>
            <w:r>
              <w:rPr>
                <w:rFonts w:ascii="Aptos" w:hAnsi="Aptos"/>
                <w:b w:val="0"/>
                <w:sz w:val="16"/>
              </w:rPr>
              <w:t>A sudden ultimatum is a clue to evaluate therapist-created pressure and restore meaningful choice.</w:t>
            </w:r>
          </w:p>
        </w:tc>
      </w:tr>
      <w:tr>
        <w:tc>
          <w:tcPr>
            <w:tcW w:type="dxa" w:w="2376"/>
            <w:vAlign w:val="top"/>
          </w:tcPr>
          <w:p>
            <w:pPr>
              <w:spacing w:after="0"/>
            </w:pPr>
            <w:r/>
            <w:r>
              <w:rPr>
                <w:rFonts w:ascii="Aptos" w:hAnsi="Aptos"/>
                <w:b/>
                <w:sz w:val="16"/>
              </w:rPr>
              <w:t>Identifying a Material Treatment Change</w:t>
            </w:r>
          </w:p>
        </w:tc>
        <w:tc>
          <w:tcPr>
            <w:tcW w:type="dxa" w:w="5256"/>
            <w:vAlign w:val="top"/>
          </w:tcPr>
          <w:p>
            <w:pPr>
              <w:spacing w:after="0"/>
            </w:pPr>
            <w:r/>
            <w:r>
              <w:rPr>
                <w:rFonts w:ascii="Aptos" w:hAnsi="Aptos"/>
                <w:b w:val="0"/>
                <w:sz w:val="16"/>
              </w:rPr>
              <w:t>Moving from individual to recurring conjoint treatment can materially change the nature of the service, who is considered a client, the therapist’s role, and confidentiality expectations. Those changes should be discussed before implementation.</w:t>
            </w:r>
          </w:p>
        </w:tc>
        <w:tc>
          <w:tcPr>
            <w:tcW w:type="dxa" w:w="2520"/>
            <w:vAlign w:val="top"/>
          </w:tcPr>
          <w:p>
            <w:pPr>
              <w:spacing w:after="0"/>
            </w:pPr>
            <w:r/>
            <w:r>
              <w:rPr>
                <w:rFonts w:ascii="Aptos" w:hAnsi="Aptos"/>
                <w:b w:val="0"/>
                <w:sz w:val="16"/>
              </w:rPr>
              <w:t>Identify whether the proposed change alters the service, roles, confidentiality, risks, costs, or expectations—not merely whether something in treatment is different.</w:t>
            </w:r>
          </w:p>
        </w:tc>
      </w:tr>
      <w:tr>
        <w:tc>
          <w:tcPr>
            <w:tcW w:type="dxa" w:w="2376"/>
            <w:vAlign w:val="top"/>
            <w:shd w:fill="F7F9FA"/>
          </w:tcPr>
          <w:p>
            <w:pPr>
              <w:spacing w:after="0"/>
            </w:pPr>
            <w:r/>
            <w:r>
              <w:rPr>
                <w:rFonts w:ascii="Aptos" w:hAnsi="Aptos"/>
                <w:b/>
                <w:sz w:val="16"/>
              </w:rPr>
              <w:t>Legal Representative and Client Participation</w:t>
            </w:r>
          </w:p>
        </w:tc>
        <w:tc>
          <w:tcPr>
            <w:tcW w:type="dxa" w:w="5256"/>
            <w:vAlign w:val="top"/>
            <w:shd w:fill="F7F9FA"/>
          </w:tcPr>
          <w:p>
            <w:pPr>
              <w:spacing w:after="0"/>
            </w:pPr>
            <w:r/>
            <w:r>
              <w:rPr>
                <w:rFonts w:ascii="Aptos" w:hAnsi="Aptos"/>
                <w:b w:val="0"/>
                <w:sz w:val="16"/>
              </w:rPr>
              <w:t>The therapist should rely on the lawful decision-maker while supporting the client’s meaningful participation to the extent possible.</w:t>
            </w:r>
          </w:p>
        </w:tc>
        <w:tc>
          <w:tcPr>
            <w:tcW w:type="dxa" w:w="2520"/>
            <w:vAlign w:val="top"/>
            <w:shd w:fill="F7F9FA"/>
          </w:tcPr>
          <w:p>
            <w:pPr>
              <w:spacing w:after="0"/>
            </w:pPr>
            <w:r/>
            <w:r>
              <w:rPr>
                <w:rFonts w:ascii="Aptos" w:hAnsi="Aptos"/>
                <w:b w:val="0"/>
                <w:sz w:val="16"/>
              </w:rPr>
              <w:t>Separate legal consent authority from the ethical responsibility to involve the client whenever possible.</w:t>
            </w:r>
          </w:p>
        </w:tc>
      </w:tr>
      <w:tr>
        <w:tc>
          <w:tcPr>
            <w:tcW w:type="dxa" w:w="2376"/>
            <w:vAlign w:val="top"/>
          </w:tcPr>
          <w:p>
            <w:pPr>
              <w:spacing w:after="0"/>
            </w:pPr>
            <w:r/>
            <w:r>
              <w:rPr>
                <w:rFonts w:ascii="Aptos" w:hAnsi="Aptos"/>
                <w:b/>
                <w:sz w:val="16"/>
              </w:rPr>
              <w:t>Mandated Treatment</w:t>
            </w:r>
          </w:p>
        </w:tc>
        <w:tc>
          <w:tcPr>
            <w:tcW w:type="dxa" w:w="5256"/>
            <w:vAlign w:val="top"/>
          </w:tcPr>
          <w:p>
            <w:pPr>
              <w:spacing w:after="0"/>
            </w:pPr>
            <w:r/>
            <w:r>
              <w:rPr>
                <w:rFonts w:ascii="Aptos" w:hAnsi="Aptos"/>
                <w:b w:val="0"/>
                <w:sz w:val="16"/>
              </w:rPr>
              <w:t>The therapist should clarify what is required, what information may be reported, and what meaningful choices remain.</w:t>
            </w:r>
          </w:p>
        </w:tc>
        <w:tc>
          <w:tcPr>
            <w:tcW w:type="dxa" w:w="2520"/>
            <w:vAlign w:val="top"/>
          </w:tcPr>
          <w:p>
            <w:pPr>
              <w:spacing w:after="0"/>
            </w:pPr>
            <w:r/>
            <w:r>
              <w:rPr>
                <w:rFonts w:ascii="Aptos" w:hAnsi="Aptos"/>
                <w:b w:val="0"/>
                <w:sz w:val="16"/>
              </w:rPr>
              <w:t>Mandated attendance does not mean unlimited therapist authority or zero client rights.</w:t>
            </w:r>
          </w:p>
        </w:tc>
      </w:tr>
      <w:tr>
        <w:tc>
          <w:tcPr>
            <w:tcW w:type="dxa" w:w="2376"/>
            <w:vAlign w:val="top"/>
            <w:shd w:fill="F7F9FA"/>
          </w:tcPr>
          <w:p>
            <w:pPr>
              <w:spacing w:after="0"/>
            </w:pPr>
            <w:r/>
            <w:r>
              <w:rPr>
                <w:rFonts w:ascii="Aptos" w:hAnsi="Aptos"/>
                <w:b/>
                <w:sz w:val="16"/>
              </w:rPr>
              <w:t>Temporary Impairment</w:t>
            </w:r>
          </w:p>
        </w:tc>
        <w:tc>
          <w:tcPr>
            <w:tcW w:type="dxa" w:w="5256"/>
            <w:vAlign w:val="top"/>
            <w:shd w:fill="F7F9FA"/>
          </w:tcPr>
          <w:p>
            <w:pPr>
              <w:spacing w:after="0"/>
            </w:pPr>
            <w:r/>
            <w:r>
              <w:rPr>
                <w:rFonts w:ascii="Aptos" w:hAnsi="Aptos"/>
                <w:b w:val="0"/>
                <w:sz w:val="16"/>
              </w:rPr>
              <w:t>The therapist should manage immediate safety concerns and defer a nonurgent major decision until meaningful participation is possible.</w:t>
            </w:r>
          </w:p>
        </w:tc>
        <w:tc>
          <w:tcPr>
            <w:tcW w:type="dxa" w:w="2520"/>
            <w:vAlign w:val="top"/>
            <w:shd w:fill="F7F9FA"/>
          </w:tcPr>
          <w:p>
            <w:pPr>
              <w:spacing w:after="0"/>
            </w:pPr>
            <w:r/>
            <w:r>
              <w:rPr>
                <w:rFonts w:ascii="Aptos" w:hAnsi="Aptos"/>
                <w:b w:val="0"/>
                <w:sz w:val="16"/>
              </w:rPr>
              <w:t>Temporary impairment plus a nonurgent decision usually means address safety now and postpone the decision.</w:t>
            </w:r>
          </w:p>
        </w:tc>
      </w:tr>
      <w:tr>
        <w:tc>
          <w:tcPr>
            <w:tcW w:type="dxa" w:w="2376"/>
            <w:vAlign w:val="top"/>
          </w:tcPr>
          <w:p>
            <w:pPr>
              <w:spacing w:after="0"/>
            </w:pPr>
            <w:r/>
            <w:r>
              <w:rPr>
                <w:rFonts w:ascii="Aptos" w:hAnsi="Aptos"/>
                <w:b/>
                <w:sz w:val="16"/>
              </w:rPr>
              <w:t>Autonomy and Professional Responsibility</w:t>
            </w:r>
          </w:p>
        </w:tc>
        <w:tc>
          <w:tcPr>
            <w:tcW w:type="dxa" w:w="5256"/>
            <w:vAlign w:val="top"/>
          </w:tcPr>
          <w:p>
            <w:pPr>
              <w:spacing w:after="0"/>
            </w:pPr>
            <w:r/>
            <w:r>
              <w:rPr>
                <w:rFonts w:ascii="Aptos" w:hAnsi="Aptos"/>
                <w:b w:val="0"/>
                <w:sz w:val="16"/>
              </w:rPr>
              <w:t>The client may refuse the recommendation, but the therapist is not required to provide ineffective or incompetent treatment and should manage alternatives or transition appropriately.</w:t>
            </w:r>
          </w:p>
        </w:tc>
        <w:tc>
          <w:tcPr>
            <w:tcW w:type="dxa" w:w="2520"/>
            <w:vAlign w:val="top"/>
          </w:tcPr>
          <w:p>
            <w:pPr>
              <w:spacing w:after="0"/>
            </w:pPr>
            <w:r/>
            <w:r>
              <w:rPr>
                <w:rFonts w:ascii="Aptos" w:hAnsi="Aptos"/>
                <w:b w:val="0"/>
                <w:sz w:val="16"/>
              </w:rPr>
              <w:t>The strongest answer preserves both sides: client refusal and therapist professional responsibility.</w:t>
            </w:r>
          </w:p>
        </w:tc>
      </w:tr>
      <w:tr>
        <w:tc>
          <w:tcPr>
            <w:tcW w:type="dxa" w:w="2376"/>
            <w:vAlign w:val="top"/>
            <w:shd w:fill="F7F9FA"/>
          </w:tcPr>
          <w:p>
            <w:pPr>
              <w:spacing w:after="0"/>
            </w:pPr>
            <w:r/>
            <w:r>
              <w:rPr>
                <w:rFonts w:ascii="Aptos" w:hAnsi="Aptos"/>
                <w:b/>
                <w:sz w:val="16"/>
              </w:rPr>
              <w:t>Request to Avoid Material Information</w:t>
            </w:r>
          </w:p>
        </w:tc>
        <w:tc>
          <w:tcPr>
            <w:tcW w:type="dxa" w:w="5256"/>
            <w:vAlign w:val="top"/>
            <w:shd w:fill="F7F9FA"/>
          </w:tcPr>
          <w:p>
            <w:pPr>
              <w:spacing w:after="0"/>
            </w:pPr>
            <w:r/>
            <w:r>
              <w:rPr>
                <w:rFonts w:ascii="Aptos" w:hAnsi="Aptos"/>
                <w:b w:val="0"/>
                <w:sz w:val="16"/>
              </w:rPr>
              <w:t>The therapist should avoid unnecessary detail while still providing information material to the decision.</w:t>
            </w:r>
          </w:p>
        </w:tc>
        <w:tc>
          <w:tcPr>
            <w:tcW w:type="dxa" w:w="2520"/>
            <w:vAlign w:val="top"/>
            <w:shd w:fill="F7F9FA"/>
          </w:tcPr>
          <w:p>
            <w:pPr>
              <w:spacing w:after="0"/>
            </w:pPr>
            <w:r/>
            <w:r>
              <w:rPr>
                <w:rFonts w:ascii="Aptos" w:hAnsi="Aptos"/>
                <w:b w:val="0"/>
                <w:sz w:val="16"/>
              </w:rPr>
              <w:t>Choose the balance: do not overwhelm the client, but do not materially mislead.</w:t>
            </w:r>
          </w:p>
        </w:tc>
      </w:tr>
      <w:tr>
        <w:tc>
          <w:tcPr>
            <w:tcW w:type="dxa" w:w="2376"/>
            <w:vAlign w:val="top"/>
          </w:tcPr>
          <w:p>
            <w:pPr>
              <w:spacing w:after="0"/>
            </w:pPr>
            <w:r/>
            <w:r>
              <w:rPr>
                <w:rFonts w:ascii="Aptos" w:hAnsi="Aptos"/>
                <w:b/>
                <w:sz w:val="16"/>
              </w:rPr>
              <w:t>Foundations of Informed Consent</w:t>
            </w:r>
          </w:p>
        </w:tc>
        <w:tc>
          <w:tcPr>
            <w:tcW w:type="dxa" w:w="5256"/>
            <w:vAlign w:val="top"/>
          </w:tcPr>
          <w:p>
            <w:pPr>
              <w:spacing w:after="0"/>
            </w:pPr>
            <w:r/>
            <w:r>
              <w:rPr>
                <w:rFonts w:ascii="Aptos" w:hAnsi="Aptos"/>
                <w:b w:val="0"/>
                <w:sz w:val="16"/>
              </w:rPr>
              <w:t>Pause the nonurgent intervention, address immediate safety, clarify the proposed change and reasonable options when the client can participate meaningfully, assess understanding and voluntariness, determine the client’s decision, and document the significant discussion. This response integrates decision-making ability, understanding, voluntariness, material change, safety, client choice, and documentation.</w:t>
            </w:r>
          </w:p>
        </w:tc>
        <w:tc>
          <w:tcPr>
            <w:tcW w:type="dxa" w:w="2520"/>
            <w:vAlign w:val="top"/>
          </w:tcPr>
          <w:p>
            <w:pPr>
              <w:spacing w:after="0"/>
            </w:pPr>
            <w:r/>
            <w:r>
              <w:rPr>
                <w:rFonts w:ascii="Aptos" w:hAnsi="Aptos"/>
                <w:b w:val="0"/>
                <w:sz w:val="16"/>
              </w:rPr>
              <w:t>In an integrated consent question, organize the facts: authority and ability, information and understanding, voluntariness, choice, safety, and documentation.</w:t>
            </w:r>
          </w:p>
        </w:tc>
      </w:tr>
    </w:tbl>
    <w:p>
      <w:pPr>
        <w:pStyle w:val="Heading2"/>
      </w:pPr>
      <w:r>
        <w:t>Exam Reasoning Checklist</w:t>
      </w:r>
    </w:p>
    <w:p>
      <w:pPr>
        <w:pStyle w:val="ListBullet"/>
        <w:spacing w:after="30"/>
      </w:pPr>
      <w:r>
        <w:t>When the choices contrast a process with paperwork, select the answer centered on meaningful decision-making.</w:t>
      </w:r>
    </w:p>
    <w:p>
      <w:pPr>
        <w:pStyle w:val="ListBullet"/>
        <w:spacing w:after="30"/>
      </w:pPr>
      <w:r>
        <w:t>The primary purpose is client decision-making—not guaranteed outcomes, defensive paperwork, or therapist protection.</w:t>
      </w:r>
    </w:p>
    <w:p>
      <w:pPr>
        <w:pStyle w:val="ListBullet"/>
        <w:spacing w:after="30"/>
      </w:pPr>
      <w:r>
        <w:t>Look for the qualifiers competent adult, voluntary treatment, and understands the recommendation.</w:t>
      </w:r>
    </w:p>
    <w:p>
      <w:pPr>
        <w:pStyle w:val="ListBullet"/>
        <w:spacing w:after="30"/>
      </w:pPr>
      <w:r>
        <w:t>Eliminate answers that equate diagnosis, disagreement, or a signature with capacity.</w:t>
      </w:r>
    </w:p>
    <w:p>
      <w:pPr>
        <w:pStyle w:val="ListBullet"/>
        <w:spacing w:after="30"/>
      </w:pPr>
      <w:r>
        <w:t>A prior signature never makes a later, reasonable treatment question irrelevant.</w:t>
      </w:r>
    </w:p>
    <w:p>
      <w:pPr>
        <w:pStyle w:val="ListBullet"/>
        <w:spacing w:after="30"/>
      </w:pPr>
      <w:r>
        <w:t>Distinguish a strong professional recommendation from professional domination.</w:t>
      </w:r>
    </w:p>
    <w:p>
      <w:pPr>
        <w:pStyle w:val="ListBullet"/>
        <w:spacing w:after="30"/>
      </w:pPr>
      <w:r>
        <w:t>The first response to external pressure is usually explore—not automatically validate or invalidate consent.</w:t>
      </w:r>
    </w:p>
    <w:p>
      <w:pPr>
        <w:pStyle w:val="ListBullet"/>
        <w:spacing w:after="30"/>
      </w:pPr>
      <w:r>
        <w:t>When the problem is understanding, improve communication rather than merely documenting the problem.</w:t>
      </w:r>
    </w:p>
    <w:p>
      <w:pPr>
        <w:pStyle w:val="Heading2"/>
      </w:pPr>
      <w:r>
        <w:t>Chapter Rapid Review</w:t>
      </w:r>
    </w:p>
    <w:p>
      <w:r>
        <w:rPr>
          <w:b/>
        </w:rPr>
        <w:t xml:space="preserve">Know these concepts: </w:t>
      </w:r>
      <w:r>
        <w:t>Informed Consent as a Process; Purpose and Autonomy; Informed Refusal; Decision-Specific Capacity; Questions After Intake; Shared Decision-Making; External Pressure and Voluntariness; Understandable Communication; Client Deference; Therapist Pressure; Identifying a Material Treatment Change; Legal Representative and Client Participation; Mandated Treatment; Temporary Impairment; Autonomy and Professional Responsibility; Request to Avoid Material Information; Foundations of Informed Consent</w:t>
      </w:r>
    </w:p>
    <w:p>
      <w:r>
        <w:br w:type="page"/>
      </w:r>
    </w:p>
    <w:p>
      <w:pPr>
        <w:pStyle w:val="Heading2"/>
      </w:pPr>
      <w:r>
        <w:t>Chapter 2</w:t>
      </w:r>
    </w:p>
    <w:p>
      <w:pPr>
        <w:pStyle w:val="Heading1"/>
      </w:pPr>
      <w:r>
        <w:t>Information Required for Informed Decision-Making</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A client needs a basic, understandable explanation of the proposed service and its purpose before deciding whether to participate. The therapist should provide balanced, accurate information and acknowledge uncertainty before relying on the client’s decision.</w:t>
            </w:r>
          </w:p>
        </w:tc>
      </w:tr>
    </w:tbl>
    <w:p>
      <w:pPr>
        <w:pStyle w:val="Heading2"/>
      </w:pPr>
      <w:r>
        <w:t>What to Learn</w:t>
      </w:r>
    </w:p>
    <w:p>
      <w:pPr>
        <w:pStyle w:val="ListBullet"/>
        <w:spacing w:after="30"/>
      </w:pPr>
      <w:r>
        <w:t>Explain and apply Nature and Purpose of Services.</w:t>
      </w:r>
    </w:p>
    <w:p>
      <w:pPr>
        <w:pStyle w:val="ListBullet"/>
        <w:spacing w:after="30"/>
      </w:pPr>
      <w:r>
        <w:t>Explain and apply Balanced Benefits and Risks.</w:t>
      </w:r>
    </w:p>
    <w:p>
      <w:pPr>
        <w:pStyle w:val="ListBullet"/>
        <w:spacing w:after="30"/>
      </w:pPr>
      <w:r>
        <w:t>Explain and apply Reasonable Treatment Alternatives.</w:t>
      </w:r>
    </w:p>
    <w:p>
      <w:pPr>
        <w:pStyle w:val="ListBullet"/>
        <w:spacing w:after="30"/>
      </w:pPr>
      <w:r>
        <w:t>Explain and apply Confidentiality Framework.</w:t>
      </w:r>
    </w:p>
    <w:p>
      <w:pPr>
        <w:pStyle w:val="ListBullet"/>
        <w:spacing w:after="30"/>
      </w:pPr>
      <w:r>
        <w:t>Explain and apply Fees and Financial Policies.</w:t>
      </w:r>
    </w:p>
    <w:p>
      <w:pPr>
        <w:pStyle w:val="ListBullet"/>
        <w:spacing w:after="30"/>
      </w:pPr>
      <w:r>
        <w:t>Explain and apply Context-Specific Disclosure.</w:t>
      </w:r>
    </w:p>
    <w:p>
      <w:pPr>
        <w:pStyle w:val="ListBullet"/>
        <w:spacing w:after="30"/>
      </w:pPr>
      <w:r>
        <w:t>Explain and apply Developing or Unfamiliar Treatment.</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Nature and Purpose of Services</w:t>
            </w:r>
          </w:p>
        </w:tc>
        <w:tc>
          <w:tcPr>
            <w:tcW w:type="dxa" w:w="5256"/>
            <w:vAlign w:val="top"/>
          </w:tcPr>
          <w:p>
            <w:pPr>
              <w:spacing w:after="0"/>
            </w:pPr>
            <w:r/>
            <w:r>
              <w:rPr>
                <w:rFonts w:ascii="Aptos" w:hAnsi="Aptos"/>
                <w:b w:val="0"/>
                <w:sz w:val="16"/>
              </w:rPr>
              <w:t>A client needs a basic, understandable explanation of the proposed service and its purpose before deciding whether to participate.</w:t>
            </w:r>
          </w:p>
        </w:tc>
        <w:tc>
          <w:tcPr>
            <w:tcW w:type="dxa" w:w="2520"/>
            <w:vAlign w:val="top"/>
          </w:tcPr>
          <w:p>
            <w:pPr>
              <w:spacing w:after="0"/>
            </w:pPr>
            <w:r/>
            <w:r>
              <w:rPr>
                <w:rFonts w:ascii="Aptos" w:hAnsi="Aptos"/>
                <w:b w:val="0"/>
                <w:sz w:val="16"/>
              </w:rPr>
              <w:t>When the client knows when to attend and how to pay—but not what is being offered—look for the missing nature and purpose of treatment.</w:t>
            </w:r>
          </w:p>
        </w:tc>
      </w:tr>
      <w:tr>
        <w:tc>
          <w:tcPr>
            <w:tcW w:type="dxa" w:w="2376"/>
            <w:vAlign w:val="top"/>
            <w:shd w:fill="F7F9FA"/>
          </w:tcPr>
          <w:p>
            <w:pPr>
              <w:spacing w:after="0"/>
            </w:pPr>
            <w:r/>
            <w:r>
              <w:rPr>
                <w:rFonts w:ascii="Aptos" w:hAnsi="Aptos"/>
                <w:b/>
                <w:sz w:val="16"/>
              </w:rPr>
              <w:t>Balanced Benefits and Risks</w:t>
            </w:r>
          </w:p>
        </w:tc>
        <w:tc>
          <w:tcPr>
            <w:tcW w:type="dxa" w:w="5256"/>
            <w:vAlign w:val="top"/>
            <w:shd w:fill="F7F9FA"/>
          </w:tcPr>
          <w:p>
            <w:pPr>
              <w:spacing w:after="0"/>
            </w:pPr>
            <w:r/>
            <w:r>
              <w:rPr>
                <w:rFonts w:ascii="Aptos" w:hAnsi="Aptos"/>
                <w:b w:val="0"/>
                <w:sz w:val="16"/>
              </w:rPr>
              <w:t>The therapist should provide balanced, accurate information and acknowledge uncertainty before relying on the client’s decision.</w:t>
            </w:r>
          </w:p>
        </w:tc>
        <w:tc>
          <w:tcPr>
            <w:tcW w:type="dxa" w:w="2520"/>
            <w:vAlign w:val="top"/>
            <w:shd w:fill="F7F9FA"/>
          </w:tcPr>
          <w:p>
            <w:pPr>
              <w:spacing w:after="0"/>
            </w:pPr>
            <w:r/>
            <w:r>
              <w:rPr>
                <w:rFonts w:ascii="Aptos" w:hAnsi="Aptos"/>
                <w:b w:val="0"/>
                <w:sz w:val="16"/>
              </w:rPr>
              <w:t>Guaranteed outcomes and intentional omission of meaningful risks are major red flags.</w:t>
            </w:r>
          </w:p>
        </w:tc>
      </w:tr>
      <w:tr>
        <w:tc>
          <w:tcPr>
            <w:tcW w:type="dxa" w:w="2376"/>
            <w:vAlign w:val="top"/>
          </w:tcPr>
          <w:p>
            <w:pPr>
              <w:spacing w:after="0"/>
            </w:pPr>
            <w:r/>
            <w:r>
              <w:rPr>
                <w:rFonts w:ascii="Aptos" w:hAnsi="Aptos"/>
                <w:b/>
                <w:sz w:val="16"/>
              </w:rPr>
              <w:t>Reasonable Treatment Alternatives</w:t>
            </w:r>
          </w:p>
        </w:tc>
        <w:tc>
          <w:tcPr>
            <w:tcW w:type="dxa" w:w="5256"/>
            <w:vAlign w:val="top"/>
          </w:tcPr>
          <w:p>
            <w:pPr>
              <w:spacing w:after="0"/>
            </w:pPr>
            <w:r/>
            <w:r>
              <w:rPr>
                <w:rFonts w:ascii="Aptos" w:hAnsi="Aptos"/>
                <w:b w:val="0"/>
                <w:sz w:val="16"/>
              </w:rPr>
              <w:t>Coverage affects cost, but intentionally concealing a clinically reasonable alternative may improperly narrow the client’s decision.</w:t>
            </w:r>
          </w:p>
        </w:tc>
        <w:tc>
          <w:tcPr>
            <w:tcW w:type="dxa" w:w="2520"/>
            <w:vAlign w:val="top"/>
          </w:tcPr>
          <w:p>
            <w:pPr>
              <w:spacing w:after="0"/>
            </w:pPr>
            <w:r/>
            <w:r>
              <w:rPr>
                <w:rFonts w:ascii="Aptos" w:hAnsi="Aptos"/>
                <w:b w:val="0"/>
                <w:sz w:val="16"/>
              </w:rPr>
              <w:t>Distinguish discussing an alternative from being required to provide it.</w:t>
            </w:r>
          </w:p>
        </w:tc>
      </w:tr>
      <w:tr>
        <w:tc>
          <w:tcPr>
            <w:tcW w:type="dxa" w:w="2376"/>
            <w:vAlign w:val="top"/>
            <w:shd w:fill="F7F9FA"/>
          </w:tcPr>
          <w:p>
            <w:pPr>
              <w:spacing w:after="0"/>
            </w:pPr>
            <w:r/>
            <w:r>
              <w:rPr>
                <w:rFonts w:ascii="Aptos" w:hAnsi="Aptos"/>
                <w:b/>
                <w:sz w:val="16"/>
              </w:rPr>
              <w:t>Confidentiality Framework</w:t>
            </w:r>
          </w:p>
        </w:tc>
        <w:tc>
          <w:tcPr>
            <w:tcW w:type="dxa" w:w="5256"/>
            <w:vAlign w:val="top"/>
            <w:shd w:fill="F7F9FA"/>
          </w:tcPr>
          <w:p>
            <w:pPr>
              <w:spacing w:after="0"/>
            </w:pPr>
            <w:r/>
            <w:r>
              <w:rPr>
                <w:rFonts w:ascii="Aptos" w:hAnsi="Aptos"/>
                <w:b w:val="0"/>
                <w:sz w:val="16"/>
              </w:rPr>
              <w:t>The client should understand how information is generally protected and the significant limits relevant to participation.</w:t>
            </w:r>
          </w:p>
        </w:tc>
        <w:tc>
          <w:tcPr>
            <w:tcW w:type="dxa" w:w="2520"/>
            <w:vAlign w:val="top"/>
            <w:shd w:fill="F7F9FA"/>
          </w:tcPr>
          <w:p>
            <w:pPr>
              <w:spacing w:after="0"/>
            </w:pPr>
            <w:r/>
            <w:r>
              <w:rPr>
                <w:rFonts w:ascii="Aptos" w:hAnsi="Aptos"/>
                <w:b w:val="0"/>
                <w:sz w:val="16"/>
              </w:rPr>
              <w:t>The client needs meaningful confidentiality information—not silence and not an exhaustive law lecture.</w:t>
            </w:r>
          </w:p>
        </w:tc>
      </w:tr>
      <w:tr>
        <w:tc>
          <w:tcPr>
            <w:tcW w:type="dxa" w:w="2376"/>
            <w:vAlign w:val="top"/>
          </w:tcPr>
          <w:p>
            <w:pPr>
              <w:spacing w:after="0"/>
            </w:pPr>
            <w:r/>
            <w:r>
              <w:rPr>
                <w:rFonts w:ascii="Aptos" w:hAnsi="Aptos"/>
                <w:b/>
                <w:sz w:val="16"/>
              </w:rPr>
              <w:t>Fees and Financial Policies</w:t>
            </w:r>
          </w:p>
        </w:tc>
        <w:tc>
          <w:tcPr>
            <w:tcW w:type="dxa" w:w="5256"/>
            <w:vAlign w:val="top"/>
          </w:tcPr>
          <w:p>
            <w:pPr>
              <w:spacing w:after="0"/>
            </w:pPr>
            <w:r/>
            <w:r>
              <w:rPr>
                <w:rFonts w:ascii="Aptos" w:hAnsi="Aptos"/>
                <w:b w:val="0"/>
                <w:sz w:val="16"/>
              </w:rPr>
              <w:t>A substantial fee can affect whether a client enters or continues treatment and should be communicated before enforcement.</w:t>
            </w:r>
          </w:p>
        </w:tc>
        <w:tc>
          <w:tcPr>
            <w:tcW w:type="dxa" w:w="2520"/>
            <w:vAlign w:val="top"/>
          </w:tcPr>
          <w:p>
            <w:pPr>
              <w:spacing w:after="0"/>
            </w:pPr>
            <w:r/>
            <w:r>
              <w:rPr>
                <w:rFonts w:ascii="Aptos" w:hAnsi="Aptos"/>
                <w:b w:val="0"/>
                <w:sz w:val="16"/>
              </w:rPr>
              <w:t>Ask whether the undisclosed policy could reasonably affect the client’s decision to begin or continue treatment.</w:t>
            </w:r>
          </w:p>
        </w:tc>
      </w:tr>
      <w:tr>
        <w:tc>
          <w:tcPr>
            <w:tcW w:type="dxa" w:w="2376"/>
            <w:vAlign w:val="top"/>
            <w:shd w:fill="F7F9FA"/>
          </w:tcPr>
          <w:p>
            <w:pPr>
              <w:spacing w:after="0"/>
            </w:pPr>
            <w:r/>
            <w:r>
              <w:rPr>
                <w:rFonts w:ascii="Aptos" w:hAnsi="Aptos"/>
                <w:b/>
                <w:sz w:val="16"/>
              </w:rPr>
              <w:t>Context-Specific Disclosure</w:t>
            </w:r>
          </w:p>
        </w:tc>
        <w:tc>
          <w:tcPr>
            <w:tcW w:type="dxa" w:w="5256"/>
            <w:vAlign w:val="top"/>
            <w:shd w:fill="F7F9FA"/>
          </w:tcPr>
          <w:p>
            <w:pPr>
              <w:spacing w:after="0"/>
            </w:pPr>
            <w:r/>
            <w:r>
              <w:rPr>
                <w:rFonts w:ascii="Aptos" w:hAnsi="Aptos"/>
                <w:b w:val="0"/>
                <w:sz w:val="16"/>
              </w:rPr>
              <w:t>Informed-consent content is context-specific and generally increases in depth as risk, novelty, or complexity increases.</w:t>
            </w:r>
          </w:p>
        </w:tc>
        <w:tc>
          <w:tcPr>
            <w:tcW w:type="dxa" w:w="2520"/>
            <w:vAlign w:val="top"/>
            <w:shd w:fill="F7F9FA"/>
          </w:tcPr>
          <w:p>
            <w:pPr>
              <w:spacing w:after="0"/>
            </w:pPr>
            <w:r/>
            <w:r>
              <w:rPr>
                <w:rFonts w:ascii="Aptos" w:hAnsi="Aptos"/>
                <w:b w:val="0"/>
                <w:sz w:val="16"/>
              </w:rPr>
              <w:t>Avoid the trap that every informed-consent conversation must be identical.</w:t>
            </w:r>
          </w:p>
        </w:tc>
      </w:tr>
      <w:tr>
        <w:tc>
          <w:tcPr>
            <w:tcW w:type="dxa" w:w="2376"/>
            <w:vAlign w:val="top"/>
          </w:tcPr>
          <w:p>
            <w:pPr>
              <w:spacing w:after="0"/>
            </w:pPr>
            <w:r/>
            <w:r>
              <w:rPr>
                <w:rFonts w:ascii="Aptos" w:hAnsi="Aptos"/>
                <w:b/>
                <w:sz w:val="16"/>
              </w:rPr>
              <w:t>Developing or Unfamiliar Treatment</w:t>
            </w:r>
          </w:p>
        </w:tc>
        <w:tc>
          <w:tcPr>
            <w:tcW w:type="dxa" w:w="5256"/>
            <w:vAlign w:val="top"/>
          </w:tcPr>
          <w:p>
            <w:pPr>
              <w:spacing w:after="0"/>
            </w:pPr>
            <w:r/>
            <w:r>
              <w:rPr>
                <w:rFonts w:ascii="Aptos" w:hAnsi="Aptos"/>
                <w:b w:val="0"/>
                <w:sz w:val="16"/>
              </w:rPr>
              <w:t>Novelty and uncertainty are potentially material and should be communicated accurately before the client decides.</w:t>
            </w:r>
          </w:p>
        </w:tc>
        <w:tc>
          <w:tcPr>
            <w:tcW w:type="dxa" w:w="2520"/>
            <w:vAlign w:val="top"/>
          </w:tcPr>
          <w:p>
            <w:pPr>
              <w:spacing w:after="0"/>
            </w:pPr>
            <w:r/>
            <w:r>
              <w:rPr>
                <w:rFonts w:ascii="Aptos" w:hAnsi="Aptos"/>
                <w:b w:val="0"/>
                <w:sz w:val="16"/>
              </w:rPr>
              <w:t>New, developing, experimental, or unfamiliar methods require greater transparency—not less.</w:t>
            </w:r>
          </w:p>
        </w:tc>
      </w:tr>
      <w:tr>
        <w:tc>
          <w:tcPr>
            <w:tcW w:type="dxa" w:w="2376"/>
            <w:vAlign w:val="top"/>
            <w:shd w:fill="F7F9FA"/>
          </w:tcPr>
          <w:p>
            <w:pPr>
              <w:spacing w:after="0"/>
            </w:pPr>
            <w:r/>
            <w:r>
              <w:rPr>
                <w:rFonts w:ascii="Aptos" w:hAnsi="Aptos"/>
                <w:b/>
                <w:sz w:val="16"/>
              </w:rPr>
              <w:t>Accessible Communication</w:t>
            </w:r>
          </w:p>
        </w:tc>
        <w:tc>
          <w:tcPr>
            <w:tcW w:type="dxa" w:w="5256"/>
            <w:vAlign w:val="top"/>
            <w:shd w:fill="F7F9FA"/>
          </w:tcPr>
          <w:p>
            <w:pPr>
              <w:spacing w:after="0"/>
            </w:pPr>
            <w:r/>
            <w:r>
              <w:rPr>
                <w:rFonts w:ascii="Aptos" w:hAnsi="Aptos"/>
                <w:b w:val="0"/>
                <w:sz w:val="16"/>
              </w:rPr>
              <w:t>The therapist should identify material information, explain it clearly, and check comprehension.</w:t>
            </w:r>
          </w:p>
        </w:tc>
        <w:tc>
          <w:tcPr>
            <w:tcW w:type="dxa" w:w="2520"/>
            <w:vAlign w:val="top"/>
            <w:shd w:fill="F7F9FA"/>
          </w:tcPr>
          <w:p>
            <w:pPr>
              <w:spacing w:after="0"/>
            </w:pPr>
            <w:r/>
            <w:r>
              <w:rPr>
                <w:rFonts w:ascii="Aptos" w:hAnsi="Aptos"/>
                <w:b w:val="0"/>
                <w:sz w:val="16"/>
              </w:rPr>
              <w:t>Do not confuse more pages with more understanding.</w:t>
            </w:r>
          </w:p>
        </w:tc>
      </w:tr>
      <w:tr>
        <w:tc>
          <w:tcPr>
            <w:tcW w:type="dxa" w:w="2376"/>
            <w:vAlign w:val="top"/>
          </w:tcPr>
          <w:p>
            <w:pPr>
              <w:spacing w:after="0"/>
            </w:pPr>
            <w:r/>
            <w:r>
              <w:rPr>
                <w:rFonts w:ascii="Aptos" w:hAnsi="Aptos"/>
                <w:b/>
                <w:sz w:val="16"/>
              </w:rPr>
              <w:t>Alternatives Outside the Therapist’s Practice</w:t>
            </w:r>
          </w:p>
        </w:tc>
        <w:tc>
          <w:tcPr>
            <w:tcW w:type="dxa" w:w="5256"/>
            <w:vAlign w:val="top"/>
          </w:tcPr>
          <w:p>
            <w:pPr>
              <w:spacing w:after="0"/>
            </w:pPr>
            <w:r/>
            <w:r>
              <w:rPr>
                <w:rFonts w:ascii="Aptos" w:hAnsi="Aptos"/>
                <w:b w:val="0"/>
                <w:sz w:val="16"/>
              </w:rPr>
              <w:t>The therapist should accurately discuss clinically reasonable options and professional limitations.</w:t>
            </w:r>
          </w:p>
        </w:tc>
        <w:tc>
          <w:tcPr>
            <w:tcW w:type="dxa" w:w="2520"/>
            <w:vAlign w:val="top"/>
          </w:tcPr>
          <w:p>
            <w:pPr>
              <w:spacing w:after="0"/>
            </w:pPr>
            <w:r/>
            <w:r>
              <w:rPr>
                <w:rFonts w:ascii="Aptos" w:hAnsi="Aptos"/>
                <w:b w:val="0"/>
                <w:sz w:val="16"/>
              </w:rPr>
              <w:t>“Not offered here” does not mean “does not exist.”</w:t>
            </w:r>
          </w:p>
        </w:tc>
      </w:tr>
      <w:tr>
        <w:tc>
          <w:tcPr>
            <w:tcW w:type="dxa" w:w="2376"/>
            <w:vAlign w:val="top"/>
            <w:shd w:fill="F7F9FA"/>
          </w:tcPr>
          <w:p>
            <w:pPr>
              <w:spacing w:after="0"/>
            </w:pPr>
            <w:r/>
            <w:r>
              <w:rPr>
                <w:rFonts w:ascii="Aptos" w:hAnsi="Aptos"/>
                <w:b/>
                <w:sz w:val="16"/>
              </w:rPr>
              <w:t>Materiality and Client-Specific Risk</w:t>
            </w:r>
          </w:p>
        </w:tc>
        <w:tc>
          <w:tcPr>
            <w:tcW w:type="dxa" w:w="5256"/>
            <w:vAlign w:val="top"/>
            <w:shd w:fill="F7F9FA"/>
          </w:tcPr>
          <w:p>
            <w:pPr>
              <w:spacing w:after="0"/>
            </w:pPr>
            <w:r/>
            <w:r>
              <w:rPr>
                <w:rFonts w:ascii="Aptos" w:hAnsi="Aptos"/>
                <w:b w:val="0"/>
                <w:sz w:val="16"/>
              </w:rPr>
              <w:t>A routine intervention may require additional discussion when a known individualized factor materially changes risk.</w:t>
            </w:r>
          </w:p>
        </w:tc>
        <w:tc>
          <w:tcPr>
            <w:tcW w:type="dxa" w:w="2520"/>
            <w:vAlign w:val="top"/>
            <w:shd w:fill="F7F9FA"/>
          </w:tcPr>
          <w:p>
            <w:pPr>
              <w:spacing w:after="0"/>
            </w:pPr>
            <w:r/>
            <w:r>
              <w:rPr>
                <w:rFonts w:ascii="Aptos" w:hAnsi="Aptos"/>
                <w:b w:val="0"/>
                <w:sz w:val="16"/>
              </w:rPr>
              <w:t>Ask what information would realistically matter to this client’s decision.</w:t>
            </w:r>
          </w:p>
        </w:tc>
      </w:tr>
      <w:tr>
        <w:tc>
          <w:tcPr>
            <w:tcW w:type="dxa" w:w="2376"/>
            <w:vAlign w:val="top"/>
          </w:tcPr>
          <w:p>
            <w:pPr>
              <w:spacing w:after="0"/>
            </w:pPr>
            <w:r/>
            <w:r>
              <w:rPr>
                <w:rFonts w:ascii="Aptos" w:hAnsi="Aptos"/>
                <w:b/>
                <w:sz w:val="16"/>
              </w:rPr>
              <w:t>Accurate Expected Benefits</w:t>
            </w:r>
          </w:p>
        </w:tc>
        <w:tc>
          <w:tcPr>
            <w:tcW w:type="dxa" w:w="5256"/>
            <w:vAlign w:val="top"/>
          </w:tcPr>
          <w:p>
            <w:pPr>
              <w:spacing w:after="0"/>
            </w:pPr>
            <w:r/>
            <w:r>
              <w:rPr>
                <w:rFonts w:ascii="Aptos" w:hAnsi="Aptos"/>
                <w:b w:val="0"/>
                <w:sz w:val="16"/>
              </w:rPr>
              <w:t>The statement explains a potential benefit and accurately acknowledges uncertainty.</w:t>
            </w:r>
          </w:p>
        </w:tc>
        <w:tc>
          <w:tcPr>
            <w:tcW w:type="dxa" w:w="2520"/>
            <w:vAlign w:val="top"/>
          </w:tcPr>
          <w:p>
            <w:pPr>
              <w:spacing w:after="0"/>
            </w:pPr>
            <w:r/>
            <w:r>
              <w:rPr>
                <w:rFonts w:ascii="Aptos" w:hAnsi="Aptos"/>
                <w:b w:val="0"/>
                <w:sz w:val="16"/>
              </w:rPr>
              <w:t>Language such as “may help” and “outcomes vary” is stronger than promises of cure.</w:t>
            </w:r>
          </w:p>
        </w:tc>
      </w:tr>
      <w:tr>
        <w:tc>
          <w:tcPr>
            <w:tcW w:type="dxa" w:w="2376"/>
            <w:vAlign w:val="top"/>
            <w:shd w:fill="F7F9FA"/>
          </w:tcPr>
          <w:p>
            <w:pPr>
              <w:spacing w:after="0"/>
            </w:pPr>
            <w:r/>
            <w:r>
              <w:rPr>
                <w:rFonts w:ascii="Aptos" w:hAnsi="Aptos"/>
                <w:b/>
                <w:sz w:val="16"/>
              </w:rPr>
              <w:t>Opportunity to Ask Questions</w:t>
            </w:r>
          </w:p>
        </w:tc>
        <w:tc>
          <w:tcPr>
            <w:tcW w:type="dxa" w:w="5256"/>
            <w:vAlign w:val="top"/>
            <w:shd w:fill="F7F9FA"/>
          </w:tcPr>
          <w:p>
            <w:pPr>
              <w:spacing w:after="0"/>
            </w:pPr>
            <w:r/>
            <w:r>
              <w:rPr>
                <w:rFonts w:ascii="Aptos" w:hAnsi="Aptos"/>
                <w:b w:val="0"/>
                <w:sz w:val="16"/>
              </w:rPr>
              <w:t>Meaningful consent includes a genuine opportunity for questions and clarification.</w:t>
            </w:r>
          </w:p>
        </w:tc>
        <w:tc>
          <w:tcPr>
            <w:tcW w:type="dxa" w:w="2520"/>
            <w:vAlign w:val="top"/>
            <w:shd w:fill="F7F9FA"/>
          </w:tcPr>
          <w:p>
            <w:pPr>
              <w:spacing w:after="0"/>
            </w:pPr>
            <w:r/>
            <w:r>
              <w:rPr>
                <w:rFonts w:ascii="Aptos" w:hAnsi="Aptos"/>
                <w:b w:val="0"/>
                <w:sz w:val="16"/>
              </w:rPr>
              <w:t>Information without an opportunity to respond is an incomplete process.</w:t>
            </w:r>
          </w:p>
        </w:tc>
      </w:tr>
      <w:tr>
        <w:tc>
          <w:tcPr>
            <w:tcW w:type="dxa" w:w="2376"/>
            <w:vAlign w:val="top"/>
          </w:tcPr>
          <w:p>
            <w:pPr>
              <w:spacing w:after="0"/>
            </w:pPr>
            <w:r/>
            <w:r>
              <w:rPr>
                <w:rFonts w:ascii="Aptos" w:hAnsi="Aptos"/>
                <w:b/>
                <w:sz w:val="16"/>
              </w:rPr>
              <w:t>Relevant Financial Information</w:t>
            </w:r>
          </w:p>
        </w:tc>
        <w:tc>
          <w:tcPr>
            <w:tcW w:type="dxa" w:w="5256"/>
            <w:vAlign w:val="top"/>
          </w:tcPr>
          <w:p>
            <w:pPr>
              <w:spacing w:after="0"/>
            </w:pPr>
            <w:r/>
            <w:r>
              <w:rPr>
                <w:rFonts w:ascii="Aptos" w:hAnsi="Aptos"/>
                <w:b w:val="0"/>
                <w:sz w:val="16"/>
              </w:rPr>
              <w:t>Financial transparency combines accurate known costs, significant policies, and honest uncertainty.</w:t>
            </w:r>
          </w:p>
        </w:tc>
        <w:tc>
          <w:tcPr>
            <w:tcW w:type="dxa" w:w="2520"/>
            <w:vAlign w:val="top"/>
          </w:tcPr>
          <w:p>
            <w:pPr>
              <w:spacing w:after="0"/>
            </w:pPr>
            <w:r/>
            <w:r>
              <w:rPr>
                <w:rFonts w:ascii="Aptos" w:hAnsi="Aptos"/>
                <w:b w:val="0"/>
                <w:sz w:val="16"/>
              </w:rPr>
              <w:t>Choose accurate known costs plus significant policies—not silence or false certainty.</w:t>
            </w:r>
          </w:p>
        </w:tc>
      </w:tr>
      <w:tr>
        <w:tc>
          <w:tcPr>
            <w:tcW w:type="dxa" w:w="2376"/>
            <w:vAlign w:val="top"/>
            <w:shd w:fill="F7F9FA"/>
          </w:tcPr>
          <w:p>
            <w:pPr>
              <w:spacing w:after="0"/>
            </w:pPr>
            <w:r/>
            <w:r>
              <w:rPr>
                <w:rFonts w:ascii="Aptos" w:hAnsi="Aptos"/>
                <w:b/>
                <w:sz w:val="16"/>
              </w:rPr>
              <w:t>Material Risks vs. Every Conceivable Risk</w:t>
            </w:r>
          </w:p>
        </w:tc>
        <w:tc>
          <w:tcPr>
            <w:tcW w:type="dxa" w:w="5256"/>
            <w:vAlign w:val="top"/>
            <w:shd w:fill="F7F9FA"/>
          </w:tcPr>
          <w:p>
            <w:pPr>
              <w:spacing w:after="0"/>
            </w:pPr>
            <w:r/>
            <w:r>
              <w:rPr>
                <w:rFonts w:ascii="Aptos" w:hAnsi="Aptos"/>
                <w:b w:val="0"/>
                <w:sz w:val="16"/>
              </w:rPr>
              <w:t>The goal is accurate, proportionate, decision-relevant information.</w:t>
            </w:r>
          </w:p>
        </w:tc>
        <w:tc>
          <w:tcPr>
            <w:tcW w:type="dxa" w:w="2520"/>
            <w:vAlign w:val="top"/>
            <w:shd w:fill="F7F9FA"/>
          </w:tcPr>
          <w:p>
            <w:pPr>
              <w:spacing w:after="0"/>
            </w:pPr>
            <w:r/>
            <w:r>
              <w:rPr>
                <w:rFonts w:ascii="Aptos" w:hAnsi="Aptos"/>
                <w:b w:val="0"/>
                <w:sz w:val="16"/>
              </w:rPr>
              <w:t>Avoid both extremes: no meaningful risk information and every imaginable remote risk.</w:t>
            </w:r>
          </w:p>
        </w:tc>
      </w:tr>
      <w:tr>
        <w:tc>
          <w:tcPr>
            <w:tcW w:type="dxa" w:w="2376"/>
            <w:vAlign w:val="top"/>
          </w:tcPr>
          <w:p>
            <w:pPr>
              <w:spacing w:after="0"/>
            </w:pPr>
            <w:r/>
            <w:r>
              <w:rPr>
                <w:rFonts w:ascii="Aptos" w:hAnsi="Aptos"/>
                <w:b/>
                <w:sz w:val="16"/>
              </w:rPr>
              <w:t>Financial Interest and Treatment Options</w:t>
            </w:r>
          </w:p>
        </w:tc>
        <w:tc>
          <w:tcPr>
            <w:tcW w:type="dxa" w:w="5256"/>
            <w:vAlign w:val="top"/>
          </w:tcPr>
          <w:p>
            <w:pPr>
              <w:spacing w:after="0"/>
            </w:pPr>
            <w:r/>
            <w:r>
              <w:rPr>
                <w:rFonts w:ascii="Aptos" w:hAnsi="Aptos"/>
                <w:b w:val="0"/>
                <w:sz w:val="16"/>
              </w:rPr>
              <w:t>Personal financial benefit appears to be distorting the information and narrowing the client’s meaningful choice.</w:t>
            </w:r>
          </w:p>
        </w:tc>
        <w:tc>
          <w:tcPr>
            <w:tcW w:type="dxa" w:w="2520"/>
            <w:vAlign w:val="top"/>
          </w:tcPr>
          <w:p>
            <w:pPr>
              <w:spacing w:after="0"/>
            </w:pPr>
            <w:r/>
            <w:r>
              <w:rPr>
                <w:rFonts w:ascii="Aptos" w:hAnsi="Aptos"/>
                <w:b w:val="0"/>
                <w:sz w:val="16"/>
              </w:rPr>
              <w:t>When the therapist has a personal interest, ask whether the client is receiving accurate information or only information that benefits the therapist.</w:t>
            </w:r>
          </w:p>
        </w:tc>
      </w:tr>
      <w:tr>
        <w:tc>
          <w:tcPr>
            <w:tcW w:type="dxa" w:w="2376"/>
            <w:vAlign w:val="top"/>
            <w:shd w:fill="F7F9FA"/>
          </w:tcPr>
          <w:p>
            <w:pPr>
              <w:spacing w:after="0"/>
            </w:pPr>
            <w:r/>
            <w:r>
              <w:rPr>
                <w:rFonts w:ascii="Aptos" w:hAnsi="Aptos"/>
                <w:b/>
                <w:sz w:val="16"/>
              </w:rPr>
              <w:t>Client Request to Avoid Material Information</w:t>
            </w:r>
          </w:p>
        </w:tc>
        <w:tc>
          <w:tcPr>
            <w:tcW w:type="dxa" w:w="5256"/>
            <w:vAlign w:val="top"/>
            <w:shd w:fill="F7F9FA"/>
          </w:tcPr>
          <w:p>
            <w:pPr>
              <w:spacing w:after="0"/>
            </w:pPr>
            <w:r/>
            <w:r>
              <w:rPr>
                <w:rFonts w:ascii="Aptos" w:hAnsi="Aptos"/>
                <w:b w:val="0"/>
                <w:sz w:val="16"/>
              </w:rPr>
              <w:t>The therapist should pace and adapt the discussion while still providing material information.</w:t>
            </w:r>
          </w:p>
        </w:tc>
        <w:tc>
          <w:tcPr>
            <w:tcW w:type="dxa" w:w="2520"/>
            <w:vAlign w:val="top"/>
            <w:shd w:fill="F7F9FA"/>
          </w:tcPr>
          <w:p>
            <w:pPr>
              <w:spacing w:after="0"/>
            </w:pPr>
            <w:r/>
            <w:r>
              <w:rPr>
                <w:rFonts w:ascii="Aptos" w:hAnsi="Aptos"/>
                <w:b w:val="0"/>
                <w:sz w:val="16"/>
              </w:rPr>
              <w:t>Do not overwhelm—but do not materially mislead.</w:t>
            </w:r>
          </w:p>
        </w:tc>
      </w:tr>
      <w:tr>
        <w:tc>
          <w:tcPr>
            <w:tcW w:type="dxa" w:w="2376"/>
            <w:vAlign w:val="top"/>
          </w:tcPr>
          <w:p>
            <w:pPr>
              <w:spacing w:after="0"/>
            </w:pPr>
            <w:r/>
            <w:r>
              <w:rPr>
                <w:rFonts w:ascii="Aptos" w:hAnsi="Aptos"/>
                <w:b/>
                <w:sz w:val="16"/>
              </w:rPr>
              <w:t>Comprehensive Information for Informed Decision-Making</w:t>
            </w:r>
          </w:p>
        </w:tc>
        <w:tc>
          <w:tcPr>
            <w:tcW w:type="dxa" w:w="5256"/>
            <w:vAlign w:val="top"/>
          </w:tcPr>
          <w:p>
            <w:pPr>
              <w:spacing w:after="0"/>
            </w:pPr>
            <w:r/>
            <w:r>
              <w:rPr>
                <w:rFonts w:ascii="Aptos" w:hAnsi="Aptos"/>
                <w:b w:val="0"/>
                <w:sz w:val="16"/>
              </w:rPr>
              <w:t>Reopen the discussion, correct the inaccurate guarantee, explain the intervention accessibly, disclose material risks and financial information, discuss reasonable options, invite questions, and determine whether the client voluntarily wishes to proceed. This response restores balanced information, materiality, alternatives, financial transparency, understanding, questions, and voluntary choice.</w:t>
            </w:r>
          </w:p>
        </w:tc>
        <w:tc>
          <w:tcPr>
            <w:tcW w:type="dxa" w:w="2520"/>
            <w:vAlign w:val="top"/>
          </w:tcPr>
          <w:p>
            <w:pPr>
              <w:spacing w:after="0"/>
            </w:pPr>
            <w:r/>
            <w:r>
              <w:rPr>
                <w:rFonts w:ascii="Aptos" w:hAnsi="Aptos"/>
                <w:b w:val="0"/>
                <w:sz w:val="16"/>
              </w:rPr>
              <w:t>For an integrated disclosure question, check nature, benefits, risks, alternatives, costs, understanding, questions, and voluntary choice.</w:t>
            </w:r>
          </w:p>
        </w:tc>
      </w:tr>
    </w:tbl>
    <w:p>
      <w:pPr>
        <w:pStyle w:val="Heading2"/>
      </w:pPr>
      <w:r>
        <w:t>Exam Reasoning Checklist</w:t>
      </w:r>
    </w:p>
    <w:p>
      <w:pPr>
        <w:pStyle w:val="ListBullet"/>
        <w:spacing w:after="30"/>
      </w:pPr>
      <w:r>
        <w:t>When the client knows when to attend and how to pay—but not what is being offered—look for the missing nature and purpose of treatment.</w:t>
      </w:r>
    </w:p>
    <w:p>
      <w:pPr>
        <w:pStyle w:val="ListBullet"/>
        <w:spacing w:after="30"/>
      </w:pPr>
      <w:r>
        <w:t>Guaranteed outcomes and intentional omission of meaningful risks are major red flags.</w:t>
      </w:r>
    </w:p>
    <w:p>
      <w:pPr>
        <w:pStyle w:val="ListBullet"/>
        <w:spacing w:after="30"/>
      </w:pPr>
      <w:r>
        <w:t>Distinguish discussing an alternative from being required to provide it.</w:t>
      </w:r>
    </w:p>
    <w:p>
      <w:pPr>
        <w:pStyle w:val="ListBullet"/>
        <w:spacing w:after="30"/>
      </w:pPr>
      <w:r>
        <w:t>The client needs meaningful confidentiality information—not silence and not an exhaustive law lecture.</w:t>
      </w:r>
    </w:p>
    <w:p>
      <w:pPr>
        <w:pStyle w:val="ListBullet"/>
        <w:spacing w:after="30"/>
      </w:pPr>
      <w:r>
        <w:t>Ask whether the undisclosed policy could reasonably affect the client’s decision to begin or continue treatment.</w:t>
      </w:r>
    </w:p>
    <w:p>
      <w:pPr>
        <w:pStyle w:val="ListBullet"/>
        <w:spacing w:after="30"/>
      </w:pPr>
      <w:r>
        <w:t>Avoid the trap that every informed-consent conversation must be identical.</w:t>
      </w:r>
    </w:p>
    <w:p>
      <w:pPr>
        <w:pStyle w:val="ListBullet"/>
        <w:spacing w:after="30"/>
      </w:pPr>
      <w:r>
        <w:t>New, developing, experimental, or unfamiliar methods require greater transparency—not less.</w:t>
      </w:r>
    </w:p>
    <w:p>
      <w:pPr>
        <w:pStyle w:val="ListBullet"/>
        <w:spacing w:after="30"/>
      </w:pPr>
      <w:r>
        <w:t>Do not confuse more pages with more understanding.</w:t>
      </w:r>
    </w:p>
    <w:p>
      <w:pPr>
        <w:pStyle w:val="Heading2"/>
      </w:pPr>
      <w:r>
        <w:t>Chapter Rapid Review</w:t>
      </w:r>
    </w:p>
    <w:p>
      <w:r>
        <w:rPr>
          <w:b/>
        </w:rPr>
        <w:t xml:space="preserve">Know these concepts: </w:t>
      </w:r>
      <w:r>
        <w:t>Nature and Purpose of Services; Balanced Benefits and Risks; Reasonable Treatment Alternatives; Confidentiality Framework; Fees and Financial Policies; Context-Specific Disclosure; Developing or Unfamiliar Treatment; Accessible Communication; Alternatives Outside the Therapist’s Practice; Materiality and Client-Specific Risk; Accurate Expected Benefits; Opportunity to Ask Questions; Relevant Financial Information; Material Risks vs. Every Conceivable Risk; Financial Interest and Treatment Options; Client Request to Avoid Material Information; Comprehensive Information for Informed Decision-Making</w:t>
      </w:r>
    </w:p>
    <w:p>
      <w:r>
        <w:br w:type="page"/>
      </w:r>
    </w:p>
    <w:p>
      <w:pPr>
        <w:pStyle w:val="Heading2"/>
      </w:pPr>
      <w:r>
        <w:t>Chapter 3</w:t>
      </w:r>
    </w:p>
    <w:p>
      <w:pPr>
        <w:pStyle w:val="Heading1"/>
      </w:pPr>
      <w:r>
        <w:t>Ongoing Informed Consent</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The therapist should respond to significant changes, new information, questions, misunderstanding, and meaningful decision points. Clarification and reassessment of willingness support meaningful continued participation.</w:t>
            </w:r>
          </w:p>
        </w:tc>
      </w:tr>
    </w:tbl>
    <w:p>
      <w:pPr>
        <w:pStyle w:val="Heading2"/>
      </w:pPr>
      <w:r>
        <w:t>What to Learn</w:t>
      </w:r>
    </w:p>
    <w:p>
      <w:pPr>
        <w:pStyle w:val="ListBullet"/>
        <w:spacing w:after="30"/>
      </w:pPr>
      <w:r>
        <w:t>Explain and apply Meaning of Ongoing Informed Consent.</w:t>
      </w:r>
    </w:p>
    <w:p>
      <w:pPr>
        <w:pStyle w:val="ListBullet"/>
        <w:spacing w:after="30"/>
      </w:pPr>
      <w:r>
        <w:t>Explain and apply Client Questions After Intake.</w:t>
      </w:r>
    </w:p>
    <w:p>
      <w:pPr>
        <w:pStyle w:val="ListBullet"/>
        <w:spacing w:after="30"/>
      </w:pPr>
      <w:r>
        <w:t>Explain and apply Significant Treatment Change.</w:t>
      </w:r>
    </w:p>
    <w:p>
      <w:pPr>
        <w:pStyle w:val="ListBullet"/>
        <w:spacing w:after="30"/>
      </w:pPr>
      <w:r>
        <w:t>Explain and apply Newly Recognized Material Risk.</w:t>
      </w:r>
    </w:p>
    <w:p>
      <w:pPr>
        <w:pStyle w:val="ListBullet"/>
        <w:spacing w:after="30"/>
      </w:pPr>
      <w:r>
        <w:t>Explain and apply Withdrawal From a Specific Intervention.</w:t>
      </w:r>
    </w:p>
    <w:p>
      <w:pPr>
        <w:pStyle w:val="ListBullet"/>
        <w:spacing w:after="30"/>
      </w:pPr>
      <w:r>
        <w:t>Explain and apply Routine Adjustment vs. Material Change.</w:t>
      </w:r>
    </w:p>
    <w:p>
      <w:pPr>
        <w:pStyle w:val="ListBullet"/>
        <w:spacing w:after="30"/>
      </w:pPr>
      <w:r>
        <w:t>Explain and apply Individual to Conjoint Treatment.</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Meaning of Ongoing Informed Consent</w:t>
            </w:r>
          </w:p>
        </w:tc>
        <w:tc>
          <w:tcPr>
            <w:tcW w:type="dxa" w:w="5256"/>
            <w:vAlign w:val="top"/>
          </w:tcPr>
          <w:p>
            <w:pPr>
              <w:spacing w:after="0"/>
            </w:pPr>
            <w:r/>
            <w:r>
              <w:rPr>
                <w:rFonts w:ascii="Aptos" w:hAnsi="Aptos"/>
                <w:b w:val="0"/>
                <w:sz w:val="16"/>
              </w:rPr>
              <w:t>The therapist should respond to significant changes, new information, questions, misunderstanding, and meaningful decision points.</w:t>
            </w:r>
          </w:p>
        </w:tc>
        <w:tc>
          <w:tcPr>
            <w:tcW w:type="dxa" w:w="2520"/>
            <w:vAlign w:val="top"/>
          </w:tcPr>
          <w:p>
            <w:pPr>
              <w:spacing w:after="0"/>
            </w:pPr>
            <w:r/>
            <w:r>
              <w:rPr>
                <w:rFonts w:ascii="Aptos" w:hAnsi="Aptos"/>
                <w:b w:val="0"/>
                <w:sz w:val="16"/>
              </w:rPr>
              <w:t>Do not interpret “ongoing” as “repeat everything constantly.” Look for a meaningful trigger.</w:t>
            </w:r>
          </w:p>
        </w:tc>
      </w:tr>
      <w:tr>
        <w:tc>
          <w:tcPr>
            <w:tcW w:type="dxa" w:w="2376"/>
            <w:vAlign w:val="top"/>
            <w:shd w:fill="F7F9FA"/>
          </w:tcPr>
          <w:p>
            <w:pPr>
              <w:spacing w:after="0"/>
            </w:pPr>
            <w:r/>
            <w:r>
              <w:rPr>
                <w:rFonts w:ascii="Aptos" w:hAnsi="Aptos"/>
                <w:b/>
                <w:sz w:val="16"/>
              </w:rPr>
              <w:t>Client Questions After Intake</w:t>
            </w:r>
          </w:p>
        </w:tc>
        <w:tc>
          <w:tcPr>
            <w:tcW w:type="dxa" w:w="5256"/>
            <w:vAlign w:val="top"/>
            <w:shd w:fill="F7F9FA"/>
          </w:tcPr>
          <w:p>
            <w:pPr>
              <w:spacing w:after="0"/>
            </w:pPr>
            <w:r/>
            <w:r>
              <w:rPr>
                <w:rFonts w:ascii="Aptos" w:hAnsi="Aptos"/>
                <w:b w:val="0"/>
                <w:sz w:val="16"/>
              </w:rPr>
              <w:t>Clarification and reassessment of willingness support meaningful continued participation.</w:t>
            </w:r>
          </w:p>
        </w:tc>
        <w:tc>
          <w:tcPr>
            <w:tcW w:type="dxa" w:w="2520"/>
            <w:vAlign w:val="top"/>
            <w:shd w:fill="F7F9FA"/>
          </w:tcPr>
          <w:p>
            <w:pPr>
              <w:spacing w:after="0"/>
            </w:pPr>
            <w:r/>
            <w:r>
              <w:rPr>
                <w:rFonts w:ascii="Aptos" w:hAnsi="Aptos"/>
                <w:b w:val="0"/>
                <w:sz w:val="16"/>
              </w:rPr>
              <w:t>When a client asks a reasonable later question, choose explanation and continued choice—not “you already signed.”</w:t>
            </w:r>
          </w:p>
        </w:tc>
      </w:tr>
      <w:tr>
        <w:tc>
          <w:tcPr>
            <w:tcW w:type="dxa" w:w="2376"/>
            <w:vAlign w:val="top"/>
          </w:tcPr>
          <w:p>
            <w:pPr>
              <w:spacing w:after="0"/>
            </w:pPr>
            <w:r/>
            <w:r>
              <w:rPr>
                <w:rFonts w:ascii="Aptos" w:hAnsi="Aptos"/>
                <w:b/>
                <w:sz w:val="16"/>
              </w:rPr>
              <w:t>Significant Treatment Change</w:t>
            </w:r>
          </w:p>
        </w:tc>
        <w:tc>
          <w:tcPr>
            <w:tcW w:type="dxa" w:w="5256"/>
            <w:vAlign w:val="top"/>
          </w:tcPr>
          <w:p>
            <w:pPr>
              <w:spacing w:after="0"/>
            </w:pPr>
            <w:r/>
            <w:r>
              <w:rPr>
                <w:rFonts w:ascii="Aptos" w:hAnsi="Aptos"/>
                <w:b w:val="0"/>
                <w:sz w:val="16"/>
              </w:rPr>
              <w:t>A material departure from the original plan is an appropriate point to revisit information and choice.</w:t>
            </w:r>
          </w:p>
        </w:tc>
        <w:tc>
          <w:tcPr>
            <w:tcW w:type="dxa" w:w="2520"/>
            <w:vAlign w:val="top"/>
          </w:tcPr>
          <w:p>
            <w:pPr>
              <w:spacing w:after="0"/>
            </w:pPr>
            <w:r/>
            <w:r>
              <w:rPr>
                <w:rFonts w:ascii="Aptos" w:hAnsi="Aptos"/>
                <w:b w:val="0"/>
                <w:sz w:val="16"/>
              </w:rPr>
              <w:t>“Substantially different from the original plan” is a strong renewed-discussion trigger.</w:t>
            </w:r>
          </w:p>
        </w:tc>
      </w:tr>
      <w:tr>
        <w:tc>
          <w:tcPr>
            <w:tcW w:type="dxa" w:w="2376"/>
            <w:vAlign w:val="top"/>
            <w:shd w:fill="F7F9FA"/>
          </w:tcPr>
          <w:p>
            <w:pPr>
              <w:spacing w:after="0"/>
            </w:pPr>
            <w:r/>
            <w:r>
              <w:rPr>
                <w:rFonts w:ascii="Aptos" w:hAnsi="Aptos"/>
                <w:b/>
                <w:sz w:val="16"/>
              </w:rPr>
              <w:t>Newly Recognized Material Risk</w:t>
            </w:r>
          </w:p>
        </w:tc>
        <w:tc>
          <w:tcPr>
            <w:tcW w:type="dxa" w:w="5256"/>
            <w:vAlign w:val="top"/>
            <w:shd w:fill="F7F9FA"/>
          </w:tcPr>
          <w:p>
            <w:pPr>
              <w:spacing w:after="0"/>
            </w:pPr>
            <w:r/>
            <w:r>
              <w:rPr>
                <w:rFonts w:ascii="Aptos" w:hAnsi="Aptos"/>
                <w:b w:val="0"/>
                <w:sz w:val="16"/>
              </w:rPr>
              <w:t>New material information should be placed in context and incorporated into the client’s continuing decision.</w:t>
            </w:r>
          </w:p>
        </w:tc>
        <w:tc>
          <w:tcPr>
            <w:tcW w:type="dxa" w:w="2520"/>
            <w:vAlign w:val="top"/>
            <w:shd w:fill="F7F9FA"/>
          </w:tcPr>
          <w:p>
            <w:pPr>
              <w:spacing w:after="0"/>
            </w:pPr>
            <w:r/>
            <w:r>
              <w:rPr>
                <w:rFonts w:ascii="Aptos" w:hAnsi="Aptos"/>
                <w:b w:val="0"/>
                <w:sz w:val="16"/>
              </w:rPr>
              <w:t>New information that could affect the decision calls for communication—not silence or an extreme response.</w:t>
            </w:r>
          </w:p>
        </w:tc>
      </w:tr>
      <w:tr>
        <w:tc>
          <w:tcPr>
            <w:tcW w:type="dxa" w:w="2376"/>
            <w:vAlign w:val="top"/>
          </w:tcPr>
          <w:p>
            <w:pPr>
              <w:spacing w:after="0"/>
            </w:pPr>
            <w:r/>
            <w:r>
              <w:rPr>
                <w:rFonts w:ascii="Aptos" w:hAnsi="Aptos"/>
                <w:b/>
                <w:sz w:val="16"/>
              </w:rPr>
              <w:t>Withdrawal From a Specific Intervention</w:t>
            </w:r>
          </w:p>
        </w:tc>
        <w:tc>
          <w:tcPr>
            <w:tcW w:type="dxa" w:w="5256"/>
            <w:vAlign w:val="top"/>
          </w:tcPr>
          <w:p>
            <w:pPr>
              <w:spacing w:after="0"/>
            </w:pPr>
            <w:r/>
            <w:r>
              <w:rPr>
                <w:rFonts w:ascii="Aptos" w:hAnsi="Aptos"/>
                <w:b w:val="0"/>
                <w:sz w:val="16"/>
              </w:rPr>
              <w:t>The therapist should distinguish withdrawal from one intervention from withdrawal from the entire relationship and consider appropriate alternatives.</w:t>
            </w:r>
          </w:p>
        </w:tc>
        <w:tc>
          <w:tcPr>
            <w:tcW w:type="dxa" w:w="2520"/>
            <w:vAlign w:val="top"/>
          </w:tcPr>
          <w:p>
            <w:pPr>
              <w:spacing w:after="0"/>
            </w:pPr>
            <w:r/>
            <w:r>
              <w:rPr>
                <w:rFonts w:ascii="Aptos" w:hAnsi="Aptos"/>
                <w:b w:val="0"/>
                <w:sz w:val="16"/>
              </w:rPr>
              <w:t>Declining one technique does not automatically mean the client is ending all treatment.</w:t>
            </w:r>
          </w:p>
        </w:tc>
      </w:tr>
      <w:tr>
        <w:tc>
          <w:tcPr>
            <w:tcW w:type="dxa" w:w="2376"/>
            <w:vAlign w:val="top"/>
            <w:shd w:fill="F7F9FA"/>
          </w:tcPr>
          <w:p>
            <w:pPr>
              <w:spacing w:after="0"/>
            </w:pPr>
            <w:r/>
            <w:r>
              <w:rPr>
                <w:rFonts w:ascii="Aptos" w:hAnsi="Aptos"/>
                <w:b/>
                <w:sz w:val="16"/>
              </w:rPr>
              <w:t>Routine Adjustment vs. Material Change</w:t>
            </w:r>
          </w:p>
        </w:tc>
        <w:tc>
          <w:tcPr>
            <w:tcW w:type="dxa" w:w="5256"/>
            <w:vAlign w:val="top"/>
            <w:shd w:fill="F7F9FA"/>
          </w:tcPr>
          <w:p>
            <w:pPr>
              <w:spacing w:after="0"/>
            </w:pPr>
            <w:r/>
            <w:r>
              <w:rPr>
                <w:rFonts w:ascii="Aptos" w:hAnsi="Aptos"/>
                <w:b w:val="0"/>
                <w:sz w:val="16"/>
              </w:rPr>
              <w:t>Ongoing consent is responsive to material changes, not every small clinical judgment.</w:t>
            </w:r>
          </w:p>
        </w:tc>
        <w:tc>
          <w:tcPr>
            <w:tcW w:type="dxa" w:w="2520"/>
            <w:vAlign w:val="top"/>
            <w:shd w:fill="F7F9FA"/>
          </w:tcPr>
          <w:p>
            <w:pPr>
              <w:spacing w:after="0"/>
            </w:pPr>
            <w:r/>
            <w:r>
              <w:rPr>
                <w:rFonts w:ascii="Aptos" w:hAnsi="Aptos"/>
                <w:b w:val="0"/>
                <w:sz w:val="16"/>
              </w:rPr>
              <w:t>Ask whether the change meaningfully alters what the client agreed to—not whether anything changed at all.</w:t>
            </w:r>
          </w:p>
        </w:tc>
      </w:tr>
      <w:tr>
        <w:tc>
          <w:tcPr>
            <w:tcW w:type="dxa" w:w="2376"/>
            <w:vAlign w:val="top"/>
          </w:tcPr>
          <w:p>
            <w:pPr>
              <w:spacing w:after="0"/>
            </w:pPr>
            <w:r/>
            <w:r>
              <w:rPr>
                <w:rFonts w:ascii="Aptos" w:hAnsi="Aptos"/>
                <w:b/>
                <w:sz w:val="16"/>
              </w:rPr>
              <w:t>Individual to Conjoint Treatment</w:t>
            </w:r>
          </w:p>
        </w:tc>
        <w:tc>
          <w:tcPr>
            <w:tcW w:type="dxa" w:w="5256"/>
            <w:vAlign w:val="top"/>
          </w:tcPr>
          <w:p>
            <w:pPr>
              <w:spacing w:after="0"/>
            </w:pPr>
            <w:r/>
            <w:r>
              <w:rPr>
                <w:rFonts w:ascii="Aptos" w:hAnsi="Aptos"/>
                <w:b w:val="0"/>
                <w:sz w:val="16"/>
              </w:rPr>
              <w:t>The change may alter clients, roles, goals, confidentiality, records, and information handling.</w:t>
            </w:r>
          </w:p>
        </w:tc>
        <w:tc>
          <w:tcPr>
            <w:tcW w:type="dxa" w:w="2520"/>
            <w:vAlign w:val="top"/>
          </w:tcPr>
          <w:p>
            <w:pPr>
              <w:spacing w:after="0"/>
            </w:pPr>
            <w:r/>
            <w:r>
              <w:rPr>
                <w:rFonts w:ascii="Aptos" w:hAnsi="Aptos"/>
                <w:b w:val="0"/>
                <w:sz w:val="16"/>
              </w:rPr>
              <w:t>Individual to couple or family treatment should immediately trigger role, client, and confidentiality analysis.</w:t>
            </w:r>
          </w:p>
        </w:tc>
      </w:tr>
      <w:tr>
        <w:tc>
          <w:tcPr>
            <w:tcW w:type="dxa" w:w="2376"/>
            <w:vAlign w:val="top"/>
            <w:shd w:fill="F7F9FA"/>
          </w:tcPr>
          <w:p>
            <w:pPr>
              <w:spacing w:after="0"/>
            </w:pPr>
            <w:r/>
            <w:r>
              <w:rPr>
                <w:rFonts w:ascii="Aptos" w:hAnsi="Aptos"/>
                <w:b/>
                <w:sz w:val="16"/>
              </w:rPr>
              <w:t>Treatment Progress and New Plan</w:t>
            </w:r>
          </w:p>
        </w:tc>
        <w:tc>
          <w:tcPr>
            <w:tcW w:type="dxa" w:w="5256"/>
            <w:vAlign w:val="top"/>
            <w:shd w:fill="F7F9FA"/>
          </w:tcPr>
          <w:p>
            <w:pPr>
              <w:spacing w:after="0"/>
            </w:pPr>
            <w:r/>
            <w:r>
              <w:rPr>
                <w:rFonts w:ascii="Aptos" w:hAnsi="Aptos"/>
                <w:b w:val="0"/>
                <w:sz w:val="16"/>
              </w:rPr>
              <w:t>Monitoring effectiveness and involving the client in a material change supports competent and collaborative care.</w:t>
            </w:r>
          </w:p>
        </w:tc>
        <w:tc>
          <w:tcPr>
            <w:tcW w:type="dxa" w:w="2520"/>
            <w:vAlign w:val="top"/>
            <w:shd w:fill="F7F9FA"/>
          </w:tcPr>
          <w:p>
            <w:pPr>
              <w:spacing w:after="0"/>
            </w:pPr>
            <w:r/>
            <w:r>
              <w:rPr>
                <w:rFonts w:ascii="Aptos" w:hAnsi="Aptos"/>
                <w:b w:val="0"/>
                <w:sz w:val="16"/>
              </w:rPr>
              <w:t>Ongoing consent does not mean continuing the original plan forever; it means discussing meaningful changes.</w:t>
            </w:r>
          </w:p>
        </w:tc>
      </w:tr>
      <w:tr>
        <w:tc>
          <w:tcPr>
            <w:tcW w:type="dxa" w:w="2376"/>
            <w:vAlign w:val="top"/>
          </w:tcPr>
          <w:p>
            <w:pPr>
              <w:spacing w:after="0"/>
            </w:pPr>
            <w:r/>
            <w:r>
              <w:rPr>
                <w:rFonts w:ascii="Aptos" w:hAnsi="Aptos"/>
                <w:b/>
                <w:sz w:val="16"/>
              </w:rPr>
              <w:t>Mandated Treatment and Remaining Choice</w:t>
            </w:r>
          </w:p>
        </w:tc>
        <w:tc>
          <w:tcPr>
            <w:tcW w:type="dxa" w:w="5256"/>
            <w:vAlign w:val="top"/>
          </w:tcPr>
          <w:p>
            <w:pPr>
              <w:spacing w:after="0"/>
            </w:pPr>
            <w:r/>
            <w:r>
              <w:rPr>
                <w:rFonts w:ascii="Aptos" w:hAnsi="Aptos"/>
                <w:b w:val="0"/>
                <w:sz w:val="16"/>
              </w:rPr>
              <w:t>Mandated attendance limits voluntariness but does not eliminate accurate information, professional role clarification, confidentiality analysis, or all client choice.</w:t>
            </w:r>
          </w:p>
        </w:tc>
        <w:tc>
          <w:tcPr>
            <w:tcW w:type="dxa" w:w="2520"/>
            <w:vAlign w:val="top"/>
          </w:tcPr>
          <w:p>
            <w:pPr>
              <w:spacing w:after="0"/>
            </w:pPr>
            <w:r/>
            <w:r>
              <w:rPr>
                <w:rFonts w:ascii="Aptos" w:hAnsi="Aptos"/>
                <w:b w:val="0"/>
                <w:sz w:val="16"/>
              </w:rPr>
              <w:t>Mandated attendance is not the same as no autonomy, no confidentiality, and consent to everything.</w:t>
            </w:r>
          </w:p>
        </w:tc>
      </w:tr>
      <w:tr>
        <w:tc>
          <w:tcPr>
            <w:tcW w:type="dxa" w:w="2376"/>
            <w:vAlign w:val="top"/>
            <w:shd w:fill="F7F9FA"/>
          </w:tcPr>
          <w:p>
            <w:pPr>
              <w:spacing w:after="0"/>
            </w:pPr>
            <w:r/>
            <w:r>
              <w:rPr>
                <w:rFonts w:ascii="Aptos" w:hAnsi="Aptos"/>
                <w:b/>
                <w:sz w:val="16"/>
              </w:rPr>
              <w:t>Temporary Incapacity at a Major Decision</w:t>
            </w:r>
          </w:p>
        </w:tc>
        <w:tc>
          <w:tcPr>
            <w:tcW w:type="dxa" w:w="5256"/>
            <w:vAlign w:val="top"/>
            <w:shd w:fill="F7F9FA"/>
          </w:tcPr>
          <w:p>
            <w:pPr>
              <w:spacing w:after="0"/>
            </w:pPr>
            <w:r/>
            <w:r>
              <w:rPr>
                <w:rFonts w:ascii="Aptos" w:hAnsi="Aptos"/>
                <w:b w:val="0"/>
                <w:sz w:val="16"/>
              </w:rPr>
              <w:t>A major nonurgent decision should ordinarily wait until meaningful participation is possible.</w:t>
            </w:r>
          </w:p>
        </w:tc>
        <w:tc>
          <w:tcPr>
            <w:tcW w:type="dxa" w:w="2520"/>
            <w:vAlign w:val="top"/>
            <w:shd w:fill="F7F9FA"/>
          </w:tcPr>
          <w:p>
            <w:pPr>
              <w:spacing w:after="0"/>
            </w:pPr>
            <w:r/>
            <w:r>
              <w:rPr>
                <w:rFonts w:ascii="Aptos" w:hAnsi="Aptos"/>
                <w:b w:val="0"/>
                <w:sz w:val="16"/>
              </w:rPr>
              <w:t>Temporary impairment plus a nonurgent decision favors postponement, not paperwork.</w:t>
            </w:r>
          </w:p>
        </w:tc>
      </w:tr>
      <w:tr>
        <w:tc>
          <w:tcPr>
            <w:tcW w:type="dxa" w:w="2376"/>
            <w:vAlign w:val="top"/>
          </w:tcPr>
          <w:p>
            <w:pPr>
              <w:spacing w:after="0"/>
            </w:pPr>
            <w:r/>
            <w:r>
              <w:rPr>
                <w:rFonts w:ascii="Aptos" w:hAnsi="Aptos"/>
                <w:b/>
                <w:sz w:val="16"/>
              </w:rPr>
              <w:t>Reconsidering a Treatment Decision</w:t>
            </w:r>
          </w:p>
        </w:tc>
        <w:tc>
          <w:tcPr>
            <w:tcW w:type="dxa" w:w="5256"/>
            <w:vAlign w:val="top"/>
          </w:tcPr>
          <w:p>
            <w:pPr>
              <w:spacing w:after="0"/>
            </w:pPr>
            <w:r/>
            <w:r>
              <w:rPr>
                <w:rFonts w:ascii="Aptos" w:hAnsi="Aptos"/>
                <w:b w:val="0"/>
                <w:sz w:val="16"/>
              </w:rPr>
              <w:t>The therapist should explore the concern and consider an appropriate plan.</w:t>
            </w:r>
          </w:p>
        </w:tc>
        <w:tc>
          <w:tcPr>
            <w:tcW w:type="dxa" w:w="2520"/>
            <w:vAlign w:val="top"/>
          </w:tcPr>
          <w:p>
            <w:pPr>
              <w:spacing w:after="0"/>
            </w:pPr>
            <w:r/>
            <w:r>
              <w:rPr>
                <w:rFonts w:ascii="Aptos" w:hAnsi="Aptos"/>
                <w:b w:val="0"/>
                <w:sz w:val="16"/>
              </w:rPr>
              <w:t>An earlier “yes” is not permanent authorization.</w:t>
            </w:r>
          </w:p>
        </w:tc>
      </w:tr>
      <w:tr>
        <w:tc>
          <w:tcPr>
            <w:tcW w:type="dxa" w:w="2376"/>
            <w:vAlign w:val="top"/>
            <w:shd w:fill="F7F9FA"/>
          </w:tcPr>
          <w:p>
            <w:pPr>
              <w:spacing w:after="0"/>
            </w:pPr>
            <w:r/>
            <w:r>
              <w:rPr>
                <w:rFonts w:ascii="Aptos" w:hAnsi="Aptos"/>
                <w:b/>
                <w:sz w:val="16"/>
              </w:rPr>
              <w:t>Documentation of a Significant Discussion</w:t>
            </w:r>
          </w:p>
        </w:tc>
        <w:tc>
          <w:tcPr>
            <w:tcW w:type="dxa" w:w="5256"/>
            <w:vAlign w:val="top"/>
            <w:shd w:fill="F7F9FA"/>
          </w:tcPr>
          <w:p>
            <w:pPr>
              <w:spacing w:after="0"/>
            </w:pPr>
            <w:r/>
            <w:r>
              <w:rPr>
                <w:rFonts w:ascii="Aptos" w:hAnsi="Aptos"/>
                <w:b w:val="0"/>
                <w:sz w:val="16"/>
              </w:rPr>
              <w:t>The record should show the material issue, discussion, and resulting plan.</w:t>
            </w:r>
          </w:p>
        </w:tc>
        <w:tc>
          <w:tcPr>
            <w:tcW w:type="dxa" w:w="2520"/>
            <w:vAlign w:val="top"/>
            <w:shd w:fill="F7F9FA"/>
          </w:tcPr>
          <w:p>
            <w:pPr>
              <w:spacing w:after="0"/>
            </w:pPr>
            <w:r/>
            <w:r>
              <w:rPr>
                <w:rFonts w:ascii="Aptos" w:hAnsi="Aptos"/>
                <w:b w:val="0"/>
                <w:sz w:val="16"/>
              </w:rPr>
              <w:t>For a major change, remember: discuss it and document the discussion.</w:t>
            </w:r>
          </w:p>
        </w:tc>
      </w:tr>
      <w:tr>
        <w:tc>
          <w:tcPr>
            <w:tcW w:type="dxa" w:w="2376"/>
            <w:vAlign w:val="top"/>
          </w:tcPr>
          <w:p>
            <w:pPr>
              <w:spacing w:after="0"/>
            </w:pPr>
            <w:r/>
            <w:r>
              <w:rPr>
                <w:rFonts w:ascii="Aptos" w:hAnsi="Aptos"/>
                <w:b/>
                <w:sz w:val="16"/>
              </w:rPr>
              <w:t>Routine Clarification</w:t>
            </w:r>
          </w:p>
        </w:tc>
        <w:tc>
          <w:tcPr>
            <w:tcW w:type="dxa" w:w="5256"/>
            <w:vAlign w:val="top"/>
          </w:tcPr>
          <w:p>
            <w:pPr>
              <w:spacing w:after="0"/>
            </w:pPr>
            <w:r/>
            <w:r>
              <w:rPr>
                <w:rFonts w:ascii="Aptos" w:hAnsi="Aptos"/>
                <w:b w:val="0"/>
                <w:sz w:val="16"/>
              </w:rPr>
              <w:t>Ongoing consent includes understandable clarification without unnecessary procedural overreaction.</w:t>
            </w:r>
          </w:p>
        </w:tc>
        <w:tc>
          <w:tcPr>
            <w:tcW w:type="dxa" w:w="2520"/>
            <w:vAlign w:val="top"/>
          </w:tcPr>
          <w:p>
            <w:pPr>
              <w:spacing w:after="0"/>
            </w:pPr>
            <w:r/>
            <w:r>
              <w:rPr>
                <w:rFonts w:ascii="Aptos" w:hAnsi="Aptos"/>
                <w:b w:val="0"/>
                <w:sz w:val="16"/>
              </w:rPr>
              <w:t>Not every later question is a formal re-consent event; respond proportionately.</w:t>
            </w:r>
          </w:p>
        </w:tc>
      </w:tr>
      <w:tr>
        <w:tc>
          <w:tcPr>
            <w:tcW w:type="dxa" w:w="2376"/>
            <w:vAlign w:val="top"/>
            <w:shd w:fill="F7F9FA"/>
          </w:tcPr>
          <w:p>
            <w:pPr>
              <w:spacing w:after="0"/>
            </w:pPr>
            <w:r/>
            <w:r>
              <w:rPr>
                <w:rFonts w:ascii="Aptos" w:hAnsi="Aptos"/>
                <w:b/>
                <w:sz w:val="16"/>
              </w:rPr>
              <w:t>Change in Professional Role</w:t>
            </w:r>
          </w:p>
        </w:tc>
        <w:tc>
          <w:tcPr>
            <w:tcW w:type="dxa" w:w="5256"/>
            <w:vAlign w:val="top"/>
            <w:shd w:fill="F7F9FA"/>
          </w:tcPr>
          <w:p>
            <w:pPr>
              <w:spacing w:after="0"/>
            </w:pPr>
            <w:r/>
            <w:r>
              <w:rPr>
                <w:rFonts w:ascii="Aptos" w:hAnsi="Aptos"/>
                <w:b w:val="0"/>
                <w:sz w:val="16"/>
              </w:rPr>
              <w:t>The therapist must assess the role conflict and provide accurate information before relying on agreement.</w:t>
            </w:r>
          </w:p>
        </w:tc>
        <w:tc>
          <w:tcPr>
            <w:tcW w:type="dxa" w:w="2520"/>
            <w:vAlign w:val="top"/>
            <w:shd w:fill="F7F9FA"/>
          </w:tcPr>
          <w:p>
            <w:pPr>
              <w:spacing w:after="0"/>
            </w:pPr>
            <w:r/>
            <w:r>
              <w:rPr>
                <w:rFonts w:ascii="Aptos" w:hAnsi="Aptos"/>
                <w:b w:val="0"/>
                <w:sz w:val="16"/>
              </w:rPr>
              <w:t>A professional-role change requires analysis of purpose, client expectations, confidentiality, and use of information.</w:t>
            </w:r>
          </w:p>
        </w:tc>
      </w:tr>
      <w:tr>
        <w:tc>
          <w:tcPr>
            <w:tcW w:type="dxa" w:w="2376"/>
            <w:vAlign w:val="top"/>
          </w:tcPr>
          <w:p>
            <w:pPr>
              <w:spacing w:after="0"/>
            </w:pPr>
            <w:r/>
            <w:r>
              <w:rPr>
                <w:rFonts w:ascii="Aptos" w:hAnsi="Aptos"/>
                <w:b/>
                <w:sz w:val="16"/>
              </w:rPr>
              <w:t>Apparent Agreement Without Understanding</w:t>
            </w:r>
          </w:p>
        </w:tc>
        <w:tc>
          <w:tcPr>
            <w:tcW w:type="dxa" w:w="5256"/>
            <w:vAlign w:val="top"/>
          </w:tcPr>
          <w:p>
            <w:pPr>
              <w:spacing w:after="0"/>
            </w:pPr>
            <w:r/>
            <w:r>
              <w:rPr>
                <w:rFonts w:ascii="Aptos" w:hAnsi="Aptos"/>
                <w:b w:val="0"/>
                <w:sz w:val="16"/>
              </w:rPr>
              <w:t>The therapist should correct the misunderstanding and assess the client’s actual decision.</w:t>
            </w:r>
          </w:p>
        </w:tc>
        <w:tc>
          <w:tcPr>
            <w:tcW w:type="dxa" w:w="2520"/>
            <w:vAlign w:val="top"/>
          </w:tcPr>
          <w:p>
            <w:pPr>
              <w:spacing w:after="0"/>
            </w:pPr>
            <w:r/>
            <w:r>
              <w:rPr>
                <w:rFonts w:ascii="Aptos" w:hAnsi="Aptos"/>
                <w:b w:val="0"/>
                <w:sz w:val="16"/>
              </w:rPr>
              <w:t>Look beyond compliance behavior. Ask whether the client actually understands.</w:t>
            </w:r>
          </w:p>
        </w:tc>
      </w:tr>
      <w:tr>
        <w:tc>
          <w:tcPr>
            <w:tcW w:type="dxa" w:w="2376"/>
            <w:vAlign w:val="top"/>
            <w:shd w:fill="F7F9FA"/>
          </w:tcPr>
          <w:p>
            <w:pPr>
              <w:spacing w:after="0"/>
            </w:pPr>
            <w:r/>
            <w:r>
              <w:rPr>
                <w:rFonts w:ascii="Aptos" w:hAnsi="Aptos"/>
                <w:b/>
                <w:sz w:val="16"/>
              </w:rPr>
              <w:t>Emergency Safety and Consent</w:t>
            </w:r>
          </w:p>
        </w:tc>
        <w:tc>
          <w:tcPr>
            <w:tcW w:type="dxa" w:w="5256"/>
            <w:vAlign w:val="top"/>
            <w:shd w:fill="F7F9FA"/>
          </w:tcPr>
          <w:p>
            <w:pPr>
              <w:spacing w:after="0"/>
            </w:pPr>
            <w:r/>
            <w:r>
              <w:rPr>
                <w:rFonts w:ascii="Aptos" w:hAnsi="Aptos"/>
                <w:b w:val="0"/>
                <w:sz w:val="16"/>
              </w:rPr>
              <w:t>Immediate safety may justify proportionate emergency action when ordinary participation is not possible, with explanation and documentation.</w:t>
            </w:r>
          </w:p>
        </w:tc>
        <w:tc>
          <w:tcPr>
            <w:tcW w:type="dxa" w:w="2520"/>
            <w:vAlign w:val="top"/>
            <w:shd w:fill="F7F9FA"/>
          </w:tcPr>
          <w:p>
            <w:pPr>
              <w:spacing w:after="0"/>
            </w:pPr>
            <w:r/>
            <w:r>
              <w:rPr>
                <w:rFonts w:ascii="Aptos" w:hAnsi="Aptos"/>
                <w:b w:val="0"/>
                <w:sz w:val="16"/>
              </w:rPr>
              <w:t>In a genuine emergency, prioritize immediate safety, proportionate action, and documentation.</w:t>
            </w:r>
          </w:p>
        </w:tc>
      </w:tr>
      <w:tr>
        <w:tc>
          <w:tcPr>
            <w:tcW w:type="dxa" w:w="2376"/>
            <w:vAlign w:val="top"/>
          </w:tcPr>
          <w:p>
            <w:pPr>
              <w:spacing w:after="0"/>
            </w:pPr>
            <w:r/>
            <w:r>
              <w:rPr>
                <w:rFonts w:ascii="Aptos" w:hAnsi="Aptos"/>
                <w:b/>
                <w:sz w:val="16"/>
              </w:rPr>
              <w:t>Comprehensive Ongoing Informed Consent</w:t>
            </w:r>
          </w:p>
        </w:tc>
        <w:tc>
          <w:tcPr>
            <w:tcW w:type="dxa" w:w="5256"/>
            <w:vAlign w:val="top"/>
          </w:tcPr>
          <w:p>
            <w:pPr>
              <w:spacing w:after="0"/>
            </w:pPr>
            <w:r/>
            <w:r>
              <w:rPr>
                <w:rFonts w:ascii="Aptos" w:hAnsi="Aptos"/>
                <w:b w:val="0"/>
                <w:sz w:val="16"/>
              </w:rPr>
              <w:t>Pause implementation, clarify the intervention and role changes, explain the new risk and reasonable options, assess understanding and voluntariness, determine whether the client agrees, and document the significant discussion. This response addresses the material intervention change, new risk, changed participants and roles, alternatives, pressure, understanding, and documentation.</w:t>
            </w:r>
          </w:p>
        </w:tc>
        <w:tc>
          <w:tcPr>
            <w:tcW w:type="dxa" w:w="2520"/>
            <w:vAlign w:val="top"/>
          </w:tcPr>
          <w:p>
            <w:pPr>
              <w:spacing w:after="0"/>
            </w:pPr>
            <w:r/>
            <w:r>
              <w:rPr>
                <w:rFonts w:ascii="Aptos" w:hAnsi="Aptos"/>
                <w:b w:val="0"/>
                <w:sz w:val="16"/>
              </w:rPr>
              <w:t>For an integrated ongoing-consent question, check change, new information, roles, questions, understanding, voluntariness, and documentation.</w:t>
            </w:r>
          </w:p>
        </w:tc>
      </w:tr>
    </w:tbl>
    <w:p>
      <w:pPr>
        <w:pStyle w:val="Heading2"/>
      </w:pPr>
      <w:r>
        <w:t>Exam Reasoning Checklist</w:t>
      </w:r>
    </w:p>
    <w:p>
      <w:pPr>
        <w:pStyle w:val="ListBullet"/>
        <w:spacing w:after="30"/>
      </w:pPr>
      <w:r>
        <w:t>Do not interpret “ongoing” as “repeat everything constantly.” Look for a meaningful trigger.</w:t>
      </w:r>
    </w:p>
    <w:p>
      <w:pPr>
        <w:pStyle w:val="ListBullet"/>
        <w:spacing w:after="30"/>
      </w:pPr>
      <w:r>
        <w:t>When a client asks a reasonable later question, choose explanation and continued choice—not “you already signed.”</w:t>
      </w:r>
    </w:p>
    <w:p>
      <w:pPr>
        <w:pStyle w:val="ListBullet"/>
        <w:spacing w:after="30"/>
      </w:pPr>
      <w:r>
        <w:t>“Substantially different from the original plan” is a strong renewed-discussion trigger.</w:t>
      </w:r>
    </w:p>
    <w:p>
      <w:pPr>
        <w:pStyle w:val="ListBullet"/>
        <w:spacing w:after="30"/>
      </w:pPr>
      <w:r>
        <w:t>New information that could affect the decision calls for communication—not silence or an extreme response.</w:t>
      </w:r>
    </w:p>
    <w:p>
      <w:pPr>
        <w:pStyle w:val="ListBullet"/>
        <w:spacing w:after="30"/>
      </w:pPr>
      <w:r>
        <w:t>Declining one technique does not automatically mean the client is ending all treatment.</w:t>
      </w:r>
    </w:p>
    <w:p>
      <w:pPr>
        <w:pStyle w:val="ListBullet"/>
        <w:spacing w:after="30"/>
      </w:pPr>
      <w:r>
        <w:t>Ask whether the change meaningfully alters what the client agreed to—not whether anything changed at all.</w:t>
      </w:r>
    </w:p>
    <w:p>
      <w:pPr>
        <w:pStyle w:val="ListBullet"/>
        <w:spacing w:after="30"/>
      </w:pPr>
      <w:r>
        <w:t>Individual to couple or family treatment should immediately trigger role, client, and confidentiality analysis.</w:t>
      </w:r>
    </w:p>
    <w:p>
      <w:pPr>
        <w:pStyle w:val="ListBullet"/>
        <w:spacing w:after="30"/>
      </w:pPr>
      <w:r>
        <w:t>Ongoing consent does not mean continuing the original plan forever; it means discussing meaningful changes.</w:t>
      </w:r>
    </w:p>
    <w:p>
      <w:pPr>
        <w:pStyle w:val="Heading2"/>
      </w:pPr>
      <w:r>
        <w:t>Chapter Rapid Review</w:t>
      </w:r>
    </w:p>
    <w:p>
      <w:r>
        <w:rPr>
          <w:b/>
        </w:rPr>
        <w:t xml:space="preserve">Know these concepts: </w:t>
      </w:r>
      <w:r>
        <w:t>Meaning of Ongoing Informed Consent; Client Questions After Intake; Significant Treatment Change; Newly Recognized Material Risk; Withdrawal From a Specific Intervention; Routine Adjustment vs. Material Change; Individual to Conjoint Treatment; Treatment Progress and New Plan; Mandated Treatment and Remaining Choice; Temporary Incapacity at a Major Decision; Reconsidering a Treatment Decision; Documentation of a Significant Discussion; Routine Clarification; Change in Professional Role; Apparent Agreement Without Understanding; Emergency Safety and Consent; Comprehensive Ongoing Informed Consent</w:t>
      </w:r>
    </w:p>
    <w:p>
      <w:r>
        <w:br w:type="page"/>
      </w:r>
    </w:p>
    <w:p>
      <w:pPr>
        <w:pStyle w:val="Heading2"/>
      </w:pPr>
      <w:r>
        <w:t>Chapter 4</w:t>
      </w:r>
    </w:p>
    <w:p>
      <w:pPr>
        <w:pStyle w:val="Heading1"/>
      </w:pPr>
      <w:r>
        <w:t>Required Disclosures</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The Notice is a written, documented client notice provided before psychotherapy or as soon as practicably possible afterward. For new clients after July 1, 2025 it includes the filed name, credential type and number, and expiration date. California requires accurate disclosure of the APCC's registered, unlicensed, employed, and supervised status.</w:t>
            </w:r>
          </w:p>
        </w:tc>
      </w:tr>
    </w:tbl>
    <w:p>
      <w:pPr>
        <w:pStyle w:val="Heading2"/>
      </w:pPr>
      <w:r>
        <w:t>What to Learn</w:t>
      </w:r>
    </w:p>
    <w:p>
      <w:pPr>
        <w:pStyle w:val="ListBullet"/>
        <w:spacing w:after="30"/>
      </w:pPr>
      <w:r>
        <w:t>Explain and apply Notice to Clients.</w:t>
      </w:r>
    </w:p>
    <w:p>
      <w:pPr>
        <w:pStyle w:val="ListBullet"/>
        <w:spacing w:after="30"/>
      </w:pPr>
      <w:r>
        <w:t>Explain and apply APCC Status Disclosure.</w:t>
      </w:r>
    </w:p>
    <w:p>
      <w:pPr>
        <w:pStyle w:val="ListBullet"/>
        <w:spacing w:after="30"/>
      </w:pPr>
      <w:r>
        <w:t>Explain and apply Telehealth Consent Documentation.</w:t>
      </w:r>
    </w:p>
    <w:p>
      <w:pPr>
        <w:pStyle w:val="ListBullet"/>
        <w:spacing w:after="30"/>
      </w:pPr>
      <w:r>
        <w:t>Explain and apply License Display vs Notice.</w:t>
      </w:r>
    </w:p>
    <w:p>
      <w:pPr>
        <w:pStyle w:val="ListBullet"/>
        <w:spacing w:after="30"/>
      </w:pPr>
      <w:r>
        <w:t>Explain and apply Good Faith Estimate.</w:t>
      </w:r>
    </w:p>
    <w:p>
      <w:pPr>
        <w:pStyle w:val="ListBullet"/>
        <w:spacing w:after="30"/>
      </w:pPr>
      <w:r>
        <w:t>Explain and apply Notice Timing.</w:t>
      </w:r>
    </w:p>
    <w:p>
      <w:pPr>
        <w:pStyle w:val="ListBullet"/>
        <w:spacing w:after="30"/>
      </w:pPr>
      <w:r>
        <w:t>Explain and apply Clinical Counselor Trainee Disclosure.</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Notice to Clients</w:t>
            </w:r>
          </w:p>
        </w:tc>
        <w:tc>
          <w:tcPr>
            <w:tcW w:type="dxa" w:w="5256"/>
            <w:vAlign w:val="top"/>
          </w:tcPr>
          <w:p>
            <w:pPr>
              <w:spacing w:after="0"/>
            </w:pPr>
            <w:r/>
            <w:r>
              <w:rPr>
                <w:rFonts w:ascii="Aptos" w:hAnsi="Aptos"/>
                <w:b w:val="0"/>
                <w:sz w:val="16"/>
              </w:rPr>
              <w:t>The Notice is a written, documented client notice provided before psychotherapy or as soon as practicably possible afterward. For new clients after July 1, 2025 it includes the filed name, credential type and number, and expiration date.</w:t>
            </w:r>
          </w:p>
        </w:tc>
        <w:tc>
          <w:tcPr>
            <w:tcW w:type="dxa" w:w="2520"/>
            <w:vAlign w:val="top"/>
          </w:tcPr>
          <w:p>
            <w:pPr>
              <w:spacing w:after="0"/>
            </w:pPr>
            <w:r/>
            <w:r>
              <w:rPr>
                <w:rFonts w:ascii="Aptos" w:hAnsi="Aptos"/>
                <w:b w:val="0"/>
                <w:sz w:val="16"/>
              </w:rPr>
              <w:t>Separate the Notice to Clients from physical license display.</w:t>
            </w:r>
          </w:p>
        </w:tc>
      </w:tr>
      <w:tr>
        <w:tc>
          <w:tcPr>
            <w:tcW w:type="dxa" w:w="2376"/>
            <w:vAlign w:val="top"/>
            <w:shd w:fill="F7F9FA"/>
          </w:tcPr>
          <w:p>
            <w:pPr>
              <w:spacing w:after="0"/>
            </w:pPr>
            <w:r/>
            <w:r>
              <w:rPr>
                <w:rFonts w:ascii="Aptos" w:hAnsi="Aptos"/>
                <w:b/>
                <w:sz w:val="16"/>
              </w:rPr>
              <w:t>APCC Status Disclosure</w:t>
            </w:r>
          </w:p>
        </w:tc>
        <w:tc>
          <w:tcPr>
            <w:tcW w:type="dxa" w:w="5256"/>
            <w:vAlign w:val="top"/>
            <w:shd w:fill="F7F9FA"/>
          </w:tcPr>
          <w:p>
            <w:pPr>
              <w:spacing w:after="0"/>
            </w:pPr>
            <w:r/>
            <w:r>
              <w:rPr>
                <w:rFonts w:ascii="Aptos" w:hAnsi="Aptos"/>
                <w:b w:val="0"/>
                <w:sz w:val="16"/>
              </w:rPr>
              <w:t>California requires accurate disclosure of the APCC's registered, unlicensed, employed, and supervised status.</w:t>
            </w:r>
          </w:p>
        </w:tc>
        <w:tc>
          <w:tcPr>
            <w:tcW w:type="dxa" w:w="2520"/>
            <w:vAlign w:val="top"/>
            <w:shd w:fill="F7F9FA"/>
          </w:tcPr>
          <w:p>
            <w:pPr>
              <w:spacing w:after="0"/>
            </w:pPr>
            <w:r/>
            <w:r>
              <w:rPr>
                <w:rFonts w:ascii="Aptos" w:hAnsi="Aptos"/>
                <w:b w:val="0"/>
                <w:sz w:val="16"/>
              </w:rPr>
              <w:t>Do not replace associate-status disclosures with a supervisor’s personal details.</w:t>
            </w:r>
          </w:p>
        </w:tc>
      </w:tr>
      <w:tr>
        <w:tc>
          <w:tcPr>
            <w:tcW w:type="dxa" w:w="2376"/>
            <w:vAlign w:val="top"/>
          </w:tcPr>
          <w:p>
            <w:pPr>
              <w:spacing w:after="0"/>
            </w:pPr>
            <w:r/>
            <w:r>
              <w:rPr>
                <w:rFonts w:ascii="Aptos" w:hAnsi="Aptos"/>
                <w:b/>
                <w:sz w:val="16"/>
              </w:rPr>
              <w:t>Telehealth Consent Documentation</w:t>
            </w:r>
          </w:p>
        </w:tc>
        <w:tc>
          <w:tcPr>
            <w:tcW w:type="dxa" w:w="5256"/>
            <w:vAlign w:val="top"/>
          </w:tcPr>
          <w:p>
            <w:pPr>
              <w:spacing w:after="0"/>
            </w:pPr>
            <w:r/>
            <w:r>
              <w:rPr>
                <w:rFonts w:ascii="Aptos" w:hAnsi="Aptos"/>
                <w:b w:val="0"/>
                <w:sz w:val="16"/>
              </w:rPr>
              <w:t>California permits verbal or written telehealth consent when obtained before delivery and documented.</w:t>
            </w:r>
          </w:p>
        </w:tc>
        <w:tc>
          <w:tcPr>
            <w:tcW w:type="dxa" w:w="2520"/>
            <w:vAlign w:val="top"/>
          </w:tcPr>
          <w:p>
            <w:pPr>
              <w:spacing w:after="0"/>
            </w:pPr>
            <w:r/>
            <w:r>
              <w:rPr>
                <w:rFonts w:ascii="Aptos" w:hAnsi="Aptos"/>
                <w:b w:val="0"/>
                <w:sz w:val="16"/>
              </w:rPr>
              <w:t>Look for verbal or written—but documented.</w:t>
            </w:r>
          </w:p>
        </w:tc>
      </w:tr>
      <w:tr>
        <w:tc>
          <w:tcPr>
            <w:tcW w:type="dxa" w:w="2376"/>
            <w:vAlign w:val="top"/>
            <w:shd w:fill="F7F9FA"/>
          </w:tcPr>
          <w:p>
            <w:pPr>
              <w:spacing w:after="0"/>
            </w:pPr>
            <w:r/>
            <w:r>
              <w:rPr>
                <w:rFonts w:ascii="Aptos" w:hAnsi="Aptos"/>
                <w:b/>
                <w:sz w:val="16"/>
              </w:rPr>
              <w:t>License Display vs Notice</w:t>
            </w:r>
          </w:p>
        </w:tc>
        <w:tc>
          <w:tcPr>
            <w:tcW w:type="dxa" w:w="5256"/>
            <w:vAlign w:val="top"/>
            <w:shd w:fill="F7F9FA"/>
          </w:tcPr>
          <w:p>
            <w:pPr>
              <w:spacing w:after="0"/>
            </w:pPr>
            <w:r/>
            <w:r>
              <w:rPr>
                <w:rFonts w:ascii="Aptos" w:hAnsi="Aptos"/>
                <w:b w:val="0"/>
                <w:sz w:val="16"/>
              </w:rPr>
              <w:t>The two duties are separate; telehealth clients still receive the written notice.</w:t>
            </w:r>
          </w:p>
        </w:tc>
        <w:tc>
          <w:tcPr>
            <w:tcW w:type="dxa" w:w="2520"/>
            <w:vAlign w:val="top"/>
            <w:shd w:fill="F7F9FA"/>
          </w:tcPr>
          <w:p>
            <w:pPr>
              <w:spacing w:after="0"/>
            </w:pPr>
            <w:r/>
            <w:r>
              <w:rPr>
                <w:rFonts w:ascii="Aptos" w:hAnsi="Aptos"/>
                <w:b w:val="0"/>
                <w:sz w:val="16"/>
              </w:rPr>
              <w:t>Do not merge license display and client notice rules.</w:t>
            </w:r>
          </w:p>
        </w:tc>
      </w:tr>
      <w:tr>
        <w:tc>
          <w:tcPr>
            <w:tcW w:type="dxa" w:w="2376"/>
            <w:vAlign w:val="top"/>
          </w:tcPr>
          <w:p>
            <w:pPr>
              <w:spacing w:after="0"/>
            </w:pPr>
            <w:r/>
            <w:r>
              <w:rPr>
                <w:rFonts w:ascii="Aptos" w:hAnsi="Aptos"/>
                <w:b/>
                <w:sz w:val="16"/>
              </w:rPr>
              <w:t>Good Faith Estimate</w:t>
            </w:r>
          </w:p>
        </w:tc>
        <w:tc>
          <w:tcPr>
            <w:tcW w:type="dxa" w:w="5256"/>
            <w:vAlign w:val="top"/>
          </w:tcPr>
          <w:p>
            <w:pPr>
              <w:spacing w:after="0"/>
            </w:pPr>
            <w:r/>
            <w:r>
              <w:rPr>
                <w:rFonts w:ascii="Aptos" w:hAnsi="Aptos"/>
                <w:b w:val="0"/>
                <w:sz w:val="16"/>
              </w:rPr>
              <w:t>The No Surprises Act generally requires estimates for uninsured or self-pay individuals; uncertainty should be explained rather than used to avoid the estimate.</w:t>
            </w:r>
          </w:p>
        </w:tc>
        <w:tc>
          <w:tcPr>
            <w:tcW w:type="dxa" w:w="2520"/>
            <w:vAlign w:val="top"/>
          </w:tcPr>
          <w:p>
            <w:pPr>
              <w:spacing w:after="0"/>
            </w:pPr>
            <w:r/>
            <w:r>
              <w:rPr>
                <w:rFonts w:ascii="Aptos" w:hAnsi="Aptos"/>
                <w:b w:val="0"/>
                <w:sz w:val="16"/>
              </w:rPr>
              <w:t>Estimate expected charges without guaranteeing duration.</w:t>
            </w:r>
          </w:p>
        </w:tc>
      </w:tr>
      <w:tr>
        <w:tc>
          <w:tcPr>
            <w:tcW w:type="dxa" w:w="2376"/>
            <w:vAlign w:val="top"/>
            <w:shd w:fill="F7F9FA"/>
          </w:tcPr>
          <w:p>
            <w:pPr>
              <w:spacing w:after="0"/>
            </w:pPr>
            <w:r/>
            <w:r>
              <w:rPr>
                <w:rFonts w:ascii="Aptos" w:hAnsi="Aptos"/>
                <w:b/>
                <w:sz w:val="16"/>
              </w:rPr>
              <w:t>Notice Timing</w:t>
            </w:r>
          </w:p>
        </w:tc>
        <w:tc>
          <w:tcPr>
            <w:tcW w:type="dxa" w:w="5256"/>
            <w:vAlign w:val="top"/>
            <w:shd w:fill="F7F9FA"/>
          </w:tcPr>
          <w:p>
            <w:pPr>
              <w:spacing w:after="0"/>
            </w:pPr>
            <w:r/>
            <w:r>
              <w:rPr>
                <w:rFonts w:ascii="Aptos" w:hAnsi="Aptos"/>
                <w:b w:val="0"/>
                <w:sz w:val="16"/>
              </w:rPr>
              <w:t>The statute expressly permits delivery as soon as practicably possible afterward when advance delivery is not feasible.</w:t>
            </w:r>
          </w:p>
        </w:tc>
        <w:tc>
          <w:tcPr>
            <w:tcW w:type="dxa" w:w="2520"/>
            <w:vAlign w:val="top"/>
            <w:shd w:fill="F7F9FA"/>
          </w:tcPr>
          <w:p>
            <w:pPr>
              <w:spacing w:after="0"/>
            </w:pPr>
            <w:r/>
            <w:r>
              <w:rPr>
                <w:rFonts w:ascii="Aptos" w:hAnsi="Aptos"/>
                <w:b w:val="0"/>
                <w:sz w:val="16"/>
              </w:rPr>
              <w:t>Use the statute’s timing language; avoid both extremes.</w:t>
            </w:r>
          </w:p>
        </w:tc>
      </w:tr>
      <w:tr>
        <w:tc>
          <w:tcPr>
            <w:tcW w:type="dxa" w:w="2376"/>
            <w:vAlign w:val="top"/>
          </w:tcPr>
          <w:p>
            <w:pPr>
              <w:spacing w:after="0"/>
            </w:pPr>
            <w:r/>
            <w:r>
              <w:rPr>
                <w:rFonts w:ascii="Aptos" w:hAnsi="Aptos"/>
                <w:b/>
                <w:sz w:val="16"/>
              </w:rPr>
              <w:t>Clinical Counselor Trainee Disclosure</w:t>
            </w:r>
          </w:p>
        </w:tc>
        <w:tc>
          <w:tcPr>
            <w:tcW w:type="dxa" w:w="5256"/>
            <w:vAlign w:val="top"/>
          </w:tcPr>
          <w:p>
            <w:pPr>
              <w:spacing w:after="0"/>
            </w:pPr>
            <w:r/>
            <w:r>
              <w:rPr>
                <w:rFonts w:ascii="Aptos" w:hAnsi="Aptos"/>
                <w:b w:val="0"/>
                <w:sz w:val="16"/>
              </w:rPr>
              <w:t>The trainee must accurately identify trainee status, employer, and supervised role.</w:t>
            </w:r>
          </w:p>
        </w:tc>
        <w:tc>
          <w:tcPr>
            <w:tcW w:type="dxa" w:w="2520"/>
            <w:vAlign w:val="top"/>
          </w:tcPr>
          <w:p>
            <w:pPr>
              <w:spacing w:after="0"/>
            </w:pPr>
            <w:r/>
            <w:r>
              <w:rPr>
                <w:rFonts w:ascii="Aptos" w:hAnsi="Aptos"/>
                <w:b w:val="0"/>
                <w:sz w:val="16"/>
              </w:rPr>
              <w:t>Trainee is not associate or licensee.</w:t>
            </w:r>
          </w:p>
        </w:tc>
      </w:tr>
      <w:tr>
        <w:tc>
          <w:tcPr>
            <w:tcW w:type="dxa" w:w="2376"/>
            <w:vAlign w:val="top"/>
            <w:shd w:fill="F7F9FA"/>
          </w:tcPr>
          <w:p>
            <w:pPr>
              <w:spacing w:after="0"/>
            </w:pPr>
            <w:r/>
            <w:r>
              <w:rPr>
                <w:rFonts w:ascii="Aptos" w:hAnsi="Aptos"/>
                <w:b/>
                <w:sz w:val="16"/>
              </w:rPr>
              <w:t>APCC Misrepresentation</w:t>
            </w:r>
          </w:p>
        </w:tc>
        <w:tc>
          <w:tcPr>
            <w:tcW w:type="dxa" w:w="5256"/>
            <w:vAlign w:val="top"/>
            <w:shd w:fill="F7F9FA"/>
          </w:tcPr>
          <w:p>
            <w:pPr>
              <w:spacing w:after="0"/>
            </w:pPr>
            <w:r/>
            <w:r>
              <w:rPr>
                <w:rFonts w:ascii="Aptos" w:hAnsi="Aptos"/>
                <w:b w:val="0"/>
                <w:sz w:val="16"/>
              </w:rPr>
              <w:t>The statement misrepresents both licensure and the mandatory nature of supervision.</w:t>
            </w:r>
          </w:p>
        </w:tc>
        <w:tc>
          <w:tcPr>
            <w:tcW w:type="dxa" w:w="2520"/>
            <w:vAlign w:val="top"/>
            <w:shd w:fill="F7F9FA"/>
          </w:tcPr>
          <w:p>
            <w:pPr>
              <w:spacing w:after="0"/>
            </w:pPr>
            <w:r/>
            <w:r>
              <w:rPr>
                <w:rFonts w:ascii="Aptos" w:hAnsi="Aptos"/>
                <w:b w:val="0"/>
                <w:sz w:val="16"/>
              </w:rPr>
              <w:t>Optional consultation is a distractor when supervision is legally required.</w:t>
            </w:r>
          </w:p>
        </w:tc>
      </w:tr>
      <w:tr>
        <w:tc>
          <w:tcPr>
            <w:tcW w:type="dxa" w:w="2376"/>
            <w:vAlign w:val="top"/>
          </w:tcPr>
          <w:p>
            <w:pPr>
              <w:spacing w:after="0"/>
            </w:pPr>
            <w:r/>
            <w:r>
              <w:rPr>
                <w:rFonts w:ascii="Aptos" w:hAnsi="Aptos"/>
                <w:b/>
                <w:sz w:val="16"/>
              </w:rPr>
              <w:t>Material Fee Change</w:t>
            </w:r>
          </w:p>
        </w:tc>
        <w:tc>
          <w:tcPr>
            <w:tcW w:type="dxa" w:w="5256"/>
            <w:vAlign w:val="top"/>
          </w:tcPr>
          <w:p>
            <w:pPr>
              <w:spacing w:after="0"/>
            </w:pPr>
            <w:r/>
            <w:r>
              <w:rPr>
                <w:rFonts w:ascii="Aptos" w:hAnsi="Aptos"/>
                <w:b w:val="0"/>
                <w:sz w:val="16"/>
              </w:rPr>
              <w:t>A material financial change should be communicated before it is imposed.</w:t>
            </w:r>
          </w:p>
        </w:tc>
        <w:tc>
          <w:tcPr>
            <w:tcW w:type="dxa" w:w="2520"/>
            <w:vAlign w:val="top"/>
          </w:tcPr>
          <w:p>
            <w:pPr>
              <w:spacing w:after="0"/>
            </w:pPr>
            <w:r/>
            <w:r>
              <w:rPr>
                <w:rFonts w:ascii="Aptos" w:hAnsi="Aptos"/>
                <w:b w:val="0"/>
                <w:sz w:val="16"/>
              </w:rPr>
              <w:t>Disclose before enforcing.</w:t>
            </w:r>
          </w:p>
        </w:tc>
      </w:tr>
      <w:tr>
        <w:tc>
          <w:tcPr>
            <w:tcW w:type="dxa" w:w="2376"/>
            <w:vAlign w:val="top"/>
            <w:shd w:fill="F7F9FA"/>
          </w:tcPr>
          <w:p>
            <w:pPr>
              <w:spacing w:after="0"/>
            </w:pPr>
            <w:r/>
            <w:r>
              <w:rPr>
                <w:rFonts w:ascii="Aptos" w:hAnsi="Aptos"/>
                <w:b/>
                <w:sz w:val="16"/>
              </w:rPr>
              <w:t>Third-Party Role</w:t>
            </w:r>
          </w:p>
        </w:tc>
        <w:tc>
          <w:tcPr>
            <w:tcW w:type="dxa" w:w="5256"/>
            <w:vAlign w:val="top"/>
            <w:shd w:fill="F7F9FA"/>
          </w:tcPr>
          <w:p>
            <w:pPr>
              <w:spacing w:after="0"/>
            </w:pPr>
            <w:r/>
            <w:r>
              <w:rPr>
                <w:rFonts w:ascii="Aptos" w:hAnsi="Aptos"/>
                <w:b w:val="0"/>
                <w:sz w:val="16"/>
              </w:rPr>
              <w:t>Accurate role and disclosure expectations are essential; neither absolute promise nor overstatement is appropriate.</w:t>
            </w:r>
          </w:p>
        </w:tc>
        <w:tc>
          <w:tcPr>
            <w:tcW w:type="dxa" w:w="2520"/>
            <w:vAlign w:val="top"/>
            <w:shd w:fill="F7F9FA"/>
          </w:tcPr>
          <w:p>
            <w:pPr>
              <w:spacing w:after="0"/>
            </w:pPr>
            <w:r/>
            <w:r>
              <w:rPr>
                <w:rFonts w:ascii="Aptos" w:hAnsi="Aptos"/>
                <w:b w:val="0"/>
                <w:sz w:val="16"/>
              </w:rPr>
              <w:t>Mandated or third-party treatment requires precise role clarification.</w:t>
            </w:r>
          </w:p>
        </w:tc>
      </w:tr>
      <w:tr>
        <w:tc>
          <w:tcPr>
            <w:tcW w:type="dxa" w:w="2376"/>
            <w:vAlign w:val="top"/>
          </w:tcPr>
          <w:p>
            <w:pPr>
              <w:spacing w:after="0"/>
            </w:pPr>
            <w:r/>
            <w:r>
              <w:rPr>
                <w:rFonts w:ascii="Aptos" w:hAnsi="Aptos"/>
                <w:b/>
                <w:sz w:val="16"/>
              </w:rPr>
              <w:t>Nickname in Advertising</w:t>
            </w:r>
          </w:p>
        </w:tc>
        <w:tc>
          <w:tcPr>
            <w:tcW w:type="dxa" w:w="5256"/>
            <w:vAlign w:val="top"/>
          </w:tcPr>
          <w:p>
            <w:pPr>
              <w:spacing w:after="0"/>
            </w:pPr>
            <w:r/>
            <w:r>
              <w:rPr>
                <w:rFonts w:ascii="Aptos" w:hAnsi="Aptos"/>
                <w:b w:val="0"/>
                <w:sz w:val="16"/>
              </w:rPr>
              <w:t>A nickname can be used in addition to, not instead of, required professional identification.</w:t>
            </w:r>
          </w:p>
        </w:tc>
        <w:tc>
          <w:tcPr>
            <w:tcW w:type="dxa" w:w="2520"/>
            <w:vAlign w:val="top"/>
          </w:tcPr>
          <w:p>
            <w:pPr>
              <w:spacing w:after="0"/>
            </w:pPr>
            <w:r/>
            <w:r>
              <w:rPr>
                <w:rFonts w:ascii="Aptos" w:hAnsi="Aptos"/>
                <w:b w:val="0"/>
                <w:sz w:val="16"/>
              </w:rPr>
              <w:t>Nickname + filed name + title + number.</w:t>
            </w:r>
          </w:p>
        </w:tc>
      </w:tr>
      <w:tr>
        <w:tc>
          <w:tcPr>
            <w:tcW w:type="dxa" w:w="2376"/>
            <w:vAlign w:val="top"/>
            <w:shd w:fill="F7F9FA"/>
          </w:tcPr>
          <w:p>
            <w:pPr>
              <w:spacing w:after="0"/>
            </w:pPr>
            <w:r/>
            <w:r>
              <w:rPr>
                <w:rFonts w:ascii="Aptos" w:hAnsi="Aptos"/>
                <w:b/>
                <w:sz w:val="16"/>
              </w:rPr>
              <w:t>Integrated APCC Disclosures</w:t>
            </w:r>
          </w:p>
        </w:tc>
        <w:tc>
          <w:tcPr>
            <w:tcW w:type="dxa" w:w="5256"/>
            <w:vAlign w:val="top"/>
            <w:shd w:fill="F7F9FA"/>
          </w:tcPr>
          <w:p>
            <w:pPr>
              <w:spacing w:after="0"/>
            </w:pPr>
            <w:r/>
            <w:r>
              <w:rPr>
                <w:rFonts w:ascii="Aptos" w:hAnsi="Aptos"/>
                <w:b w:val="0"/>
                <w:sz w:val="16"/>
              </w:rPr>
              <w:t>Several independent requirements apply: client notice, associate status, and telehealth initiation duties.</w:t>
            </w:r>
          </w:p>
        </w:tc>
        <w:tc>
          <w:tcPr>
            <w:tcW w:type="dxa" w:w="2520"/>
            <w:vAlign w:val="top"/>
            <w:shd w:fill="F7F9FA"/>
          </w:tcPr>
          <w:p>
            <w:pPr>
              <w:spacing w:after="0"/>
            </w:pPr>
            <w:r/>
            <w:r>
              <w:rPr>
                <w:rFonts w:ascii="Aptos" w:hAnsi="Aptos"/>
                <w:b w:val="0"/>
                <w:sz w:val="16"/>
              </w:rPr>
              <w:t>When frameworks overlap, apply all—not only one.</w:t>
            </w:r>
          </w:p>
        </w:tc>
      </w:tr>
      <w:tr>
        <w:tc>
          <w:tcPr>
            <w:tcW w:type="dxa" w:w="2376"/>
            <w:vAlign w:val="top"/>
          </w:tcPr>
          <w:p>
            <w:pPr>
              <w:spacing w:after="0"/>
            </w:pPr>
            <w:r/>
            <w:r>
              <w:rPr>
                <w:rFonts w:ascii="Aptos" w:hAnsi="Aptos"/>
                <w:b/>
                <w:sz w:val="16"/>
              </w:rPr>
              <w:t>Employer-Created Advertising</w:t>
            </w:r>
          </w:p>
        </w:tc>
        <w:tc>
          <w:tcPr>
            <w:tcW w:type="dxa" w:w="5256"/>
            <w:vAlign w:val="top"/>
          </w:tcPr>
          <w:p>
            <w:pPr>
              <w:spacing w:after="0"/>
            </w:pPr>
            <w:r/>
            <w:r>
              <w:rPr>
                <w:rFonts w:ascii="Aptos" w:hAnsi="Aptos"/>
                <w:b w:val="0"/>
                <w:sz w:val="16"/>
              </w:rPr>
              <w:t>Professionals should review employer-created advertising and cannot rely on employer authorship as a complete defense.</w:t>
            </w:r>
          </w:p>
        </w:tc>
        <w:tc>
          <w:tcPr>
            <w:tcW w:type="dxa" w:w="2520"/>
            <w:vAlign w:val="top"/>
          </w:tcPr>
          <w:p>
            <w:pPr>
              <w:spacing w:after="0"/>
            </w:pPr>
            <w:r/>
            <w:r>
              <w:rPr>
                <w:rFonts w:ascii="Aptos" w:hAnsi="Aptos"/>
                <w:b w:val="0"/>
                <w:sz w:val="16"/>
              </w:rPr>
              <w:t>Employer created it is not the best answer.</w:t>
            </w:r>
          </w:p>
        </w:tc>
      </w:tr>
      <w:tr>
        <w:tc>
          <w:tcPr>
            <w:tcW w:type="dxa" w:w="2376"/>
            <w:vAlign w:val="top"/>
            <w:shd w:fill="F7F9FA"/>
          </w:tcPr>
          <w:p>
            <w:pPr>
              <w:spacing w:after="0"/>
            </w:pPr>
            <w:r/>
            <w:r>
              <w:rPr>
                <w:rFonts w:ascii="Aptos" w:hAnsi="Aptos"/>
                <w:b/>
                <w:sz w:val="16"/>
              </w:rPr>
              <w:t>GFE and Insurance Status</w:t>
            </w:r>
          </w:p>
        </w:tc>
        <w:tc>
          <w:tcPr>
            <w:tcW w:type="dxa" w:w="5256"/>
            <w:vAlign w:val="top"/>
            <w:shd w:fill="F7F9FA"/>
          </w:tcPr>
          <w:p>
            <w:pPr>
              <w:spacing w:after="0"/>
            </w:pPr>
            <w:r/>
            <w:r>
              <w:rPr>
                <w:rFonts w:ascii="Aptos" w:hAnsi="Aptos"/>
                <w:b w:val="0"/>
                <w:sz w:val="16"/>
              </w:rPr>
              <w:t>The federal analysis includes whether the person is seeking to have a claim submitted, not merely whether insurance exists.</w:t>
            </w:r>
          </w:p>
        </w:tc>
        <w:tc>
          <w:tcPr>
            <w:tcW w:type="dxa" w:w="2520"/>
            <w:vAlign w:val="top"/>
            <w:shd w:fill="F7F9FA"/>
          </w:tcPr>
          <w:p>
            <w:pPr>
              <w:spacing w:after="0"/>
            </w:pPr>
            <w:r/>
            <w:r>
              <w:rPr>
                <w:rFonts w:ascii="Aptos" w:hAnsi="Aptos"/>
                <w:b w:val="0"/>
                <w:sz w:val="16"/>
              </w:rPr>
              <w:t>Focus on uninsured or self-pay status, not ownership alone.</w:t>
            </w:r>
          </w:p>
        </w:tc>
      </w:tr>
      <w:tr>
        <w:tc>
          <w:tcPr>
            <w:tcW w:type="dxa" w:w="2376"/>
            <w:vAlign w:val="top"/>
          </w:tcPr>
          <w:p>
            <w:pPr>
              <w:spacing w:after="0"/>
            </w:pPr>
            <w:r/>
            <w:r>
              <w:rPr>
                <w:rFonts w:ascii="Aptos" w:hAnsi="Aptos"/>
                <w:b/>
                <w:sz w:val="16"/>
              </w:rPr>
              <w:t>Changing Professional Role</w:t>
            </w:r>
          </w:p>
        </w:tc>
        <w:tc>
          <w:tcPr>
            <w:tcW w:type="dxa" w:w="5256"/>
            <w:vAlign w:val="top"/>
          </w:tcPr>
          <w:p>
            <w:pPr>
              <w:spacing w:after="0"/>
            </w:pPr>
            <w:r/>
            <w:r>
              <w:rPr>
                <w:rFonts w:ascii="Aptos" w:hAnsi="Aptos"/>
                <w:b w:val="0"/>
                <w:sz w:val="16"/>
              </w:rPr>
              <w:t>A legal-evaluation role may materially change purpose, use of information, and confidentiality expectations.</w:t>
            </w:r>
          </w:p>
        </w:tc>
        <w:tc>
          <w:tcPr>
            <w:tcW w:type="dxa" w:w="2520"/>
            <w:vAlign w:val="top"/>
          </w:tcPr>
          <w:p>
            <w:pPr>
              <w:spacing w:after="0"/>
            </w:pPr>
            <w:r/>
            <w:r>
              <w:rPr>
                <w:rFonts w:ascii="Aptos" w:hAnsi="Aptos"/>
                <w:b w:val="0"/>
                <w:sz w:val="16"/>
              </w:rPr>
              <w:t>Role change triggers new disclosure analysis.</w:t>
            </w:r>
          </w:p>
        </w:tc>
      </w:tr>
      <w:tr>
        <w:tc>
          <w:tcPr>
            <w:tcW w:type="dxa" w:w="2376"/>
            <w:vAlign w:val="top"/>
            <w:shd w:fill="F7F9FA"/>
          </w:tcPr>
          <w:p>
            <w:pPr>
              <w:spacing w:after="0"/>
            </w:pPr>
            <w:r/>
            <w:r>
              <w:rPr>
                <w:rFonts w:ascii="Aptos" w:hAnsi="Aptos"/>
                <w:b/>
                <w:sz w:val="16"/>
              </w:rPr>
              <w:t>Comprehensive Required Disclosures</w:t>
            </w:r>
          </w:p>
        </w:tc>
        <w:tc>
          <w:tcPr>
            <w:tcW w:type="dxa" w:w="5256"/>
            <w:vAlign w:val="top"/>
            <w:shd w:fill="F7F9FA"/>
          </w:tcPr>
          <w:p>
            <w:pPr>
              <w:spacing w:after="0"/>
            </w:pPr>
            <w:r/>
            <w:r>
              <w:rPr>
                <w:rFonts w:ascii="Aptos" w:hAnsi="Aptos"/>
                <w:b w:val="0"/>
                <w:sz w:val="16"/>
              </w:rPr>
              <w:t>The scenario contains distinct legal and professional disclosure duties; no single form or disclosure cures all of them.</w:t>
            </w:r>
          </w:p>
        </w:tc>
        <w:tc>
          <w:tcPr>
            <w:tcW w:type="dxa" w:w="2520"/>
            <w:vAlign w:val="top"/>
            <w:shd w:fill="F7F9FA"/>
          </w:tcPr>
          <w:p>
            <w:pPr>
              <w:spacing w:after="0"/>
            </w:pPr>
            <w:r/>
            <w:r>
              <w:rPr>
                <w:rFonts w:ascii="Aptos" w:hAnsi="Aptos"/>
                <w:b w:val="0"/>
                <w:sz w:val="16"/>
              </w:rPr>
              <w:t>Integrated questions require addressing every material framework.</w:t>
            </w:r>
          </w:p>
        </w:tc>
      </w:tr>
    </w:tbl>
    <w:p>
      <w:pPr>
        <w:pStyle w:val="Heading2"/>
      </w:pPr>
      <w:r>
        <w:t>Exam Reasoning Checklist</w:t>
      </w:r>
    </w:p>
    <w:p>
      <w:pPr>
        <w:pStyle w:val="ListBullet"/>
        <w:spacing w:after="30"/>
      </w:pPr>
      <w:r>
        <w:t>Separate the Notice to Clients from physical license display.</w:t>
      </w:r>
    </w:p>
    <w:p>
      <w:pPr>
        <w:pStyle w:val="ListBullet"/>
        <w:spacing w:after="30"/>
      </w:pPr>
      <w:r>
        <w:t>Do not replace associate-status disclosures with a supervisor’s personal details.</w:t>
      </w:r>
    </w:p>
    <w:p>
      <w:pPr>
        <w:pStyle w:val="ListBullet"/>
        <w:spacing w:after="30"/>
      </w:pPr>
      <w:r>
        <w:t>Look for verbal or written—but documented.</w:t>
      </w:r>
    </w:p>
    <w:p>
      <w:pPr>
        <w:pStyle w:val="ListBullet"/>
        <w:spacing w:after="30"/>
      </w:pPr>
      <w:r>
        <w:t>Do not merge license display and client notice rules.</w:t>
      </w:r>
    </w:p>
    <w:p>
      <w:pPr>
        <w:pStyle w:val="ListBullet"/>
        <w:spacing w:after="30"/>
      </w:pPr>
      <w:r>
        <w:t>Estimate expected charges without guaranteeing duration.</w:t>
      </w:r>
    </w:p>
    <w:p>
      <w:pPr>
        <w:pStyle w:val="ListBullet"/>
        <w:spacing w:after="30"/>
      </w:pPr>
      <w:r>
        <w:t>Use the statute’s timing language; avoid both extremes.</w:t>
      </w:r>
    </w:p>
    <w:p>
      <w:pPr>
        <w:pStyle w:val="ListBullet"/>
        <w:spacing w:after="30"/>
      </w:pPr>
      <w:r>
        <w:t>Trainee is not associate or licensee.</w:t>
      </w:r>
    </w:p>
    <w:p>
      <w:pPr>
        <w:pStyle w:val="ListBullet"/>
        <w:spacing w:after="30"/>
      </w:pPr>
      <w:r>
        <w:t>Optional consultation is a distractor when supervision is legally required.</w:t>
      </w:r>
    </w:p>
    <w:p>
      <w:pPr>
        <w:pStyle w:val="Heading2"/>
      </w:pPr>
      <w:r>
        <w:t>Chapter Rapid Review</w:t>
      </w:r>
    </w:p>
    <w:p>
      <w:r>
        <w:rPr>
          <w:b/>
        </w:rPr>
        <w:t xml:space="preserve">Know these concepts: </w:t>
      </w:r>
      <w:r>
        <w:t>Notice to Clients; APCC Status Disclosure; Telehealth Consent Documentation; License Display vs Notice; Good Faith Estimate; Notice Timing; Clinical Counselor Trainee Disclosure; APCC Misrepresentation; Material Fee Change; Third-Party Role; Nickname in Advertising; Integrated APCC Disclosures; Employer-Created Advertising; GFE and Insurance Status; Changing Professional Role; Comprehensive Required Disclosures</w:t>
      </w:r>
    </w:p>
    <w:p>
      <w:r>
        <w:br w:type="page"/>
      </w:r>
    </w:p>
    <w:p>
      <w:pPr>
        <w:pStyle w:val="Heading2"/>
      </w:pPr>
      <w:r>
        <w:t>Chapter 5</w:t>
      </w:r>
    </w:p>
    <w:p>
      <w:pPr>
        <w:pStyle w:val="Heading1"/>
      </w:pPr>
      <w:r>
        <w:t>General Consent Requirements for Minors</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The therapist should not assume that an accompanying relative has authority merely because the person arranged the appointment, provides transportation, or pays for treatment. The therapist should determine: Whether a parent, legal guardian, or another legally authorized person may consent Whether the minor qualifies to consent independently under California law Whether any urgent or emergency circumstance changes the immediate response California permits a minor who is at least 12 to consent to qualifying outpatient mental-health services when the attending professional determines that the minor is mature enough to participate intelligently. The existence of that exception must be evaluated; it should not be assumed merely because the minor requests care.</w:t>
            </w:r>
          </w:p>
        </w:tc>
      </w:tr>
    </w:tbl>
    <w:p>
      <w:pPr>
        <w:pStyle w:val="Heading2"/>
      </w:pPr>
      <w:r>
        <w:t>What to Learn</w:t>
      </w:r>
    </w:p>
    <w:p>
      <w:pPr>
        <w:pStyle w:val="ListBullet"/>
        <w:spacing w:after="30"/>
      </w:pPr>
      <w:r>
        <w:t>Explain and apply Verifying Authority to Consent — Part 1 of 2.</w:t>
      </w:r>
    </w:p>
    <w:p>
      <w:pPr>
        <w:pStyle w:val="ListBullet"/>
        <w:spacing w:after="30"/>
      </w:pPr>
      <w:r>
        <w:t>Explain and apply Verifying Authority to Consent — Part 2 of 2.</w:t>
      </w:r>
    </w:p>
    <w:p>
      <w:pPr>
        <w:pStyle w:val="ListBullet"/>
        <w:spacing w:after="30"/>
      </w:pPr>
      <w:r>
        <w:t>Explain and apply Reviewing Custody Orders.</w:t>
      </w:r>
    </w:p>
    <w:p>
      <w:pPr>
        <w:pStyle w:val="ListBullet"/>
        <w:spacing w:after="30"/>
      </w:pPr>
      <w:r>
        <w:t>Explain and apply Court Order Requiring Mutual Consent — Part 1 of 2.</w:t>
      </w:r>
    </w:p>
    <w:p>
      <w:pPr>
        <w:pStyle w:val="ListBullet"/>
        <w:spacing w:after="30"/>
      </w:pPr>
      <w:r>
        <w:t>Explain and apply Court Order Requiring Mutual Consent — Part 2 of 2.</w:t>
      </w:r>
    </w:p>
    <w:p>
      <w:pPr>
        <w:pStyle w:val="ListBullet"/>
        <w:spacing w:after="30"/>
      </w:pPr>
      <w:r>
        <w:t>Explain and apply Sole Legal Custody.</w:t>
      </w:r>
    </w:p>
    <w:p>
      <w:pPr>
        <w:pStyle w:val="ListBullet"/>
        <w:spacing w:after="30"/>
      </w:pPr>
      <w:r>
        <w:t>Explain and apply One Parent Acting Under Joint Legal Custody.</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Verifying Authority to Consent — Part 1 of 2</w:t>
            </w:r>
          </w:p>
        </w:tc>
        <w:tc>
          <w:tcPr>
            <w:tcW w:type="dxa" w:w="5256"/>
            <w:vAlign w:val="top"/>
          </w:tcPr>
          <w:p>
            <w:pPr>
              <w:spacing w:after="0"/>
            </w:pPr>
            <w:r/>
            <w:r>
              <w:rPr>
                <w:rFonts w:ascii="Aptos" w:hAnsi="Aptos"/>
                <w:b w:val="0"/>
                <w:sz w:val="16"/>
              </w:rPr>
              <w:t>The therapist should not assume that an accompanying relative has authority merely because the person arranged the appointment, provides transportation, or pays for treatment. The therapist should determine: Whether a parent, legal guardian, or another legally authorized person may consent Whether the minor qualifies to consent independently under California law Whether any urgent or emergency circumstance changes the immediate response California permits a minor who is at least 12 to consent to qualifying outpatient mental-health services when the attending professional determines that the minor is mature enough to participate intelligently.</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Verifying Authority to Consent — Part 2 of 2</w:t>
            </w:r>
          </w:p>
        </w:tc>
        <w:tc>
          <w:tcPr>
            <w:tcW w:type="dxa" w:w="5256"/>
            <w:vAlign w:val="top"/>
            <w:shd w:fill="F7F9FA"/>
          </w:tcPr>
          <w:p>
            <w:pPr>
              <w:spacing w:after="0"/>
            </w:pPr>
            <w:r/>
            <w:r>
              <w:rPr>
                <w:rFonts w:ascii="Aptos" w:hAnsi="Aptos"/>
                <w:b w:val="0"/>
                <w:sz w:val="16"/>
              </w:rPr>
              <w:t>The existence of that exception must be evaluated; it should not be assumed merely because the minor requests care.</w:t>
            </w:r>
          </w:p>
        </w:tc>
        <w:tc>
          <w:tcPr>
            <w:tcW w:type="dxa" w:w="2520"/>
            <w:vAlign w:val="top"/>
            <w:shd w:fill="F7F9FA"/>
          </w:tcPr>
          <w:p>
            <w:pPr>
              <w:spacing w:after="0"/>
            </w:pPr>
            <w:r/>
            <w:r>
              <w:rPr>
                <w:rFonts w:ascii="Aptos" w:hAnsi="Aptos"/>
                <w:b w:val="0"/>
                <w:sz w:val="16"/>
              </w:rPr>
              <w:t>Separate these facts: Who brought the minor?Who pays?Who has legal authority? Only the third question resolves consent authority.</w:t>
            </w:r>
          </w:p>
        </w:tc>
      </w:tr>
      <w:tr>
        <w:tc>
          <w:tcPr>
            <w:tcW w:type="dxa" w:w="2376"/>
            <w:vAlign w:val="top"/>
          </w:tcPr>
          <w:p>
            <w:pPr>
              <w:spacing w:after="0"/>
            </w:pPr>
            <w:r/>
            <w:r>
              <w:rPr>
                <w:rFonts w:ascii="Aptos" w:hAnsi="Aptos"/>
                <w:b/>
                <w:sz w:val="16"/>
              </w:rPr>
              <w:t>Reviewing Custody Orders</w:t>
            </w:r>
          </w:p>
        </w:tc>
        <w:tc>
          <w:tcPr>
            <w:tcW w:type="dxa" w:w="5256"/>
            <w:vAlign w:val="top"/>
          </w:tcPr>
          <w:p>
            <w:pPr>
              <w:spacing w:after="0"/>
            </w:pPr>
            <w:r/>
            <w:r>
              <w:rPr>
                <w:rFonts w:ascii="Aptos" w:hAnsi="Aptos"/>
                <w:b w:val="0"/>
                <w:sz w:val="16"/>
              </w:rPr>
              <w:t>“Joint custody” is not sufficiently specific. California defines joint legal custody as both parents sharing the right and responsibility to make decisions concerning the child’s health, education, and welfare. The custody order must specify the circumstances in which both parents’ consent is required; in circumstances not requiring mutual consent, either parent may act alone. The therapist therefore needs to review the actual order instead of relying on a parent’s summary or a general assumption about joint custody.</w:t>
            </w:r>
          </w:p>
        </w:tc>
        <w:tc>
          <w:tcPr>
            <w:tcW w:type="dxa" w:w="2520"/>
            <w:vAlign w:val="top"/>
          </w:tcPr>
          <w:p>
            <w:pPr>
              <w:spacing w:after="0"/>
            </w:pPr>
            <w:r/>
            <w:r>
              <w:rPr>
                <w:rFonts w:ascii="Aptos" w:hAnsi="Aptos"/>
                <w:b w:val="0"/>
                <w:sz w:val="16"/>
              </w:rPr>
              <w:t>When the stem mentions: Divorce Separation Joint custody A custody dispute A court order look for: Review the actual current order. Do not guess from labels such as “joint,” “primary,” or “custodial parent.”</w:t>
            </w:r>
          </w:p>
        </w:tc>
      </w:tr>
      <w:tr>
        <w:tc>
          <w:tcPr>
            <w:tcW w:type="dxa" w:w="2376"/>
            <w:vAlign w:val="top"/>
            <w:shd w:fill="F7F9FA"/>
          </w:tcPr>
          <w:p>
            <w:pPr>
              <w:spacing w:after="0"/>
            </w:pPr>
            <w:r/>
            <w:r>
              <w:rPr>
                <w:rFonts w:ascii="Aptos" w:hAnsi="Aptos"/>
                <w:b/>
                <w:sz w:val="16"/>
              </w:rPr>
              <w:t>Court Order Requiring Mutual Consent — Part 1 of 2</w:t>
            </w:r>
          </w:p>
        </w:tc>
        <w:tc>
          <w:tcPr>
            <w:tcW w:type="dxa" w:w="5256"/>
            <w:vAlign w:val="top"/>
            <w:shd w:fill="F7F9FA"/>
          </w:tcPr>
          <w:p>
            <w:pPr>
              <w:spacing w:after="0"/>
            </w:pPr>
            <w:r/>
            <w:r>
              <w:rPr>
                <w:rFonts w:ascii="Aptos" w:hAnsi="Aptos"/>
                <w:b w:val="0"/>
                <w:sz w:val="16"/>
              </w:rPr>
              <w:t>California Family Code section 3083 provides that a joint legal custody order specifies the circumstances in which both parents’ consent must be obtained. Either parent may act alone only in circumstances not designated for mutual consent. Because this order expressly requires both parents’ agreement for nonemergency mental-health treatment, the therapist should not proceed solely on one parent’s authorization.</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Court Order Requiring Mutual Consent — Part 2 of 2</w:t>
            </w:r>
          </w:p>
        </w:tc>
        <w:tc>
          <w:tcPr>
            <w:tcW w:type="dxa" w:w="5256"/>
            <w:vAlign w:val="top"/>
          </w:tcPr>
          <w:p>
            <w:pPr>
              <w:spacing w:after="0"/>
            </w:pPr>
            <w:r/>
            <w:r>
              <w:rPr>
                <w:rFonts w:ascii="Aptos" w:hAnsi="Aptos"/>
                <w:b w:val="0"/>
                <w:sz w:val="16"/>
              </w:rPr>
              <w:t>Before deciding how to proceed, the therapist may evaluate whether: Both parents can provide the required consent The minor independently qualifies to consent under applicable law A genuine emergency creates another lawful basis for immediate action Legal or professional consultation is needed Any authority analysis and resulting decision should be documented.</w:t>
            </w:r>
          </w:p>
        </w:tc>
        <w:tc>
          <w:tcPr>
            <w:tcW w:type="dxa" w:w="2520"/>
            <w:vAlign w:val="top"/>
          </w:tcPr>
          <w:p>
            <w:pPr>
              <w:spacing w:after="0"/>
            </w:pPr>
            <w:r/>
            <w:r>
              <w:rPr>
                <w:rFonts w:ascii="Aptos" w:hAnsi="Aptos"/>
                <w:b w:val="0"/>
                <w:sz w:val="16"/>
              </w:rPr>
              <w:t>Use this order of analysis: Read the custody order. Identify whether one or both parents must consent. Determine whether an independent minor-consent law applies. Consider emergencies separately. Document the legal and clinical basis for proceeding.</w:t>
            </w:r>
          </w:p>
        </w:tc>
      </w:tr>
      <w:tr>
        <w:tc>
          <w:tcPr>
            <w:tcW w:type="dxa" w:w="2376"/>
            <w:vAlign w:val="top"/>
            <w:shd w:fill="F7F9FA"/>
          </w:tcPr>
          <w:p>
            <w:pPr>
              <w:spacing w:after="0"/>
            </w:pPr>
            <w:r/>
            <w:r>
              <w:rPr>
                <w:rFonts w:ascii="Aptos" w:hAnsi="Aptos"/>
                <w:b/>
                <w:sz w:val="16"/>
              </w:rPr>
              <w:t>Sole Legal Custody</w:t>
            </w:r>
          </w:p>
        </w:tc>
        <w:tc>
          <w:tcPr>
            <w:tcW w:type="dxa" w:w="5256"/>
            <w:vAlign w:val="top"/>
            <w:shd w:fill="F7F9FA"/>
          </w:tcPr>
          <w:p>
            <w:pPr>
              <w:spacing w:after="0"/>
            </w:pPr>
            <w:r/>
            <w:r>
              <w:rPr>
                <w:rFonts w:ascii="Aptos" w:hAnsi="Aptos"/>
                <w:b w:val="0"/>
                <w:sz w:val="16"/>
              </w:rPr>
              <w:t>Sole legal custody gives one parent the right and responsibility to make decisions concerning the child’s health, education, and welfare. Parenting time or physical custody does not automatically transfer that legal decision-making authority to the other parent. The therapist should determine whether the mother has authorized treatment or whether another lawful basis permits services before beginning nonemergency care.</w:t>
            </w:r>
          </w:p>
        </w:tc>
        <w:tc>
          <w:tcPr>
            <w:tcW w:type="dxa" w:w="2520"/>
            <w:vAlign w:val="top"/>
            <w:shd w:fill="F7F9FA"/>
          </w:tcPr>
          <w:p>
            <w:pPr>
              <w:spacing w:after="0"/>
            </w:pPr>
            <w:r/>
            <w:r>
              <w:rPr>
                <w:rFonts w:ascii="Aptos" w:hAnsi="Aptos"/>
                <w:b w:val="0"/>
                <w:sz w:val="16"/>
              </w:rPr>
              <w:t>Keep these concepts separate: Physical custody = where and with whom the child livesLegal custody = who makes health, education, and welfare decisions</w:t>
            </w:r>
          </w:p>
        </w:tc>
      </w:tr>
      <w:tr>
        <w:tc>
          <w:tcPr>
            <w:tcW w:type="dxa" w:w="2376"/>
            <w:vAlign w:val="top"/>
          </w:tcPr>
          <w:p>
            <w:pPr>
              <w:spacing w:after="0"/>
            </w:pPr>
            <w:r/>
            <w:r>
              <w:rPr>
                <w:rFonts w:ascii="Aptos" w:hAnsi="Aptos"/>
                <w:b/>
                <w:sz w:val="16"/>
              </w:rPr>
              <w:t>One Parent Acting Under Joint Legal Custody</w:t>
            </w:r>
          </w:p>
        </w:tc>
        <w:tc>
          <w:tcPr>
            <w:tcW w:type="dxa" w:w="5256"/>
            <w:vAlign w:val="top"/>
          </w:tcPr>
          <w:p>
            <w:pPr>
              <w:spacing w:after="0"/>
            </w:pPr>
            <w:r/>
            <w:r>
              <w:rPr>
                <w:rFonts w:ascii="Aptos" w:hAnsi="Aptos"/>
                <w:b w:val="0"/>
                <w:sz w:val="16"/>
              </w:rPr>
              <w:t>California requires a joint legal custody order to specify when both parents’ consent is required. In circumstances not designated for mutual consent, either parent may generally exercise legal control alone, provided the action is not inconsistent with the physical-custody order. The therapist should still review the actual order, verify that it is current, and document the authority analysis.</w:t>
            </w:r>
          </w:p>
        </w:tc>
        <w:tc>
          <w:tcPr>
            <w:tcW w:type="dxa" w:w="2520"/>
            <w:vAlign w:val="top"/>
          </w:tcPr>
          <w:p>
            <w:pPr>
              <w:spacing w:after="0"/>
            </w:pPr>
            <w:r/>
            <w:r>
              <w:rPr>
                <w:rFonts w:ascii="Aptos" w:hAnsi="Aptos"/>
                <w:b w:val="0"/>
                <w:sz w:val="16"/>
              </w:rPr>
              <w:t>Do not memorize: Joint legal custody = both signatures every time Instead, read what the order says requires mutual consent.</w:t>
            </w:r>
          </w:p>
        </w:tc>
      </w:tr>
      <w:tr>
        <w:tc>
          <w:tcPr>
            <w:tcW w:type="dxa" w:w="2376"/>
            <w:vAlign w:val="top"/>
            <w:shd w:fill="F7F9FA"/>
          </w:tcPr>
          <w:p>
            <w:pPr>
              <w:spacing w:after="0"/>
            </w:pPr>
            <w:r/>
            <w:r>
              <w:rPr>
                <w:rFonts w:ascii="Aptos" w:hAnsi="Aptos"/>
                <w:b/>
                <w:sz w:val="16"/>
              </w:rPr>
              <w:t>Caregiver’s Authorization Affidavit</w:t>
            </w:r>
          </w:p>
        </w:tc>
        <w:tc>
          <w:tcPr>
            <w:tcW w:type="dxa" w:w="5256"/>
            <w:vAlign w:val="top"/>
            <w:shd w:fill="F7F9FA"/>
          </w:tcPr>
          <w:p>
            <w:pPr>
              <w:spacing w:after="0"/>
            </w:pPr>
            <w:r/>
            <w:r>
              <w:rPr>
                <w:rFonts w:ascii="Aptos" w:hAnsi="Aptos"/>
                <w:b w:val="0"/>
                <w:sz w:val="16"/>
              </w:rPr>
              <w:t>A qualifying relative caregiver who properly completes and signs the statutory affidavit may receive authority comparable to a guardian’s authority to authorize medical and dental care. The statute specifies that this authority may include mental-health treatment, subject to applicable Probate Code limitations. The therapist should review the actual affidavit, confirm the caregiver’s identity, evaluate its scope and current applicability, and retain appropriate documentation rather than either accepting or rejecting it automatically.</w:t>
            </w:r>
          </w:p>
        </w:tc>
        <w:tc>
          <w:tcPr>
            <w:tcW w:type="dxa" w:w="2520"/>
            <w:vAlign w:val="top"/>
            <w:shd w:fill="F7F9FA"/>
          </w:tcPr>
          <w:p>
            <w:pPr>
              <w:spacing w:after="0"/>
            </w:pPr>
            <w:r/>
            <w:r>
              <w:rPr>
                <w:rFonts w:ascii="Aptos" w:hAnsi="Aptos"/>
                <w:b w:val="0"/>
                <w:sz w:val="16"/>
              </w:rPr>
              <w:t>When a nonparent relative brings a child to treatment, ask whether the person has: Guardianship authority A valid caregiver affidavit Written authorization Another recognized legal basis Do not decide from family relationship alone.</w:t>
            </w:r>
          </w:p>
        </w:tc>
      </w:tr>
      <w:tr>
        <w:tc>
          <w:tcPr>
            <w:tcW w:type="dxa" w:w="2376"/>
            <w:vAlign w:val="top"/>
          </w:tcPr>
          <w:p>
            <w:pPr>
              <w:spacing w:after="0"/>
            </w:pPr>
            <w:r/>
            <w:r>
              <w:rPr>
                <w:rFonts w:ascii="Aptos" w:hAnsi="Aptos"/>
                <w:b/>
                <w:sz w:val="16"/>
              </w:rPr>
              <w:t>Physical Custody Does Not Override Legal Custody</w:t>
            </w:r>
          </w:p>
        </w:tc>
        <w:tc>
          <w:tcPr>
            <w:tcW w:type="dxa" w:w="5256"/>
            <w:vAlign w:val="top"/>
          </w:tcPr>
          <w:p>
            <w:pPr>
              <w:spacing w:after="0"/>
            </w:pPr>
            <w:r/>
            <w:r>
              <w:rPr>
                <w:rFonts w:ascii="Aptos" w:hAnsi="Aptos"/>
                <w:b w:val="0"/>
                <w:sz w:val="16"/>
              </w:rPr>
              <w:t>Joint physical and joint legal custody are distinct concepts, and a court may grant joint legal custody without equal physical custody. When the controlling order expressly requires mutual consent for mental-health treatment, the child’s primary residence does not override that provision. The therapist should obtain the required authorization or identify another valid legal basis before beginning nonemergency treatment.</w:t>
            </w:r>
          </w:p>
        </w:tc>
        <w:tc>
          <w:tcPr>
            <w:tcW w:type="dxa" w:w="2520"/>
            <w:vAlign w:val="top"/>
          </w:tcPr>
          <w:p>
            <w:pPr>
              <w:spacing w:after="0"/>
            </w:pPr>
            <w:r/>
            <w:r>
              <w:rPr>
                <w:rFonts w:ascii="Aptos" w:hAnsi="Aptos"/>
                <w:b w:val="0"/>
                <w:sz w:val="16"/>
              </w:rPr>
              <w:t>Never use these facts as substitutes for legal authority: The child lives with this parent This parent scheduled the appointment This parent pays This parent communicates more often</w:t>
            </w:r>
          </w:p>
        </w:tc>
      </w:tr>
      <w:tr>
        <w:tc>
          <w:tcPr>
            <w:tcW w:type="dxa" w:w="2376"/>
            <w:vAlign w:val="top"/>
            <w:shd w:fill="F7F9FA"/>
          </w:tcPr>
          <w:p>
            <w:pPr>
              <w:spacing w:after="0"/>
            </w:pPr>
            <w:r/>
            <w:r>
              <w:rPr>
                <w:rFonts w:ascii="Aptos" w:hAnsi="Aptos"/>
                <w:b/>
                <w:sz w:val="16"/>
              </w:rPr>
              <w:t>Court-Appointed Guardian</w:t>
            </w:r>
          </w:p>
        </w:tc>
        <w:tc>
          <w:tcPr>
            <w:tcW w:type="dxa" w:w="5256"/>
            <w:vAlign w:val="top"/>
            <w:shd w:fill="F7F9FA"/>
          </w:tcPr>
          <w:p>
            <w:pPr>
              <w:spacing w:after="0"/>
            </w:pPr>
            <w:r/>
            <w:r>
              <w:rPr>
                <w:rFonts w:ascii="Aptos" w:hAnsi="Aptos"/>
                <w:b w:val="0"/>
                <w:sz w:val="16"/>
              </w:rPr>
              <w:t>A guardian of the person may possess authority to consent to medical treatment for the ward, but the therapist should examine the actual court documents and applicable limitations rather than relying solely on the adult’s statement. California law also preserves situations in which a minor may consent independently under another statute. Verification should include whether the appointment remains effective, whether the guardianship concerns the person rather than only property, and whether the court imposed relevant restrictions.</w:t>
            </w:r>
          </w:p>
        </w:tc>
        <w:tc>
          <w:tcPr>
            <w:tcW w:type="dxa" w:w="2520"/>
            <w:vAlign w:val="top"/>
            <w:shd w:fill="F7F9FA"/>
          </w:tcPr>
          <w:p>
            <w:pPr>
              <w:spacing w:after="0"/>
            </w:pPr>
            <w:r/>
            <w:r>
              <w:rPr>
                <w:rFonts w:ascii="Aptos" w:hAnsi="Aptos"/>
                <w:b w:val="0"/>
                <w:sz w:val="16"/>
              </w:rPr>
              <w:t>For guardianship questions, verify: Who was appointed + what type of guardianship + what powers were granted + whether limitations exist</w:t>
            </w:r>
          </w:p>
        </w:tc>
      </w:tr>
      <w:tr>
        <w:tc>
          <w:tcPr>
            <w:tcW w:type="dxa" w:w="2376"/>
            <w:vAlign w:val="top"/>
          </w:tcPr>
          <w:p>
            <w:pPr>
              <w:spacing w:after="0"/>
            </w:pPr>
            <w:r/>
            <w:r>
              <w:rPr>
                <w:rFonts w:ascii="Aptos" w:hAnsi="Aptos"/>
                <w:b/>
                <w:sz w:val="16"/>
              </w:rPr>
              <w:t>Conflicting Custody Documents</w:t>
            </w:r>
          </w:p>
        </w:tc>
        <w:tc>
          <w:tcPr>
            <w:tcW w:type="dxa" w:w="5256"/>
            <w:vAlign w:val="top"/>
          </w:tcPr>
          <w:p>
            <w:pPr>
              <w:spacing w:after="0"/>
            </w:pPr>
            <w:r/>
            <w:r>
              <w:rPr>
                <w:rFonts w:ascii="Aptos" w:hAnsi="Aptos"/>
                <w:b w:val="0"/>
                <w:sz w:val="16"/>
              </w:rPr>
              <w:t>Consent authority depends on the current legal-custody arrangement, not on which parent communicates first or appears more persuasive. Sole legal custody and joint legal custody confer materially different decision-making rights. When apparently conflicting orders create genuine uncertainty and no emergency requires immediate intervention, the therapist should verify the controlling order, clarify authority, seek legal or professional consultation when needed, and document the process.</w:t>
            </w:r>
          </w:p>
        </w:tc>
        <w:tc>
          <w:tcPr>
            <w:tcW w:type="dxa" w:w="2520"/>
            <w:vAlign w:val="top"/>
          </w:tcPr>
          <w:p>
            <w:pPr>
              <w:spacing w:after="0"/>
            </w:pPr>
            <w:r/>
            <w:r>
              <w:rPr>
                <w:rFonts w:ascii="Aptos" w:hAnsi="Aptos"/>
                <w:b w:val="0"/>
                <w:sz w:val="16"/>
              </w:rPr>
              <w:t>When the documents conflict: Verify—do not vote, guess, or choose the more persuasive parent.</w:t>
            </w:r>
          </w:p>
        </w:tc>
      </w:tr>
      <w:tr>
        <w:tc>
          <w:tcPr>
            <w:tcW w:type="dxa" w:w="2376"/>
            <w:vAlign w:val="top"/>
            <w:shd w:fill="F7F9FA"/>
          </w:tcPr>
          <w:p>
            <w:pPr>
              <w:spacing w:after="0"/>
            </w:pPr>
            <w:r/>
            <w:r>
              <w:rPr>
                <w:rFonts w:ascii="Aptos" w:hAnsi="Aptos"/>
                <w:b/>
                <w:sz w:val="16"/>
              </w:rPr>
              <w:t>Parent Objection When One Parent May Act Alone — Part 1 of 2</w:t>
            </w:r>
          </w:p>
        </w:tc>
        <w:tc>
          <w:tcPr>
            <w:tcW w:type="dxa" w:w="5256"/>
            <w:vAlign w:val="top"/>
            <w:shd w:fill="F7F9FA"/>
          </w:tcPr>
          <w:p>
            <w:pPr>
              <w:spacing w:after="0"/>
            </w:pPr>
            <w:r/>
            <w:r>
              <w:rPr>
                <w:rFonts w:ascii="Aptos" w:hAnsi="Aptos"/>
                <w:b w:val="0"/>
                <w:sz w:val="16"/>
              </w:rPr>
              <w:t>When a joint legal custody order specifies only certain matters requiring mutual consent, either parent may generally exercise legal control alone in other circumstances, subject to the order’s physical-custody limitations. The mother therefore may have possessed authority to authorize the treatment initially. The father’s later objection does not automatically erase that authority, but it is still significant.</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Parent Objection When One Parent May Act Alone — Part 2 of 2</w:t>
            </w:r>
          </w:p>
        </w:tc>
        <w:tc>
          <w:tcPr>
            <w:tcW w:type="dxa" w:w="5256"/>
            <w:vAlign w:val="top"/>
          </w:tcPr>
          <w:p>
            <w:pPr>
              <w:spacing w:after="0"/>
            </w:pPr>
            <w:r/>
            <w:r>
              <w:rPr>
                <w:rFonts w:ascii="Aptos" w:hAnsi="Aptos"/>
                <w:b w:val="0"/>
                <w:sz w:val="16"/>
              </w:rPr>
              <w:t>The therapist should review the order and objection, consider whether the family conflict affects treatment or client welfare, communicate within appropriate confidentiality limits, document the analysis, and obtain consultation when the situation becomes legally or clinically complex.</w:t>
            </w:r>
          </w:p>
        </w:tc>
        <w:tc>
          <w:tcPr>
            <w:tcW w:type="dxa" w:w="2520"/>
            <w:vAlign w:val="top"/>
          </w:tcPr>
          <w:p>
            <w:pPr>
              <w:spacing w:after="0"/>
            </w:pPr>
            <w:r/>
            <w:r>
              <w:rPr>
                <w:rFonts w:ascii="Aptos" w:hAnsi="Aptos"/>
                <w:b w:val="0"/>
                <w:sz w:val="16"/>
              </w:rPr>
              <w:t>Separate two questions: Did the consenting parent have legal authority? How should the therapist manage the later family conflict? A legally authorized start does not eliminate the need for thoughtful clinical management.</w:t>
            </w:r>
          </w:p>
        </w:tc>
      </w:tr>
      <w:tr>
        <w:tc>
          <w:tcPr>
            <w:tcW w:type="dxa" w:w="2376"/>
            <w:vAlign w:val="top"/>
            <w:shd w:fill="F7F9FA"/>
          </w:tcPr>
          <w:p>
            <w:pPr>
              <w:spacing w:after="0"/>
            </w:pPr>
            <w:r/>
            <w:r>
              <w:rPr>
                <w:rFonts w:ascii="Aptos" w:hAnsi="Aptos"/>
                <w:b/>
                <w:sz w:val="16"/>
              </w:rPr>
              <w:t>Payment Does Not Establish Consent Authority</w:t>
            </w:r>
          </w:p>
        </w:tc>
        <w:tc>
          <w:tcPr>
            <w:tcW w:type="dxa" w:w="5256"/>
            <w:vAlign w:val="top"/>
            <w:shd w:fill="F7F9FA"/>
          </w:tcPr>
          <w:p>
            <w:pPr>
              <w:spacing w:after="0"/>
            </w:pPr>
            <w:r/>
            <w:r>
              <w:rPr>
                <w:rFonts w:ascii="Aptos" w:hAnsi="Aptos"/>
                <w:b w:val="0"/>
                <w:sz w:val="16"/>
              </w:rPr>
              <w:t>Scheduling, transportation, financial responsibility, and close family involvement do not independently establish legal authority to consent for a minor. The therapist should determine whether the grandfather has guardianship, a valid caregiver authorization affidavit, authorization from a person with legal custody, or another recognized legal basis. The therapist should also assess separately whether the minor may consent independently under California law.</w:t>
            </w:r>
          </w:p>
        </w:tc>
        <w:tc>
          <w:tcPr>
            <w:tcW w:type="dxa" w:w="2520"/>
            <w:vAlign w:val="top"/>
            <w:shd w:fill="F7F9FA"/>
          </w:tcPr>
          <w:p>
            <w:pPr>
              <w:spacing w:after="0"/>
            </w:pPr>
            <w:r/>
            <w:r>
              <w:rPr>
                <w:rFonts w:ascii="Aptos" w:hAnsi="Aptos"/>
                <w:b w:val="0"/>
                <w:sz w:val="16"/>
              </w:rPr>
              <w:t>Never equate: Pays + transports + attendswithlegally authorized to consent</w:t>
            </w:r>
          </w:p>
        </w:tc>
      </w:tr>
      <w:tr>
        <w:tc>
          <w:tcPr>
            <w:tcW w:type="dxa" w:w="2376"/>
            <w:vAlign w:val="top"/>
          </w:tcPr>
          <w:p>
            <w:pPr>
              <w:spacing w:after="0"/>
            </w:pPr>
            <w:r/>
            <w:r>
              <w:rPr>
                <w:rFonts w:ascii="Aptos" w:hAnsi="Aptos"/>
                <w:b/>
                <w:sz w:val="16"/>
              </w:rPr>
              <w:t>Stepparent Authority</w:t>
            </w:r>
          </w:p>
        </w:tc>
        <w:tc>
          <w:tcPr>
            <w:tcW w:type="dxa" w:w="5256"/>
            <w:vAlign w:val="top"/>
          </w:tcPr>
          <w:p>
            <w:pPr>
              <w:spacing w:after="0"/>
            </w:pPr>
            <w:r/>
            <w:r>
              <w:rPr>
                <w:rFonts w:ascii="Aptos" w:hAnsi="Aptos"/>
                <w:b w:val="0"/>
                <w:sz w:val="16"/>
              </w:rPr>
              <w:t>A stepparent’s relationship or residence with the child does not, by itself, establish healthcare decision-making authority. The therapist should verify whether the person has guardianship, appropriate authorization, or a valid caregiver affidavit. California’s caregiver-affidavit law includes stepparents within its definition of a relative, meaning a qualifying stepparent may obtain authority by properly completing the applicable affidavit. That potential authority must be established rather than assumed.</w:t>
            </w:r>
          </w:p>
        </w:tc>
        <w:tc>
          <w:tcPr>
            <w:tcW w:type="dxa" w:w="2520"/>
            <w:vAlign w:val="top"/>
          </w:tcPr>
          <w:p>
            <w:pPr>
              <w:spacing w:after="0"/>
            </w:pPr>
            <w:r/>
            <w:r>
              <w:rPr>
                <w:rFonts w:ascii="Aptos" w:hAnsi="Aptos"/>
                <w:b w:val="0"/>
                <w:sz w:val="16"/>
              </w:rPr>
              <w:t>For a stepparent, ask: What legal document or authority supports consent? Do not answer solely from the family title.</w:t>
            </w:r>
          </w:p>
        </w:tc>
      </w:tr>
      <w:tr>
        <w:tc>
          <w:tcPr>
            <w:tcW w:type="dxa" w:w="2376"/>
            <w:vAlign w:val="top"/>
            <w:shd w:fill="F7F9FA"/>
          </w:tcPr>
          <w:p>
            <w:pPr>
              <w:spacing w:after="0"/>
            </w:pPr>
            <w:r/>
            <w:r>
              <w:rPr>
                <w:rFonts w:ascii="Aptos" w:hAnsi="Aptos"/>
                <w:b/>
                <w:sz w:val="16"/>
              </w:rPr>
              <w:t>Documentation of Consent Authority</w:t>
            </w:r>
          </w:p>
        </w:tc>
        <w:tc>
          <w:tcPr>
            <w:tcW w:type="dxa" w:w="5256"/>
            <w:vAlign w:val="top"/>
            <w:shd w:fill="F7F9FA"/>
          </w:tcPr>
          <w:p>
            <w:pPr>
              <w:spacing w:after="0"/>
            </w:pPr>
            <w:r/>
            <w:r>
              <w:rPr>
                <w:rFonts w:ascii="Aptos" w:hAnsi="Aptos"/>
                <w:b w:val="0"/>
                <w:sz w:val="16"/>
              </w:rPr>
              <w:t>The record should support the therapist’s decision to rely on a particular person’s consent. Appropriate documentation may identify: The court order, guardianship document, affidavit, or authorization reviewed The relevant provision or scope of authority The date of review Questions or limitations identified Consultation obtained when necessary The resulting treatment decision This supports continuity, accountability, and later verification without requiring the therapist to reproduce every page of a legal document in the progress note.</w:t>
            </w:r>
          </w:p>
        </w:tc>
        <w:tc>
          <w:tcPr>
            <w:tcW w:type="dxa" w:w="2520"/>
            <w:vAlign w:val="top"/>
            <w:shd w:fill="F7F9FA"/>
          </w:tcPr>
          <w:p>
            <w:pPr>
              <w:spacing w:after="0"/>
            </w:pPr>
            <w:r/>
            <w:r>
              <w:rPr>
                <w:rFonts w:ascii="Aptos" w:hAnsi="Aptos"/>
                <w:b w:val="0"/>
                <w:sz w:val="16"/>
              </w:rPr>
              <w:t>Document enough to answer: What authority did the therapist rely upon, and why?</w:t>
            </w:r>
          </w:p>
        </w:tc>
      </w:tr>
      <w:tr>
        <w:tc>
          <w:tcPr>
            <w:tcW w:type="dxa" w:w="2376"/>
            <w:vAlign w:val="top"/>
          </w:tcPr>
          <w:p>
            <w:pPr>
              <w:spacing w:after="0"/>
            </w:pPr>
            <w:r/>
            <w:r>
              <w:rPr>
                <w:rFonts w:ascii="Aptos" w:hAnsi="Aptos"/>
                <w:b/>
                <w:sz w:val="16"/>
              </w:rPr>
              <w:t>Emergency Safety Action vs. Routine Consent — Part 1 of 2</w:t>
            </w:r>
          </w:p>
        </w:tc>
        <w:tc>
          <w:tcPr>
            <w:tcW w:type="dxa" w:w="5256"/>
            <w:vAlign w:val="top"/>
          </w:tcPr>
          <w:p>
            <w:pPr>
              <w:spacing w:after="0"/>
            </w:pPr>
            <w:r/>
            <w:r>
              <w:rPr>
                <w:rFonts w:ascii="Aptos" w:hAnsi="Aptos"/>
                <w:b w:val="0"/>
                <w:sz w:val="16"/>
              </w:rPr>
              <w:t>Routine consent analysis should not delay a legally appropriate response to an immediate safety emergency. California law permits specified authorized professionals, upon probable cause, to initiate a 72-hour evaluation process for a minor who, because of a mental disorder, is dangerous to self or others or gravely disabled when voluntary authorization is unavailable. The facility must make every effort to notify the parent or guardian after detention.</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Emergency Safety Action vs. Routine Consent — Part 2 of 2</w:t>
            </w:r>
          </w:p>
        </w:tc>
        <w:tc>
          <w:tcPr>
            <w:tcW w:type="dxa" w:w="5256"/>
            <w:vAlign w:val="top"/>
            <w:shd w:fill="F7F9FA"/>
          </w:tcPr>
          <w:p>
            <w:pPr>
              <w:spacing w:after="0"/>
            </w:pPr>
            <w:r/>
            <w:r>
              <w:rPr>
                <w:rFonts w:ascii="Aptos" w:hAnsi="Aptos"/>
                <w:b w:val="0"/>
                <w:sz w:val="16"/>
              </w:rPr>
              <w:t>The therapist should act within the therapist’s professional role and local authorization, arrange the appropriate emergency response, and document the risk assessment, consultation, actions, notifications, and disposition.</w:t>
            </w:r>
          </w:p>
        </w:tc>
        <w:tc>
          <w:tcPr>
            <w:tcW w:type="dxa" w:w="2520"/>
            <w:vAlign w:val="top"/>
            <w:shd w:fill="F7F9FA"/>
          </w:tcPr>
          <w:p>
            <w:pPr>
              <w:spacing w:after="0"/>
            </w:pPr>
            <w:r/>
            <w:r>
              <w:rPr>
                <w:rFonts w:ascii="Aptos" w:hAnsi="Aptos"/>
                <w:b w:val="0"/>
                <w:sz w:val="16"/>
              </w:rPr>
              <w:t>Separate: Immediate crisis protectionfromauthorization for ongoing nonemergency treatment Emergency action does not erase future consent responsibilities.</w:t>
            </w:r>
          </w:p>
        </w:tc>
      </w:tr>
      <w:tr>
        <w:tc>
          <w:tcPr>
            <w:tcW w:type="dxa" w:w="2376"/>
            <w:vAlign w:val="top"/>
          </w:tcPr>
          <w:p>
            <w:pPr>
              <w:spacing w:after="0"/>
            </w:pPr>
            <w:r/>
            <w:r>
              <w:rPr>
                <w:rFonts w:ascii="Aptos" w:hAnsi="Aptos"/>
                <w:b/>
                <w:sz w:val="16"/>
              </w:rPr>
              <w:t>Parent Decision and Caregiver Affidavit</w:t>
            </w:r>
          </w:p>
        </w:tc>
        <w:tc>
          <w:tcPr>
            <w:tcW w:type="dxa" w:w="5256"/>
            <w:vAlign w:val="top"/>
          </w:tcPr>
          <w:p>
            <w:pPr>
              <w:spacing w:after="0"/>
            </w:pPr>
            <w:r/>
            <w:r>
              <w:rPr>
                <w:rFonts w:ascii="Aptos" w:hAnsi="Aptos"/>
                <w:b w:val="0"/>
                <w:sz w:val="16"/>
              </w:rPr>
              <w:t>A qualifying relative caregiver with a properly completed affidavit may possess authority comparable to a guardian’s authority to authorize medical care, including certain mental-health treatment. However, California law provides that the caregiver’s decision is superseded by a contrary decision from a parent or another person with legal custody, provided that contrary decision does not jeopardize the minor’s life, health, or safety. The therapist should document the communications and evaluate whether another lawful treatment basis, including independent minor consent, may apply.</w:t>
            </w:r>
          </w:p>
        </w:tc>
        <w:tc>
          <w:tcPr>
            <w:tcW w:type="dxa" w:w="2520"/>
            <w:vAlign w:val="top"/>
          </w:tcPr>
          <w:p>
            <w:pPr>
              <w:spacing w:after="0"/>
            </w:pPr>
            <w:r/>
            <w:r>
              <w:rPr>
                <w:rFonts w:ascii="Aptos" w:hAnsi="Aptos"/>
                <w:b w:val="0"/>
                <w:sz w:val="16"/>
              </w:rPr>
              <w:t>For caregiver affidavits, remember: Valid authority—but not necessarily superior to the legal custodian’s contrary decision.</w:t>
            </w:r>
          </w:p>
        </w:tc>
      </w:tr>
      <w:tr>
        <w:tc>
          <w:tcPr>
            <w:tcW w:type="dxa" w:w="2376"/>
            <w:vAlign w:val="top"/>
            <w:shd w:fill="F7F9FA"/>
          </w:tcPr>
          <w:p>
            <w:pPr>
              <w:spacing w:after="0"/>
            </w:pPr>
            <w:r/>
            <w:r>
              <w:rPr>
                <w:rFonts w:ascii="Aptos" w:hAnsi="Aptos"/>
                <w:b/>
                <w:sz w:val="16"/>
              </w:rPr>
              <w:t>Guardianship and Independent Minor Consent</w:t>
            </w:r>
          </w:p>
        </w:tc>
        <w:tc>
          <w:tcPr>
            <w:tcW w:type="dxa" w:w="5256"/>
            <w:vAlign w:val="top"/>
            <w:shd w:fill="F7F9FA"/>
          </w:tcPr>
          <w:p>
            <w:pPr>
              <w:spacing w:after="0"/>
            </w:pPr>
            <w:r/>
            <w:r>
              <w:rPr>
                <w:rFonts w:ascii="Aptos" w:hAnsi="Aptos"/>
                <w:b w:val="0"/>
                <w:sz w:val="16"/>
              </w:rPr>
              <w:t>A guardian generally has the same right as a parent with legal custody to consent to medical treatment for a ward. California Probate Code section 2353 also expressly states that guardian consent is not required when another law allows the minor to consent independently. The therapist must therefore identify the particular service and determine whether an independent-consent statute applies rather than assuming guardianship answers every consent question.</w:t>
            </w:r>
          </w:p>
        </w:tc>
        <w:tc>
          <w:tcPr>
            <w:tcW w:type="dxa" w:w="2520"/>
            <w:vAlign w:val="top"/>
            <w:shd w:fill="F7F9FA"/>
          </w:tcPr>
          <w:p>
            <w:pPr>
              <w:spacing w:after="0"/>
            </w:pPr>
            <w:r/>
            <w:r>
              <w:rPr>
                <w:rFonts w:ascii="Aptos" w:hAnsi="Aptos"/>
                <w:b w:val="0"/>
                <w:sz w:val="16"/>
              </w:rPr>
              <w:t>Ask two separate questions: What authority does the guardian possess? Does another law permit this minor to consent independently to this service?</w:t>
            </w:r>
          </w:p>
        </w:tc>
      </w:tr>
      <w:tr>
        <w:tc>
          <w:tcPr>
            <w:tcW w:type="dxa" w:w="2376"/>
            <w:vAlign w:val="top"/>
          </w:tcPr>
          <w:p>
            <w:pPr>
              <w:spacing w:after="0"/>
            </w:pPr>
            <w:r/>
            <w:r>
              <w:rPr>
                <w:rFonts w:ascii="Aptos" w:hAnsi="Aptos"/>
                <w:b/>
                <w:sz w:val="16"/>
              </w:rPr>
              <w:t>Comprehensive Minor-Consent Authority Analysis — Part 1 of 2</w:t>
            </w:r>
          </w:p>
        </w:tc>
        <w:tc>
          <w:tcPr>
            <w:tcW w:type="dxa" w:w="5256"/>
            <w:vAlign w:val="top"/>
          </w:tcPr>
          <w:p>
            <w:pPr>
              <w:spacing w:after="0"/>
            </w:pPr>
            <w:r/>
            <w:r>
              <w:rPr>
                <w:rFonts w:ascii="Aptos" w:hAnsi="Aptos"/>
                <w:b w:val="0"/>
                <w:sz w:val="16"/>
              </w:rPr>
              <w:t>The scenario contains multiple possible consent pathways, none of which should be assumed: The current custody order must be identified. Sole and joint legal custody confer different decision-making authority. Stepparent status and payment do not automatically establish authority. A valid caregiver affidavit or other authorization may be relevant. The minor may have an independent right to consent if the statutory requirements are satisfied. No emergency exists to justify bypassing the nonurgent analysis.</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Comprehensive Minor-Consent Authority Analysis — Part 2 of 2</w:t>
            </w:r>
          </w:p>
        </w:tc>
        <w:tc>
          <w:tcPr>
            <w:tcW w:type="dxa" w:w="5256"/>
            <w:vAlign w:val="top"/>
            <w:shd w:fill="F7F9FA"/>
          </w:tcPr>
          <w:p>
            <w:pPr>
              <w:spacing w:after="0"/>
            </w:pPr>
            <w:r/>
            <w:r>
              <w:rPr>
                <w:rFonts w:ascii="Aptos" w:hAnsi="Aptos"/>
                <w:b w:val="0"/>
                <w:sz w:val="16"/>
              </w:rPr>
              <w:t>California permits a minor aged 12 or older to consent to qualifying outpatient mental-health services when the attending professional determines that the minor is mature enough to participate intelligently. That possibility must be assessed separately from parental custody authority. The therapist should document the information reviewed, the professional determination, consultation, and the legal and clinical basis for proceeding or postponing treatment.</w:t>
            </w:r>
          </w:p>
        </w:tc>
        <w:tc>
          <w:tcPr>
            <w:tcW w:type="dxa" w:w="2520"/>
            <w:vAlign w:val="top"/>
            <w:shd w:fill="F7F9FA"/>
          </w:tcPr>
          <w:p>
            <w:pPr>
              <w:spacing w:after="0"/>
            </w:pPr>
            <w:r/>
            <w:r>
              <w:rPr>
                <w:rFonts w:ascii="Aptos" w:hAnsi="Aptos"/>
                <w:b w:val="0"/>
                <w:sz w:val="16"/>
              </w:rPr>
              <w:t>For a complex minor-consent question, use this sequence: Is there an emergency? What is the current custody or guardianship authority? Does another adult possess documented authority? May the minor consent independently? What limitations apply to the specific service? Was the analysis documented and consultation obtained when needed?</w:t>
            </w:r>
          </w:p>
        </w:tc>
      </w:tr>
    </w:tbl>
    <w:p>
      <w:pPr>
        <w:pStyle w:val="Heading2"/>
      </w:pPr>
      <w:r>
        <w:t>Exam Reasoning Checklist</w:t>
      </w:r>
    </w:p>
    <w:p>
      <w:pPr>
        <w:pStyle w:val="ListBullet"/>
        <w:spacing w:after="30"/>
      </w:pPr>
      <w:r>
        <w:t>Separate these facts: Who brought the minor?Who pays?Who has legal authority? Only the third question resolves consent authority.</w:t>
      </w:r>
    </w:p>
    <w:p>
      <w:pPr>
        <w:pStyle w:val="ListBullet"/>
        <w:spacing w:after="30"/>
      </w:pPr>
      <w:r>
        <w:t>When the stem mentions: Divorce Separation Joint custody A custody dispute A court order look for: Review the actual current order. Do not guess from labels such as “joint,” “primary,” or “custodial parent.”</w:t>
      </w:r>
    </w:p>
    <w:p>
      <w:pPr>
        <w:pStyle w:val="ListBullet"/>
        <w:spacing w:after="30"/>
      </w:pPr>
      <w:r>
        <w:t>Use this order of analysis: Read the custody order. Identify whether one or both parents must consent. Determine whether an independent minor-consent law applies. Consider emergencies separately. Document the legal and clinical basis for proceeding.</w:t>
      </w:r>
    </w:p>
    <w:p>
      <w:pPr>
        <w:pStyle w:val="ListBullet"/>
        <w:spacing w:after="30"/>
      </w:pPr>
      <w:r>
        <w:t>Keep these concepts separate: Physical custody = where and with whom the child livesLegal custody = who makes health, education, and welfare decisions</w:t>
      </w:r>
    </w:p>
    <w:p>
      <w:pPr>
        <w:pStyle w:val="ListBullet"/>
        <w:spacing w:after="30"/>
      </w:pPr>
      <w:r>
        <w:t>Do not memorize: Joint legal custody = both signatures every time Instead, read what the order says requires mutual consent.</w:t>
      </w:r>
    </w:p>
    <w:p>
      <w:pPr>
        <w:pStyle w:val="ListBullet"/>
        <w:spacing w:after="30"/>
      </w:pPr>
      <w:r>
        <w:t>When a nonparent relative brings a child to treatment, ask whether the person has: Guardianship authority A valid caregiver affidavit Written authorization Another recognized legal basis Do not decide from family relationship alone.</w:t>
      </w:r>
    </w:p>
    <w:p>
      <w:pPr>
        <w:pStyle w:val="ListBullet"/>
        <w:spacing w:after="30"/>
      </w:pPr>
      <w:r>
        <w:t>Never use these facts as substitutes for legal authority: The child lives with this parent This parent scheduled the appointment This parent pays This parent communicates more often</w:t>
      </w:r>
    </w:p>
    <w:p>
      <w:pPr>
        <w:pStyle w:val="ListBullet"/>
        <w:spacing w:after="30"/>
      </w:pPr>
      <w:r>
        <w:t>For guardianship questions, verify: Who was appointed + what type of guardianship + what powers were granted + whether limitations exist</w:t>
      </w:r>
    </w:p>
    <w:p>
      <w:pPr>
        <w:pStyle w:val="Heading2"/>
      </w:pPr>
      <w:r>
        <w:t>Chapter Rapid Review</w:t>
      </w:r>
    </w:p>
    <w:p>
      <w:r>
        <w:rPr>
          <w:b/>
        </w:rPr>
        <w:t xml:space="preserve">Know these concepts: </w:t>
      </w:r>
      <w:r>
        <w:t>Verifying Authority to Consent — Part 1 of 2; Verifying Authority to Consent — Part 2 of 2; Reviewing Custody Orders; Court Order Requiring Mutual Consent — Part 1 of 2; Court Order Requiring Mutual Consent — Part 2 of 2; Sole Legal Custody; One Parent Acting Under Joint Legal Custody; Caregiver’s Authorization Affidavit; Physical Custody Does Not Override Legal Custody; Court-Appointed Guardian; Conflicting Custody Documents; Parent Objection When One Parent May Act Alone — Part 1 of 2; Parent Objection When One Parent May Act Alone — Part 2 of 2; Payment Does Not Establish Consent Authority; Stepparent Authority; Documentation of Consent Authority; Emergency Safety Action vs. Routine Consent — Part 1 of 2; Emergency Safety Action vs. Routine Consent — Part 2 of 2; Parent Decision and Caregiver Affidavit; Guardianship and Independent Minor Consent; Comprehensive Minor-Consent Authority Analysis — Part 1 of 2; Comprehensive Minor-Consent Authority Analysis — Part 2 of 2</w:t>
      </w:r>
    </w:p>
    <w:p>
      <w:r>
        <w:br w:type="page"/>
      </w:r>
    </w:p>
    <w:p>
      <w:pPr>
        <w:pStyle w:val="Heading2"/>
      </w:pPr>
      <w:r>
        <w:t>Chapter 6</w:t>
      </w:r>
    </w:p>
    <w:p>
      <w:pPr>
        <w:pStyle w:val="Heading1"/>
      </w:pPr>
      <w:r>
        <w:t>Minor Consent Exceptions</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California Family Code section 6924 and Health and Safety Code section 124260 permit a minor who is 12 years of age or older to consent independently to qualifying outpatient mental-health treatment or counseling when, in the attending professional’s opinion, the minor is mature enough to participate intelligently in the services. This creates a potential legal basis for treatment without prior authorization from a parent or guardian. The therapist must still evaluate the statutory requirements and document the clinical and legal basis for proceeding. A. The statutory minimum age is 12, not 10. A request for confidentiality alone does not establish authority to consent. C. Emancipated minors may possess broader consent rights, but emancipation is not required under these particular minor-consent statutes. D. Independent consent does not depend on the parents being unavailable. The issue is whether the minor satisfies the statutory age and maturity requirements.</w:t>
            </w:r>
          </w:p>
        </w:tc>
      </w:tr>
    </w:tbl>
    <w:p>
      <w:pPr>
        <w:pStyle w:val="Heading2"/>
      </w:pPr>
      <w:r>
        <w:t>What to Learn</w:t>
      </w:r>
    </w:p>
    <w:p>
      <w:pPr>
        <w:pStyle w:val="ListBullet"/>
        <w:spacing w:after="30"/>
      </w:pPr>
      <w:r>
        <w:t>Explain and apply Basic Eligibility for Independent Minor Consent — Part 1 of 2.</w:t>
      </w:r>
    </w:p>
    <w:p>
      <w:pPr>
        <w:pStyle w:val="ListBullet"/>
        <w:spacing w:after="30"/>
      </w:pPr>
      <w:r>
        <w:t>Explain and apply Basic Eligibility for Independent Minor Consent — Part 2 of 2.</w:t>
      </w:r>
    </w:p>
    <w:p>
      <w:pPr>
        <w:pStyle w:val="ListBullet"/>
        <w:spacing w:after="30"/>
      </w:pPr>
      <w:r>
        <w:t>Explain and apply Removal of the Former Acuity Requirement — Part 1 of 2.</w:t>
      </w:r>
    </w:p>
    <w:p>
      <w:pPr>
        <w:pStyle w:val="ListBullet"/>
        <w:spacing w:after="30"/>
      </w:pPr>
      <w:r>
        <w:t>Explain and apply Removal of the Former Acuity Requirement — Part 2 of 2.</w:t>
      </w:r>
    </w:p>
    <w:p>
      <w:pPr>
        <w:pStyle w:val="ListBullet"/>
        <w:spacing w:after="30"/>
      </w:pPr>
      <w:r>
        <w:t>Explain and apply Professional Determination of Maturity — Part 1 of 3.</w:t>
      </w:r>
    </w:p>
    <w:p>
      <w:pPr>
        <w:pStyle w:val="ListBullet"/>
        <w:spacing w:after="30"/>
      </w:pPr>
      <w:r>
        <w:t>Explain and apply Professional Determination of Maturity — Part 2 of 3.</w:t>
      </w:r>
    </w:p>
    <w:p>
      <w:pPr>
        <w:pStyle w:val="ListBullet"/>
        <w:spacing w:after="30"/>
      </w:pPr>
      <w:r>
        <w:t>Explain and apply Professional Determination of Maturity — Part 3 of 3.</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Basic Eligibility for Independent Minor Consent — Part 1 of 2</w:t>
            </w:r>
          </w:p>
        </w:tc>
        <w:tc>
          <w:tcPr>
            <w:tcW w:type="dxa" w:w="5256"/>
            <w:vAlign w:val="top"/>
          </w:tcPr>
          <w:p>
            <w:pPr>
              <w:spacing w:after="0"/>
            </w:pPr>
            <w:r/>
            <w:r>
              <w:rPr>
                <w:rFonts w:ascii="Aptos" w:hAnsi="Aptos"/>
                <w:b w:val="0"/>
                <w:sz w:val="16"/>
              </w:rPr>
              <w:t>California Family Code section 6924 and Health and Safety Code section 124260 permit a minor who is 12 years of age or older to consent independently to qualifying outpatient mental-health treatment or counseling when, in the attending professional’s opinion, the minor is mature enough to participate intelligently in the services. This creates a potential legal basis for treatment without prior authorization from a parent or guardian. The therapist must still evaluate the statutory requirements and document the clinical and legal basis for proceeding. A. The statutory minimum age is 12, not 10.</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Basic Eligibility for Independent Minor Consent — Part 2 of 2</w:t>
            </w:r>
          </w:p>
        </w:tc>
        <w:tc>
          <w:tcPr>
            <w:tcW w:type="dxa" w:w="5256"/>
            <w:vAlign w:val="top"/>
            <w:shd w:fill="F7F9FA"/>
          </w:tcPr>
          <w:p>
            <w:pPr>
              <w:spacing w:after="0"/>
            </w:pPr>
            <w:r/>
            <w:r>
              <w:rPr>
                <w:rFonts w:ascii="Aptos" w:hAnsi="Aptos"/>
                <w:b w:val="0"/>
                <w:sz w:val="16"/>
              </w:rPr>
              <w:t>A request for confidentiality alone does not establish authority to consent. C. Emancipated minors may possess broader consent rights, but emancipation is not required under these particular minor-consent statutes. D. Independent consent does not depend on the parents being unavailable. The issue is whether the minor satisfies the statutory age and maturity requirements.</w:t>
            </w:r>
          </w:p>
        </w:tc>
        <w:tc>
          <w:tcPr>
            <w:tcW w:type="dxa" w:w="2520"/>
            <w:vAlign w:val="top"/>
            <w:shd w:fill="F7F9FA"/>
          </w:tcPr>
          <w:p>
            <w:pPr>
              <w:spacing w:after="0"/>
            </w:pPr>
            <w:r/>
            <w:r>
              <w:rPr>
                <w:rFonts w:ascii="Aptos" w:hAnsi="Aptos"/>
                <w:b w:val="0"/>
                <w:sz w:val="16"/>
              </w:rPr>
              <w:t>Memorize the core formula: Age 12 or older + mature enough to participate intelligently Do not add requirements that the current statute does not contain.</w:t>
            </w:r>
          </w:p>
        </w:tc>
      </w:tr>
      <w:tr>
        <w:tc>
          <w:tcPr>
            <w:tcW w:type="dxa" w:w="2376"/>
            <w:vAlign w:val="top"/>
          </w:tcPr>
          <w:p>
            <w:pPr>
              <w:spacing w:after="0"/>
            </w:pPr>
            <w:r/>
            <w:r>
              <w:rPr>
                <w:rFonts w:ascii="Aptos" w:hAnsi="Aptos"/>
                <w:b/>
                <w:sz w:val="16"/>
              </w:rPr>
              <w:t>Removal of the Former Acuity Requirement — Part 1 of 2</w:t>
            </w:r>
          </w:p>
        </w:tc>
        <w:tc>
          <w:tcPr>
            <w:tcW w:type="dxa" w:w="5256"/>
            <w:vAlign w:val="top"/>
          </w:tcPr>
          <w:p>
            <w:pPr>
              <w:spacing w:after="0"/>
            </w:pPr>
            <w:r/>
            <w:r>
              <w:rPr>
                <w:rFonts w:ascii="Aptos" w:hAnsi="Aptos"/>
                <w:b w:val="0"/>
                <w:sz w:val="16"/>
              </w:rPr>
              <w:t>Current California law no longer requires a minor to demonstrate that: The minor would present a danger of serious physical or mental harm without treatment, or The minor is an alleged victim of incest or child abuse Those former heightened criteria were removed from Family Code section 6924. Since July 1, 2024, a minor aged 12 or older may consent to qualifying outpatient mental-health treatment when the attending professional determines that the minor is mature enough to participate intelligently. A. Alleged abuse is no longer required for independent consent under this provision.</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Removal of the Former Acuity Requirement — Part 2 of 2</w:t>
            </w:r>
          </w:p>
        </w:tc>
        <w:tc>
          <w:tcPr>
            <w:tcW w:type="dxa" w:w="5256"/>
            <w:vAlign w:val="top"/>
            <w:shd w:fill="F7F9FA"/>
          </w:tcPr>
          <w:p>
            <w:pPr>
              <w:spacing w:after="0"/>
            </w:pPr>
            <w:r/>
            <w:r>
              <w:rPr>
                <w:rFonts w:ascii="Aptos" w:hAnsi="Aptos"/>
                <w:b w:val="0"/>
                <w:sz w:val="16"/>
              </w:rPr>
              <w:t>D. A predicted danger of serious harm is no longer part of the current eligibility standard. C. The law does not require the minor to seek parental consent and receive a refusal first.</w:t>
            </w:r>
          </w:p>
        </w:tc>
        <w:tc>
          <w:tcPr>
            <w:tcW w:type="dxa" w:w="2520"/>
            <w:vAlign w:val="top"/>
            <w:shd w:fill="F7F9FA"/>
          </w:tcPr>
          <w:p>
            <w:pPr>
              <w:spacing w:after="0"/>
            </w:pPr>
            <w:r/>
            <w:r>
              <w:rPr>
                <w:rFonts w:ascii="Aptos" w:hAnsi="Aptos"/>
                <w:b w:val="0"/>
                <w:sz w:val="16"/>
              </w:rPr>
              <w:t>An exam question may present the former law as a distractor. Under the current rule, do not require: Danger + abuse + parental refusal The controlling requirements are age and sufficient maturity.</w:t>
            </w:r>
          </w:p>
        </w:tc>
      </w:tr>
      <w:tr>
        <w:tc>
          <w:tcPr>
            <w:tcW w:type="dxa" w:w="2376"/>
            <w:vAlign w:val="top"/>
          </w:tcPr>
          <w:p>
            <w:pPr>
              <w:spacing w:after="0"/>
            </w:pPr>
            <w:r/>
            <w:r>
              <w:rPr>
                <w:rFonts w:ascii="Aptos" w:hAnsi="Aptos"/>
                <w:b/>
                <w:sz w:val="16"/>
              </w:rPr>
              <w:t>Professional Determination of Maturity — Part 1 of 3</w:t>
            </w:r>
          </w:p>
        </w:tc>
        <w:tc>
          <w:tcPr>
            <w:tcW w:type="dxa" w:w="5256"/>
            <w:vAlign w:val="top"/>
          </w:tcPr>
          <w:p>
            <w:pPr>
              <w:spacing w:after="0"/>
            </w:pPr>
            <w:r/>
            <w:r>
              <w:rPr>
                <w:rFonts w:ascii="Aptos" w:hAnsi="Aptos"/>
                <w:b w:val="0"/>
                <w:sz w:val="16"/>
              </w:rPr>
              <w:t>Reaching age 12 satisfies the statute’s minimum-age requirement, but it does not complete the analysis. The attending professional person must determine whether the particular minor is mature enough to participate intelligently in the outpatient mental-health treatment or counseling. The assessment should be connected to the actual treatment decision.</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Professional Determination of Maturity — Part 2 of 3</w:t>
            </w:r>
          </w:p>
        </w:tc>
        <w:tc>
          <w:tcPr>
            <w:tcW w:type="dxa" w:w="5256"/>
            <w:vAlign w:val="top"/>
            <w:shd w:fill="F7F9FA"/>
          </w:tcPr>
          <w:p>
            <w:pPr>
              <w:spacing w:after="0"/>
            </w:pPr>
            <w:r/>
            <w:r>
              <w:rPr>
                <w:rFonts w:ascii="Aptos" w:hAnsi="Aptos"/>
                <w:b w:val="0"/>
                <w:sz w:val="16"/>
              </w:rPr>
              <w:t>Relevant considerations may include whether the minor can: Understand the general nature and purpose of treatment Describe the concern for which services are requested Understand the expected process and significant limitations Ask meaningful questions Consider reasonably foreseeable consequences Communicate a consistent and voluntary treatment preference The statute does not prescribe a mechanical maturity test. The therapist should make an individualized professional determination and document the basis for the decision. B. Age 12 creates eligibility for assessment; it does not conclusively establish sufficient maturity. C.</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Professional Determination of Maturity — Part 3 of 3</w:t>
            </w:r>
          </w:p>
        </w:tc>
        <w:tc>
          <w:tcPr>
            <w:tcW w:type="dxa" w:w="5256"/>
            <w:vAlign w:val="top"/>
          </w:tcPr>
          <w:p>
            <w:pPr>
              <w:spacing w:after="0"/>
            </w:pPr>
            <w:r/>
            <w:r>
              <w:rPr>
                <w:rFonts w:ascii="Aptos" w:hAnsi="Aptos"/>
                <w:b w:val="0"/>
                <w:sz w:val="16"/>
              </w:rPr>
              <w:t>California law expressly allows some minors aged 12 or older to consent independently. D. A teacher may provide useful contextual information when disclosure is authorized, but the statute places the maturity determination with the attending professional.</w:t>
            </w:r>
          </w:p>
        </w:tc>
        <w:tc>
          <w:tcPr>
            <w:tcW w:type="dxa" w:w="2520"/>
            <w:vAlign w:val="top"/>
          </w:tcPr>
          <w:p>
            <w:pPr>
              <w:spacing w:after="0"/>
            </w:pPr>
            <w:r/>
            <w:r>
              <w:rPr>
                <w:rFonts w:ascii="Aptos" w:hAnsi="Aptos"/>
                <w:b w:val="0"/>
                <w:sz w:val="16"/>
              </w:rPr>
              <w:t>Distinguish: Old enough to be consideredfrommature enough to consent Age is objective. Maturity requires an individualized professional determination.</w:t>
            </w:r>
          </w:p>
        </w:tc>
      </w:tr>
      <w:tr>
        <w:tc>
          <w:tcPr>
            <w:tcW w:type="dxa" w:w="2376"/>
            <w:vAlign w:val="top"/>
            <w:shd w:fill="F7F9FA"/>
          </w:tcPr>
          <w:p>
            <w:pPr>
              <w:spacing w:after="0"/>
            </w:pPr>
            <w:r/>
            <w:r>
              <w:rPr>
                <w:rFonts w:ascii="Aptos" w:hAnsi="Aptos"/>
                <w:b/>
                <w:sz w:val="16"/>
              </w:rPr>
              <w:t>Parent or Guardian Involvement — Part 1 of 2</w:t>
            </w:r>
          </w:p>
        </w:tc>
        <w:tc>
          <w:tcPr>
            <w:tcW w:type="dxa" w:w="5256"/>
            <w:vAlign w:val="top"/>
            <w:shd w:fill="F7F9FA"/>
          </w:tcPr>
          <w:p>
            <w:pPr>
              <w:spacing w:after="0"/>
            </w:pPr>
            <w:r/>
            <w:r>
              <w:rPr>
                <w:rFonts w:ascii="Aptos" w:hAnsi="Aptos"/>
                <w:b w:val="0"/>
                <w:sz w:val="16"/>
              </w:rPr>
              <w:t>Independent minor consent and parent involvement are separate legal issues. California law provides that treatment authorized through the minor’s consent shall include involvement of the parent or guardian unless the treating professional, after consulting with the minor, determines that involvement would be inappropriate. The therapist should therefore: Consult with the minor. Consider the circumstances and potential effects of involvement. Make an individualized professional determination. Document the determination and the required contact information. A. Independent consent does not automatically require excluding the parent or guardian. B.</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Parent or Guardian Involvement — Part 2 of 2</w:t>
            </w:r>
          </w:p>
        </w:tc>
        <w:tc>
          <w:tcPr>
            <w:tcW w:type="dxa" w:w="5256"/>
            <w:vAlign w:val="top"/>
          </w:tcPr>
          <w:p>
            <w:pPr>
              <w:spacing w:after="0"/>
            </w:pPr>
            <w:r/>
            <w:r>
              <w:rPr>
                <w:rFonts w:ascii="Aptos" w:hAnsi="Aptos"/>
                <w:b w:val="0"/>
                <w:sz w:val="16"/>
              </w:rPr>
              <w:t>The minor’s qualifying consent provides the legal basis for outpatient treatment. Parent involvement does not necessarily mean that the parent must supply the original treatment consent. D. The law does not permit the therapist simply to ignore the issue. The therapist must evaluate involvement after consulting with the minor.</w:t>
            </w:r>
          </w:p>
        </w:tc>
        <w:tc>
          <w:tcPr>
            <w:tcW w:type="dxa" w:w="2520"/>
            <w:vAlign w:val="top"/>
          </w:tcPr>
          <w:p>
            <w:pPr>
              <w:spacing w:after="0"/>
            </w:pPr>
            <w:r/>
            <w:r>
              <w:rPr>
                <w:rFonts w:ascii="Aptos" w:hAnsi="Aptos"/>
                <w:b w:val="0"/>
                <w:sz w:val="16"/>
              </w:rPr>
              <w:t>Do not confuse: Who consents to treatment?withShould the parent be involved? The minor may provide the consent while the therapist separately evaluates parent involvement.</w:t>
            </w:r>
          </w:p>
        </w:tc>
      </w:tr>
      <w:tr>
        <w:tc>
          <w:tcPr>
            <w:tcW w:type="dxa" w:w="2376"/>
            <w:vAlign w:val="top"/>
            <w:shd w:fill="F7F9FA"/>
          </w:tcPr>
          <w:p>
            <w:pPr>
              <w:spacing w:after="0"/>
            </w:pPr>
            <w:r/>
            <w:r>
              <w:rPr>
                <w:rFonts w:ascii="Aptos" w:hAnsi="Aptos"/>
                <w:b/>
                <w:sz w:val="16"/>
              </w:rPr>
              <w:t>Documentation of Parent Contact</w:t>
            </w:r>
          </w:p>
        </w:tc>
        <w:tc>
          <w:tcPr>
            <w:tcW w:type="dxa" w:w="5256"/>
            <w:vAlign w:val="top"/>
            <w:shd w:fill="F7F9FA"/>
          </w:tcPr>
          <w:p>
            <w:pPr>
              <w:spacing w:after="0"/>
            </w:pPr>
            <w:r/>
            <w:r>
              <w:rPr>
                <w:rFonts w:ascii="Aptos" w:hAnsi="Aptos"/>
                <w:b w:val="0"/>
                <w:sz w:val="16"/>
              </w:rPr>
              <w:t>California law requires the treating professional to state in the client record: Whether and when the therapist attempted to contact the parent or guardian Whether the attempt was successful or unsuccessful When the therapist determines that contact would be inappropriate, the record must instead state the reason supporting that professional determination. A. Documenting only the minor’s consent would omit the statutorily required parent-involvement analysis. C. An unsuccessful attempt must still be documented. D. Inability to reach a parent does not automatically establish that involvement would be inappropriate. These are different findings.</w:t>
            </w:r>
          </w:p>
        </w:tc>
        <w:tc>
          <w:tcPr>
            <w:tcW w:type="dxa" w:w="2520"/>
            <w:vAlign w:val="top"/>
            <w:shd w:fill="F7F9FA"/>
          </w:tcPr>
          <w:p>
            <w:pPr>
              <w:spacing w:after="0"/>
            </w:pPr>
            <w:r/>
            <w:r>
              <w:rPr>
                <w:rFonts w:ascii="Aptos" w:hAnsi="Aptos"/>
                <w:b w:val="0"/>
                <w:sz w:val="16"/>
              </w:rPr>
              <w:t>Memorize the documentation alternatives: Contact attempted: When, and whether successfulContact inappropriate: Why it was inappropriate</w:t>
            </w:r>
          </w:p>
        </w:tc>
      </w:tr>
      <w:tr>
        <w:tc>
          <w:tcPr>
            <w:tcW w:type="dxa" w:w="2376"/>
            <w:vAlign w:val="top"/>
          </w:tcPr>
          <w:p>
            <w:pPr>
              <w:spacing w:after="0"/>
            </w:pPr>
            <w:r/>
            <w:r>
              <w:rPr>
                <w:rFonts w:ascii="Aptos" w:hAnsi="Aptos"/>
                <w:b/>
                <w:sz w:val="16"/>
              </w:rPr>
              <w:t>Determining That Involvement Is Inappropriate — Part 1 of 2</w:t>
            </w:r>
          </w:p>
        </w:tc>
        <w:tc>
          <w:tcPr>
            <w:tcW w:type="dxa" w:w="5256"/>
            <w:vAlign w:val="top"/>
          </w:tcPr>
          <w:p>
            <w:pPr>
              <w:spacing w:after="0"/>
            </w:pPr>
            <w:r/>
            <w:r>
              <w:rPr>
                <w:rFonts w:ascii="Aptos" w:hAnsi="Aptos"/>
                <w:b w:val="0"/>
                <w:sz w:val="16"/>
              </w:rPr>
              <w:t>The therapist must consult with the minor before determining that parent or guardian involvement would be inappropriate. The determination should be individualized and based on the circumstances rather than on an automatic rule. When the therapist concludes that contact or involvement would be inappropriate, the reason must be stated in the client record. A. Immediate contact could expose the minor to the very harm being evaluated. The statute requires consultation with the minor before the therapist makes the determination. B.</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Determining That Involvement Is Inappropriate — Part 2 of 2</w:t>
            </w:r>
          </w:p>
        </w:tc>
        <w:tc>
          <w:tcPr>
            <w:tcW w:type="dxa" w:w="5256"/>
            <w:vAlign w:val="top"/>
            <w:shd w:fill="F7F9FA"/>
          </w:tcPr>
          <w:p>
            <w:pPr>
              <w:spacing w:after="0"/>
            </w:pPr>
            <w:r/>
            <w:r>
              <w:rPr>
                <w:rFonts w:ascii="Aptos" w:hAnsi="Aptos"/>
                <w:b w:val="0"/>
                <w:sz w:val="16"/>
              </w:rPr>
              <w:t>The therapist should not make an unlimited promise before assessing the circumstances, applicable confidentiality limits, and future developments. C. The statute calls for a professional determination. It does not require the minor to prove future harm beyond all doubt.</w:t>
            </w:r>
          </w:p>
        </w:tc>
        <w:tc>
          <w:tcPr>
            <w:tcW w:type="dxa" w:w="2520"/>
            <w:vAlign w:val="top"/>
            <w:shd w:fill="F7F9FA"/>
          </w:tcPr>
          <w:p>
            <w:pPr>
              <w:spacing w:after="0"/>
            </w:pPr>
            <w:r/>
            <w:r>
              <w:rPr>
                <w:rFonts w:ascii="Aptos" w:hAnsi="Aptos"/>
                <w:b w:val="0"/>
                <w:sz w:val="16"/>
              </w:rPr>
              <w:t>When the minor raises a safety or treatment-access concern, choose: Consult → assess → determine → document Do not contact the parent automatically before completing the required analysis.</w:t>
            </w:r>
          </w:p>
        </w:tc>
      </w:tr>
      <w:tr>
        <w:tc>
          <w:tcPr>
            <w:tcW w:type="dxa" w:w="2376"/>
            <w:vAlign w:val="top"/>
          </w:tcPr>
          <w:p>
            <w:pPr>
              <w:spacing w:after="0"/>
            </w:pPr>
            <w:r/>
            <w:r>
              <w:rPr>
                <w:rFonts w:ascii="Aptos" w:hAnsi="Aptos"/>
                <w:b/>
                <w:sz w:val="16"/>
              </w:rPr>
              <w:t>Parent Financial Liability — Part 1 of 2</w:t>
            </w:r>
          </w:p>
        </w:tc>
        <w:tc>
          <w:tcPr>
            <w:tcW w:type="dxa" w:w="5256"/>
            <w:vAlign w:val="top"/>
          </w:tcPr>
          <w:p>
            <w:pPr>
              <w:spacing w:after="0"/>
            </w:pPr>
            <w:r/>
            <w:r>
              <w:rPr>
                <w:rFonts w:ascii="Aptos" w:hAnsi="Aptos"/>
                <w:b w:val="0"/>
                <w:sz w:val="16"/>
              </w:rPr>
              <w:t>Under California’s independent minor-consent provisions, a parent or guardian is not liable for payment for the outpatient mental-health treatment unless the parent or guardian participates in treatment. Even then, the statutory language limits potential liability to services rendered with that participation. The therapist should establish an appropriate payment arrangement before providing ongoing services and should not assume that parental status alone creates financial liability. B. The statute expressly rejects automatic parental liability in this context. C.</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Parent Financial Liability — Part 2 of 2</w:t>
            </w:r>
          </w:p>
        </w:tc>
        <w:tc>
          <w:tcPr>
            <w:tcW w:type="dxa" w:w="5256"/>
            <w:vAlign w:val="top"/>
            <w:shd w:fill="F7F9FA"/>
          </w:tcPr>
          <w:p>
            <w:pPr>
              <w:spacing w:after="0"/>
            </w:pPr>
            <w:r/>
            <w:r>
              <w:rPr>
                <w:rFonts w:ascii="Aptos" w:hAnsi="Aptos"/>
                <w:b w:val="0"/>
                <w:sz w:val="16"/>
              </w:rPr>
              <w:t>A minor’s authority to consent does not itself guarantee insurance coverage or authorize every possible insurance disclosure or claim. D. Billing decisions may disclose that the minor is receiving treatment and must be handled consistently with consent, confidentiality, and payment laws.</w:t>
            </w:r>
          </w:p>
        </w:tc>
        <w:tc>
          <w:tcPr>
            <w:tcW w:type="dxa" w:w="2520"/>
            <w:vAlign w:val="top"/>
            <w:shd w:fill="F7F9FA"/>
          </w:tcPr>
          <w:p>
            <w:pPr>
              <w:spacing w:after="0"/>
            </w:pPr>
            <w:r/>
            <w:r>
              <w:rPr>
                <w:rFonts w:ascii="Aptos" w:hAnsi="Aptos"/>
                <w:b w:val="0"/>
                <w:sz w:val="16"/>
              </w:rPr>
              <w:t>Remember: Authority to consent does not automatically determine who must pay. Consent, confidentiality, insurance coverage, and financial liability are related but separate issues.</w:t>
            </w:r>
          </w:p>
        </w:tc>
      </w:tr>
      <w:tr>
        <w:tc>
          <w:tcPr>
            <w:tcW w:type="dxa" w:w="2376"/>
            <w:vAlign w:val="top"/>
          </w:tcPr>
          <w:p>
            <w:pPr>
              <w:spacing w:after="0"/>
            </w:pPr>
            <w:r/>
            <w:r>
              <w:rPr>
                <w:rFonts w:ascii="Aptos" w:hAnsi="Aptos"/>
                <w:b/>
                <w:sz w:val="16"/>
              </w:rPr>
              <w:t>Limits on Independent Minor Consent — Part 1 of 2</w:t>
            </w:r>
          </w:p>
        </w:tc>
        <w:tc>
          <w:tcPr>
            <w:tcW w:type="dxa" w:w="5256"/>
            <w:vAlign w:val="top"/>
          </w:tcPr>
          <w:p>
            <w:pPr>
              <w:spacing w:after="0"/>
            </w:pPr>
            <w:r/>
            <w:r>
              <w:rPr>
                <w:rFonts w:ascii="Aptos" w:hAnsi="Aptos"/>
                <w:b w:val="0"/>
                <w:sz w:val="16"/>
              </w:rPr>
              <w:t>California’s independent minor-consent statutes authorize qualifying outpatient mental-health treatment or counseling. They expressly do not authorize the minor to receive psychotropic medication without parent or guardian consent. The statutes also do not authorize convulsive treatment or psychosurgery based solely on the minor’s consent. A. Authority to consent to outpatient counseling is limited and does not automatically extend to every psychiatric service. B. Understanding medication risks does not eliminate the statutory requirement for parent or guardian consent under these provisions. D.</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Limits on Independent Minor Consent — Part 2 of 2</w:t>
            </w:r>
          </w:p>
        </w:tc>
        <w:tc>
          <w:tcPr>
            <w:tcW w:type="dxa" w:w="5256"/>
            <w:vAlign w:val="top"/>
            <w:shd w:fill="F7F9FA"/>
          </w:tcPr>
          <w:p>
            <w:pPr>
              <w:spacing w:after="0"/>
            </w:pPr>
            <w:r/>
            <w:r>
              <w:rPr>
                <w:rFonts w:ascii="Aptos" w:hAnsi="Aptos"/>
                <w:b w:val="0"/>
                <w:sz w:val="16"/>
              </w:rPr>
              <w:t>Clinical benefit alone does not create legal authority to provide a treatment excluded from the minor-consent statute.</w:t>
            </w:r>
          </w:p>
        </w:tc>
        <w:tc>
          <w:tcPr>
            <w:tcW w:type="dxa" w:w="2520"/>
            <w:vAlign w:val="top"/>
            <w:shd w:fill="F7F9FA"/>
          </w:tcPr>
          <w:p>
            <w:pPr>
              <w:spacing w:after="0"/>
            </w:pPr>
            <w:r/>
            <w:r>
              <w:rPr>
                <w:rFonts w:ascii="Aptos" w:hAnsi="Aptos"/>
                <w:b w:val="0"/>
                <w:sz w:val="16"/>
              </w:rPr>
              <w:t>Know the limitation list: No psychotropic drugs, convulsive treatment, or psychosurgery based solely on these minor-consent provisions.</w:t>
            </w:r>
          </w:p>
        </w:tc>
      </w:tr>
      <w:tr>
        <w:tc>
          <w:tcPr>
            <w:tcW w:type="dxa" w:w="2376"/>
            <w:vAlign w:val="top"/>
          </w:tcPr>
          <w:p>
            <w:pPr>
              <w:spacing w:after="0"/>
            </w:pPr>
            <w:r/>
            <w:r>
              <w:rPr>
                <w:rFonts w:ascii="Aptos" w:hAnsi="Aptos"/>
                <w:b/>
                <w:sz w:val="16"/>
              </w:rPr>
              <w:t>Trainee Notification of Supervisor — Part 1 of 2</w:t>
            </w:r>
          </w:p>
        </w:tc>
        <w:tc>
          <w:tcPr>
            <w:tcW w:type="dxa" w:w="5256"/>
            <w:vAlign w:val="top"/>
          </w:tcPr>
          <w:p>
            <w:pPr>
              <w:spacing w:after="0"/>
            </w:pPr>
            <w:r/>
            <w:r>
              <w:rPr>
                <w:rFonts w:ascii="Aptos" w:hAnsi="Aptos"/>
                <w:b w:val="0"/>
                <w:sz w:val="16"/>
              </w:rPr>
              <w:t>Health and Safety Code section 124260 requires a clinical counselor trainee who treats a qualifying self-consenting minor to notify the supervisor, or an available on-call supervisor, within 24 hours. If the trainee believes on initial assessment that the minor is a danger to self or others, supervisor notification is required immediately after the session.</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Trainee Notification of Supervisor — Part 2 of 2</w:t>
            </w:r>
          </w:p>
        </w:tc>
        <w:tc>
          <w:tcPr>
            <w:tcW w:type="dxa" w:w="5256"/>
            <w:vAlign w:val="top"/>
            <w:shd w:fill="F7F9FA"/>
          </w:tcPr>
          <w:p>
            <w:pPr>
              <w:spacing w:after="0"/>
            </w:pPr>
            <w:r/>
            <w:r>
              <w:rPr>
                <w:rFonts w:ascii="Aptos" w:hAnsi="Aptos"/>
                <w:b w:val="0"/>
                <w:sz w:val="16"/>
              </w:rPr>
              <w:t>The minor’s valid consent does not eliminate the trainee’s supervisor-notification obligation.</w:t>
            </w:r>
          </w:p>
        </w:tc>
        <w:tc>
          <w:tcPr>
            <w:tcW w:type="dxa" w:w="2520"/>
            <w:vAlign w:val="top"/>
            <w:shd w:fill="F7F9FA"/>
          </w:tcPr>
          <w:p>
            <w:pPr>
              <w:spacing w:after="0"/>
            </w:pPr>
            <w:r/>
            <w:r>
              <w:rPr>
                <w:rFonts w:ascii="Aptos" w:hAnsi="Aptos"/>
                <w:b w:val="0"/>
                <w:sz w:val="16"/>
              </w:rPr>
              <w:t>For trainees and interns, memorize: Ordinary case: Notify within 24 hours A higher-risk initial assessment creates a faster notification requirement.</w:t>
            </w:r>
          </w:p>
        </w:tc>
      </w:tr>
      <w:tr>
        <w:tc>
          <w:tcPr>
            <w:tcW w:type="dxa" w:w="2376"/>
            <w:vAlign w:val="top"/>
          </w:tcPr>
          <w:p>
            <w:pPr>
              <w:spacing w:after="0"/>
            </w:pPr>
            <w:r/>
            <w:r>
              <w:rPr>
                <w:rFonts w:ascii="Aptos" w:hAnsi="Aptos"/>
                <w:b/>
                <w:sz w:val="16"/>
              </w:rPr>
              <w:t>Immediate Supervisor Notification and Integrated Service Limits — Part 1 of 2</w:t>
            </w:r>
          </w:p>
        </w:tc>
        <w:tc>
          <w:tcPr>
            <w:tcW w:type="dxa" w:w="5256"/>
            <w:vAlign w:val="top"/>
          </w:tcPr>
          <w:p>
            <w:pPr>
              <w:spacing w:after="0"/>
            </w:pPr>
            <w:r/>
            <w:r>
              <w:rPr>
                <w:rFonts w:ascii="Aptos" w:hAnsi="Aptos"/>
                <w:b w:val="0"/>
                <w:sz w:val="16"/>
              </w:rPr>
              <w:t>When a covered trainee or intern believes, following the initial assessment, that the independently consenting minor is a danger to self or others, Health and Safety Code section 124260 requires notification of the supervisor or available on-call supervisor immediately after the treatment or counseling session. This requirement does not replace or narrow any other safety, reporting, consultation, or documentation responsibility imposed by law or professional practice. A. The ordinary 24-hour period does not apply when the initial assessment indicates danger to self or others. B.</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Immediate Supervisor Notification and Integrated Service Limits — Part 2 of 2</w:t>
            </w:r>
          </w:p>
        </w:tc>
        <w:tc>
          <w:tcPr>
            <w:tcW w:type="dxa" w:w="5256"/>
            <w:vAlign w:val="top"/>
            <w:shd w:fill="F7F9FA"/>
          </w:tcPr>
          <w:p>
            <w:pPr>
              <w:spacing w:after="0"/>
            </w:pPr>
            <w:r/>
            <w:r>
              <w:rPr>
                <w:rFonts w:ascii="Aptos" w:hAnsi="Aptos"/>
                <w:b w:val="0"/>
                <w:sz w:val="16"/>
              </w:rPr>
              <w:t>Parent involvement must be evaluated under the applicable legal framework, and contacting a parent alone may not adequately address an immediate safety concern. C. Waiting until routine supervision would violate the immediate-notification provision and could leave a serious risk insufficiently addressed.</w:t>
            </w:r>
          </w:p>
        </w:tc>
        <w:tc>
          <w:tcPr>
            <w:tcW w:type="dxa" w:w="2520"/>
            <w:vAlign w:val="top"/>
            <w:shd w:fill="F7F9FA"/>
          </w:tcPr>
          <w:p>
            <w:pPr>
              <w:spacing w:after="0"/>
            </w:pPr>
            <w:r/>
            <w:r>
              <w:rPr>
                <w:rFonts w:ascii="Aptos" w:hAnsi="Aptos"/>
                <w:b w:val="0"/>
                <w:sz w:val="16"/>
              </w:rPr>
              <w:t>For a trainee or intern treating a self-consenting minor: No danger identified: Notify within 24 hoursDanger identified at initial assessment: Notify immediately after the session</w:t>
            </w:r>
          </w:p>
        </w:tc>
      </w:tr>
      <w:tr>
        <w:tc>
          <w:tcPr>
            <w:tcW w:type="dxa" w:w="2376"/>
            <w:vAlign w:val="top"/>
          </w:tcPr>
          <w:p>
            <w:pPr>
              <w:spacing w:after="0"/>
            </w:pPr>
            <w:r/>
            <w:r>
              <w:rPr>
                <w:rFonts w:ascii="Aptos" w:hAnsi="Aptos"/>
                <w:b/>
                <w:sz w:val="16"/>
              </w:rPr>
              <w:t>Independent Consent Is Service-Specific — Part 1 of 2</w:t>
            </w:r>
          </w:p>
        </w:tc>
        <w:tc>
          <w:tcPr>
            <w:tcW w:type="dxa" w:w="5256"/>
            <w:vAlign w:val="top"/>
          </w:tcPr>
          <w:p>
            <w:pPr>
              <w:spacing w:after="0"/>
            </w:pPr>
            <w:r/>
            <w:r>
              <w:rPr>
                <w:rFonts w:ascii="Aptos" w:hAnsi="Aptos"/>
                <w:b w:val="0"/>
                <w:sz w:val="16"/>
              </w:rPr>
              <w:t>Family Code section 6924 and Health and Safety Code section 124260 create a service-specific consent right. They permit a qualifying minor to consent to defined outpatient mental-health treatment or counseling when the age and maturity requirements are satisfied. That authority does not, by itself: Emancipate the minor Grant all rights ordinarily associated with adulthood Authorize every medical or psychiatric procedure Eliminate the limitations expressly contained in the statutes The scope of consent must be evaluated separately for each service. A.</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Independent Consent Is Service-Specific — Part 2 of 2</w:t>
            </w:r>
          </w:p>
        </w:tc>
        <w:tc>
          <w:tcPr>
            <w:tcW w:type="dxa" w:w="5256"/>
            <w:vAlign w:val="top"/>
            <w:shd w:fill="F7F9FA"/>
          </w:tcPr>
          <w:p>
            <w:pPr>
              <w:spacing w:after="0"/>
            </w:pPr>
            <w:r/>
            <w:r>
              <w:rPr>
                <w:rFonts w:ascii="Aptos" w:hAnsi="Aptos"/>
                <w:b w:val="0"/>
                <w:sz w:val="16"/>
              </w:rPr>
              <w:t>Authority to consent to one category of services does not create general adult legal status. C. These statutes specifically do not authorize psychotropic medication without parent or guardian consent. D. A professional recommendation does not expand the minor’s legal authority beyond the services allowed by law.</w:t>
            </w:r>
          </w:p>
        </w:tc>
        <w:tc>
          <w:tcPr>
            <w:tcW w:type="dxa" w:w="2520"/>
            <w:vAlign w:val="top"/>
            <w:shd w:fill="F7F9FA"/>
          </w:tcPr>
          <w:p>
            <w:pPr>
              <w:spacing w:after="0"/>
            </w:pPr>
            <w:r/>
            <w:r>
              <w:rPr>
                <w:rFonts w:ascii="Aptos" w:hAnsi="Aptos"/>
                <w:b w:val="0"/>
                <w:sz w:val="16"/>
              </w:rPr>
              <w:t>Remember: Independent consent is specific—not universal. Always identify the particular service the minor is seeking.</w:t>
            </w:r>
          </w:p>
        </w:tc>
      </w:tr>
      <w:tr>
        <w:tc>
          <w:tcPr>
            <w:tcW w:type="dxa" w:w="2376"/>
            <w:vAlign w:val="top"/>
          </w:tcPr>
          <w:p>
            <w:pPr>
              <w:spacing w:after="0"/>
            </w:pPr>
            <w:r/>
            <w:r>
              <w:rPr>
                <w:rFonts w:ascii="Aptos" w:hAnsi="Aptos"/>
                <w:b/>
                <w:sz w:val="16"/>
              </w:rPr>
              <w:t>Minimum Age Requirement — Part 1 of 2</w:t>
            </w:r>
          </w:p>
        </w:tc>
        <w:tc>
          <w:tcPr>
            <w:tcW w:type="dxa" w:w="5256"/>
            <w:vAlign w:val="top"/>
          </w:tcPr>
          <w:p>
            <w:pPr>
              <w:spacing w:after="0"/>
            </w:pPr>
            <w:r/>
            <w:r>
              <w:rPr>
                <w:rFonts w:ascii="Aptos" w:hAnsi="Aptos"/>
                <w:b w:val="0"/>
                <w:sz w:val="16"/>
              </w:rPr>
              <w:t>The age and maturity requirements are both necessary. The minor must: Be 12 years of age or older, and Be determined by the attending professional to be mature enough to participate intelligently. An 11-year-old cannot rely on these specific statutes, regardless of apparent maturity. Another basis may still authorize care, such as parental consent, guardianship authority, another minor-consent statute applicable to a different service, or legally appropriate emergency intervention. A. Maturity does not replace the statutory minimum age. B. Requesting confidential treatment does not automatically create consent authority. D.</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Minimum Age Requirement — Part 2 of 2</w:t>
            </w:r>
          </w:p>
        </w:tc>
        <w:tc>
          <w:tcPr>
            <w:tcW w:type="dxa" w:w="5256"/>
            <w:vAlign w:val="top"/>
            <w:shd w:fill="F7F9FA"/>
          </w:tcPr>
          <w:p>
            <w:pPr>
              <w:spacing w:after="0"/>
            </w:pPr>
            <w:r/>
            <w:r>
              <w:rPr>
                <w:rFonts w:ascii="Aptos" w:hAnsi="Aptos"/>
                <w:b w:val="0"/>
                <w:sz w:val="16"/>
              </w:rPr>
              <w:t>A clinical maturity assessment cannot alter the minor’s chronological age.</w:t>
            </w:r>
          </w:p>
        </w:tc>
        <w:tc>
          <w:tcPr>
            <w:tcW w:type="dxa" w:w="2520"/>
            <w:vAlign w:val="top"/>
            <w:shd w:fill="F7F9FA"/>
          </w:tcPr>
          <w:p>
            <w:pPr>
              <w:spacing w:after="0"/>
            </w:pPr>
            <w:r/>
            <w:r>
              <w:rPr>
                <w:rFonts w:ascii="Aptos" w:hAnsi="Aptos"/>
                <w:b w:val="0"/>
                <w:sz w:val="16"/>
              </w:rPr>
              <w:t>The formula requires both elements: 12 or older + sufficient maturity Missing either one means these statutes do not provide the consent authority.</w:t>
            </w:r>
          </w:p>
        </w:tc>
      </w:tr>
      <w:tr>
        <w:tc>
          <w:tcPr>
            <w:tcW w:type="dxa" w:w="2376"/>
            <w:vAlign w:val="top"/>
          </w:tcPr>
          <w:p>
            <w:pPr>
              <w:spacing w:after="0"/>
            </w:pPr>
            <w:r/>
            <w:r>
              <w:rPr>
                <w:rFonts w:ascii="Aptos" w:hAnsi="Aptos"/>
                <w:b/>
                <w:sz w:val="16"/>
              </w:rPr>
              <w:t>Outpatient Services vs. Inpatient Hospitalization — Part 1 of 2</w:t>
            </w:r>
          </w:p>
        </w:tc>
        <w:tc>
          <w:tcPr>
            <w:tcW w:type="dxa" w:w="5256"/>
            <w:vAlign w:val="top"/>
          </w:tcPr>
          <w:p>
            <w:pPr>
              <w:spacing w:after="0"/>
            </w:pPr>
            <w:r/>
            <w:r>
              <w:rPr>
                <w:rFonts w:ascii="Aptos" w:hAnsi="Aptos"/>
                <w:b w:val="0"/>
                <w:sz w:val="16"/>
              </w:rPr>
              <w:t>The mental-health services authorized by Family Code section 6924 and Health and Safety Code section 124260 are defined as treatment or counseling provided on an outpatient basis. Family Code section 6924 also addresses defined temporary or emergency residential shelter services, but those services are not the same as inpatient psychiatric hospitalization. Therefore, these statutes alone do not supply the authority for voluntary inpatient psychiatric admission. The therapist must identify the legal requirements applicable to hospitalization and address any immediate safety concerns separately. B.</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Outpatient Services vs. Inpatient Hospitalization — Part 2 of 2</w:t>
            </w:r>
          </w:p>
        </w:tc>
        <w:tc>
          <w:tcPr>
            <w:tcW w:type="dxa" w:w="5256"/>
            <w:vAlign w:val="top"/>
            <w:shd w:fill="F7F9FA"/>
          </w:tcPr>
          <w:p>
            <w:pPr>
              <w:spacing w:after="0"/>
            </w:pPr>
            <w:r/>
            <w:r>
              <w:rPr>
                <w:rFonts w:ascii="Aptos" w:hAnsi="Aptos"/>
                <w:b w:val="0"/>
                <w:sz w:val="16"/>
              </w:rPr>
              <w:t>Outpatient consent does not create blanket authorization for a more restrictive level of care. C. A therapist’s clinical opinion does not replace the legal consent requirements for hospitalization. A. California does not create general inpatient psychiatric consent authority merely because a minor is over age 15.</w:t>
            </w:r>
          </w:p>
        </w:tc>
        <w:tc>
          <w:tcPr>
            <w:tcW w:type="dxa" w:w="2520"/>
            <w:vAlign w:val="top"/>
            <w:shd w:fill="F7F9FA"/>
          </w:tcPr>
          <w:p>
            <w:pPr>
              <w:spacing w:after="0"/>
            </w:pPr>
            <w:r/>
            <w:r>
              <w:rPr>
                <w:rFonts w:ascii="Aptos" w:hAnsi="Aptos"/>
                <w:b w:val="0"/>
                <w:sz w:val="16"/>
              </w:rPr>
              <w:t>Pay close attention to the level of care: Outpatient counseling ≠ inpatient hospitalization</w:t>
            </w:r>
          </w:p>
        </w:tc>
      </w:tr>
      <w:tr>
        <w:tc>
          <w:tcPr>
            <w:tcW w:type="dxa" w:w="2376"/>
            <w:vAlign w:val="top"/>
          </w:tcPr>
          <w:p>
            <w:pPr>
              <w:spacing w:after="0"/>
            </w:pPr>
            <w:r/>
            <w:r>
              <w:rPr>
                <w:rFonts w:ascii="Aptos" w:hAnsi="Aptos"/>
                <w:b/>
                <w:sz w:val="16"/>
              </w:rPr>
              <w:t>Professionals Authorized Under the Statute — Part 1 of 2</w:t>
            </w:r>
          </w:p>
        </w:tc>
        <w:tc>
          <w:tcPr>
            <w:tcW w:type="dxa" w:w="5256"/>
            <w:vAlign w:val="top"/>
          </w:tcPr>
          <w:p>
            <w:pPr>
              <w:spacing w:after="0"/>
            </w:pPr>
            <w:r/>
            <w:r>
              <w:rPr>
                <w:rFonts w:ascii="Aptos" w:hAnsi="Aptos"/>
                <w:b w:val="0"/>
                <w:sz w:val="16"/>
              </w:rPr>
              <w:t>Health and Safety Code section 124260 includes a registered APCC and a clinical counselor trainee within the definition of a professional person when working under the supervision required by LPCC law. A properly supervised APCC may serve as the attending professional for the statute's maturity determination, while still complying with supervision, scope, competence, documentation, parent-involvement, and other applicable requirements.</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Professionals Authorized Under the Statute — Part 2 of 2</w:t>
            </w:r>
          </w:p>
        </w:tc>
        <w:tc>
          <w:tcPr>
            <w:tcW w:type="dxa" w:w="5256"/>
            <w:vAlign w:val="top"/>
            <w:shd w:fill="F7F9FA"/>
          </w:tcPr>
          <w:p>
            <w:pPr>
              <w:spacing w:after="0"/>
            </w:pPr>
            <w:r/>
            <w:r>
              <w:rPr>
                <w:rFonts w:ascii="Aptos" w:hAnsi="Aptos"/>
                <w:b w:val="0"/>
                <w:sz w:val="16"/>
              </w:rPr>
              <w:t>The statute does not limit the maturity determination to independently licensed clinicians. C. The minor does not automatically have to wait solely because the attending clinician is a properly supervised associate.</w:t>
            </w:r>
          </w:p>
        </w:tc>
        <w:tc>
          <w:tcPr>
            <w:tcW w:type="dxa" w:w="2520"/>
            <w:vAlign w:val="top"/>
            <w:shd w:fill="F7F9FA"/>
          </w:tcPr>
          <w:p>
            <w:pPr>
              <w:spacing w:after="0"/>
            </w:pPr>
            <w:r/>
            <w:r>
              <w:rPr>
                <w:rFonts w:ascii="Aptos" w:hAnsi="Aptos"/>
                <w:b w:val="0"/>
                <w:sz w:val="16"/>
              </w:rPr>
              <w:t>Do not assume: Unlicensed = excluded from every statutory professional role Check whether the law expressly includes supervised associates, trainees, or interns.</w:t>
            </w:r>
          </w:p>
        </w:tc>
      </w:tr>
      <w:tr>
        <w:tc>
          <w:tcPr>
            <w:tcW w:type="dxa" w:w="2376"/>
            <w:vAlign w:val="top"/>
          </w:tcPr>
          <w:p>
            <w:pPr>
              <w:spacing w:after="0"/>
            </w:pPr>
            <w:r/>
            <w:r>
              <w:rPr>
                <w:rFonts w:ascii="Aptos" w:hAnsi="Aptos"/>
                <w:b/>
                <w:sz w:val="16"/>
              </w:rPr>
              <w:t>Scope of Parent Financial Liability — Part 1 of 2</w:t>
            </w:r>
          </w:p>
        </w:tc>
        <w:tc>
          <w:tcPr>
            <w:tcW w:type="dxa" w:w="5256"/>
            <w:vAlign w:val="top"/>
          </w:tcPr>
          <w:p>
            <w:pPr>
              <w:spacing w:after="0"/>
            </w:pPr>
            <w:r/>
            <w:r>
              <w:rPr>
                <w:rFonts w:ascii="Aptos" w:hAnsi="Aptos"/>
                <w:b w:val="0"/>
                <w:sz w:val="16"/>
              </w:rPr>
              <w:t>The statutes provide that a parent or guardian is not liable for payment for independently authorized outpatient mental-health treatment unless the parent or guardian participates in treatment—and then only for services rendered with that participation. Therefore, participation in one family session does not, under the statute alone, automatically create liability for unrelated individual sessions before or after that participation. A separate valid agreement to pay would require its own analysis. B. The statute limits potential liability to services rendered with the parent’s participation. C.</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Scope of Parent Financial Liability — Part 2 of 2</w:t>
            </w:r>
          </w:p>
        </w:tc>
        <w:tc>
          <w:tcPr>
            <w:tcW w:type="dxa" w:w="5256"/>
            <w:vAlign w:val="top"/>
            <w:shd w:fill="F7F9FA"/>
          </w:tcPr>
          <w:p>
            <w:pPr>
              <w:spacing w:after="0"/>
            </w:pPr>
            <w:r/>
            <w:r>
              <w:rPr>
                <w:rFonts w:ascii="Aptos" w:hAnsi="Aptos"/>
                <w:b w:val="0"/>
                <w:sz w:val="16"/>
              </w:rPr>
              <w:t>A parent may be liable for services in which the parent participates, subject to the circumstances and any applicable agreement. D. Financial responsibility is not conditioned on receiving the complete treatment record.</w:t>
            </w:r>
          </w:p>
        </w:tc>
        <w:tc>
          <w:tcPr>
            <w:tcW w:type="dxa" w:w="2520"/>
            <w:vAlign w:val="top"/>
            <w:shd w:fill="F7F9FA"/>
          </w:tcPr>
          <w:p>
            <w:pPr>
              <w:spacing w:after="0"/>
            </w:pPr>
            <w:r/>
            <w:r>
              <w:rPr>
                <w:rFonts w:ascii="Aptos" w:hAnsi="Aptos"/>
                <w:b w:val="0"/>
                <w:sz w:val="16"/>
              </w:rPr>
              <w:t>For parent payment questions, use the statutory language: Participates in treatment—and only for services rendered with that participation.</w:t>
            </w:r>
          </w:p>
        </w:tc>
      </w:tr>
      <w:tr>
        <w:tc>
          <w:tcPr>
            <w:tcW w:type="dxa" w:w="2376"/>
            <w:vAlign w:val="top"/>
          </w:tcPr>
          <w:p>
            <w:pPr>
              <w:spacing w:after="0"/>
            </w:pPr>
            <w:r/>
            <w:r>
              <w:rPr>
                <w:rFonts w:ascii="Aptos" w:hAnsi="Aptos"/>
                <w:b/>
                <w:sz w:val="16"/>
              </w:rPr>
              <w:t>Reassessing Parent Involvement — Part 1 of 2</w:t>
            </w:r>
          </w:p>
        </w:tc>
        <w:tc>
          <w:tcPr>
            <w:tcW w:type="dxa" w:w="5256"/>
            <w:vAlign w:val="top"/>
          </w:tcPr>
          <w:p>
            <w:pPr>
              <w:spacing w:after="0"/>
            </w:pPr>
            <w:r/>
            <w:r>
              <w:rPr>
                <w:rFonts w:ascii="Aptos" w:hAnsi="Aptos"/>
                <w:b w:val="0"/>
                <w:sz w:val="16"/>
              </w:rPr>
              <w:t>The parent-involvement determination should be individualized and connected to the current circumstances. California law requires parent or guardian involvement unless the treating professional, after consulting with the minor, determines that involvement would be inappropriate. A prior determination was appropriate based on the facts existing at that time, but it should not be treated as permanent when material circumstances change. The therapist should reassess the issue with the minor, plan any involvement carefully, and document the updated determination. A.</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Reassessing Parent Involvement — Part 2 of 2</w:t>
            </w:r>
          </w:p>
        </w:tc>
        <w:tc>
          <w:tcPr>
            <w:tcW w:type="dxa" w:w="5256"/>
            <w:vAlign w:val="top"/>
            <w:shd w:fill="F7F9FA"/>
          </w:tcPr>
          <w:p>
            <w:pPr>
              <w:spacing w:after="0"/>
            </w:pPr>
            <w:r/>
            <w:r>
              <w:rPr>
                <w:rFonts w:ascii="Aptos" w:hAnsi="Aptos"/>
                <w:b w:val="0"/>
                <w:sz w:val="16"/>
              </w:rPr>
              <w:t>The earlier decision does not permanently bar involvement when the clinical and safety circumstances have changed. B. Contacting the parent without first consulting the minor would disregard the statutory decision-making process and could create new treatment concerns. D. Parent participation does not automatically transfer treatment-consent authority away from a minor who validly consented under the statute.</w:t>
            </w:r>
          </w:p>
        </w:tc>
        <w:tc>
          <w:tcPr>
            <w:tcW w:type="dxa" w:w="2520"/>
            <w:vAlign w:val="top"/>
            <w:shd w:fill="F7F9FA"/>
          </w:tcPr>
          <w:p>
            <w:pPr>
              <w:spacing w:after="0"/>
            </w:pPr>
            <w:r/>
            <w:r>
              <w:rPr>
                <w:rFonts w:ascii="Aptos" w:hAnsi="Aptos"/>
                <w:b w:val="0"/>
                <w:sz w:val="16"/>
              </w:rPr>
              <w:t>Do not treat inappropriate involvement as an irreversible label. Use: Consult → reassess → define the role → document</w:t>
            </w:r>
          </w:p>
        </w:tc>
      </w:tr>
      <w:tr>
        <w:tc>
          <w:tcPr>
            <w:tcW w:type="dxa" w:w="2376"/>
            <w:vAlign w:val="top"/>
          </w:tcPr>
          <w:p>
            <w:pPr>
              <w:spacing w:after="0"/>
            </w:pPr>
            <w:r/>
            <w:r>
              <w:rPr>
                <w:rFonts w:ascii="Aptos" w:hAnsi="Aptos"/>
                <w:b/>
                <w:sz w:val="16"/>
              </w:rPr>
              <w:t>Minor Consent, Safety, Supervision, Parent Involvement, and Service Limits — Part 1 of 3</w:t>
            </w:r>
          </w:p>
        </w:tc>
        <w:tc>
          <w:tcPr>
            <w:tcW w:type="dxa" w:w="5256"/>
            <w:vAlign w:val="top"/>
          </w:tcPr>
          <w:p>
            <w:pPr>
              <w:spacing w:after="0"/>
            </w:pPr>
            <w:r/>
            <w:r>
              <w:rPr>
                <w:rFonts w:ascii="Aptos" w:hAnsi="Aptos"/>
                <w:b w:val="0"/>
                <w:sz w:val="16"/>
              </w:rPr>
              <w:t>Several requirements must be applied together. Independent consent: A minor aged 12 or older may consent to qualifying outpatient counseling when the attending professional determines that the minor is mature enough to participate intelligently. Immediate risk: The trainee must respond appropriately to the serious and immediate safety concern rather than treating the case as routine outpatient counseling.</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Minor Consent, Safety, Supervision, Parent Involvement, and Service Limits — Part 2 of 3</w:t>
            </w:r>
          </w:p>
        </w:tc>
        <w:tc>
          <w:tcPr>
            <w:tcW w:type="dxa" w:w="5256"/>
            <w:vAlign w:val="top"/>
            <w:shd w:fill="F7F9FA"/>
          </w:tcPr>
          <w:p>
            <w:pPr>
              <w:spacing w:after="0"/>
            </w:pPr>
            <w:r/>
            <w:r>
              <w:rPr>
                <w:rFonts w:ascii="Aptos" w:hAnsi="Aptos"/>
                <w:b w:val="0"/>
                <w:sz w:val="16"/>
              </w:rPr>
              <w:t>Supervisor notification: When a covered trainee or intern believes during the initial assessment that the minor is a danger to self or others, Health and Safety Code section 124260 requires notification of the supervisor—or an available on-call supervisor—immediately after the session. This requirement does not replace other reporting or safety responsibilities. Parent involvement: The trainee must consult with the minor and make an individualized determination. Routine involvement may be found inappropriate, although disclosures or protective actions required by the emergency must be evaluated separately.</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Minor Consent, Safety, Supervision, Parent Involvement, and Service Limits — Part 3 of 3</w:t>
            </w:r>
          </w:p>
        </w:tc>
        <w:tc>
          <w:tcPr>
            <w:tcW w:type="dxa" w:w="5256"/>
            <w:vAlign w:val="top"/>
          </w:tcPr>
          <w:p>
            <w:pPr>
              <w:spacing w:after="0"/>
            </w:pPr>
            <w:r/>
            <w:r>
              <w:rPr>
                <w:rFonts w:ascii="Aptos" w:hAnsi="Aptos"/>
                <w:b w:val="0"/>
                <w:sz w:val="16"/>
              </w:rPr>
              <w:t>Medication limitation: The minor-consent statutes do not authorize psychotropic medication without parent or guardian consent. B. The initial assessment indicates danger to self, triggering the immediate-after-session supervisor-notification requirement. Complete secrecy also cannot be promised in a serious safety emergency. C. Parent involvement should not be handled automatically without considering the credible retaliation concern. Contacting the parent alone may also be insufficient to address immediate suicide risk. D. Authority to consent to outpatient counseling does not include psychotropic medication under these statutes.</w:t>
            </w:r>
          </w:p>
        </w:tc>
        <w:tc>
          <w:tcPr>
            <w:tcW w:type="dxa" w:w="2520"/>
            <w:vAlign w:val="top"/>
          </w:tcPr>
          <w:p>
            <w:pPr>
              <w:spacing w:after="0"/>
            </w:pPr>
            <w:r/>
            <w:r>
              <w:rPr>
                <w:rFonts w:ascii="Aptos" w:hAnsi="Aptos"/>
                <w:b w:val="0"/>
                <w:sz w:val="16"/>
              </w:rPr>
              <w:t>For an integrated minor-consent question, separate each issue: Age and maturity Type of service Immediate safety Parent-involvement determination Supervisor notification Medication and other statutory exclusions Documentation</w:t>
            </w:r>
          </w:p>
        </w:tc>
      </w:tr>
    </w:tbl>
    <w:p>
      <w:pPr>
        <w:pStyle w:val="Heading2"/>
      </w:pPr>
      <w:r>
        <w:t>Exam Reasoning Checklist</w:t>
      </w:r>
    </w:p>
    <w:p>
      <w:pPr>
        <w:pStyle w:val="ListBullet"/>
        <w:spacing w:after="30"/>
      </w:pPr>
      <w:r>
        <w:t>Memorize the core formula: Age 12 or older + mature enough to participate intelligently Do not add requirements that the current statute does not contain.</w:t>
      </w:r>
    </w:p>
    <w:p>
      <w:pPr>
        <w:pStyle w:val="ListBullet"/>
        <w:spacing w:after="30"/>
      </w:pPr>
      <w:r>
        <w:t>An exam question may present the former law as a distractor. Under the current rule, do not require: Danger + abuse + parental refusal The controlling requirements are age and sufficient maturity.</w:t>
      </w:r>
    </w:p>
    <w:p>
      <w:pPr>
        <w:pStyle w:val="ListBullet"/>
        <w:spacing w:after="30"/>
      </w:pPr>
      <w:r>
        <w:t>Distinguish: Old enough to be consideredfrommature enough to consent Age is objective. Maturity requires an individualized professional determination.</w:t>
      </w:r>
    </w:p>
    <w:p>
      <w:pPr>
        <w:pStyle w:val="ListBullet"/>
        <w:spacing w:after="30"/>
      </w:pPr>
      <w:r>
        <w:t>Do not confuse: Who consents to treatment?withShould the parent be involved? The minor may provide the consent while the therapist separately evaluates parent involvement.</w:t>
      </w:r>
    </w:p>
    <w:p>
      <w:pPr>
        <w:pStyle w:val="ListBullet"/>
        <w:spacing w:after="30"/>
      </w:pPr>
      <w:r>
        <w:t>Memorize the documentation alternatives: Contact attempted: When, and whether successfulContact inappropriate: Why it was inappropriate</w:t>
      </w:r>
    </w:p>
    <w:p>
      <w:pPr>
        <w:pStyle w:val="ListBullet"/>
        <w:spacing w:after="30"/>
      </w:pPr>
      <w:r>
        <w:t>When the minor raises a safety or treatment-access concern, choose: Consult → assess → determine → document Do not contact the parent automatically before completing the required analysis.</w:t>
      </w:r>
    </w:p>
    <w:p>
      <w:pPr>
        <w:pStyle w:val="ListBullet"/>
        <w:spacing w:after="30"/>
      </w:pPr>
      <w:r>
        <w:t>Remember: Authority to consent does not automatically determine who must pay. Consent, confidentiality, insurance coverage, and financial liability are related but separate issues.</w:t>
      </w:r>
    </w:p>
    <w:p>
      <w:pPr>
        <w:pStyle w:val="ListBullet"/>
        <w:spacing w:after="30"/>
      </w:pPr>
      <w:r>
        <w:t>Know the limitation list: No psychotropic drugs, convulsive treatment, or psychosurgery based solely on these minor-consent provisions.</w:t>
      </w:r>
    </w:p>
    <w:p>
      <w:pPr>
        <w:pStyle w:val="Heading2"/>
      </w:pPr>
      <w:r>
        <w:t>Chapter Rapid Review</w:t>
      </w:r>
    </w:p>
    <w:p>
      <w:r>
        <w:rPr>
          <w:b/>
        </w:rPr>
        <w:t xml:space="preserve">Know these concepts: </w:t>
      </w:r>
      <w:r>
        <w:t>Basic Eligibility for Independent Minor Consent — Part 1 of 2; Basic Eligibility for Independent Minor Consent — Part 2 of 2; Removal of the Former Acuity Requirement — Part 1 of 2; Removal of the Former Acuity Requirement — Part 2 of 2; Professional Determination of Maturity — Part 1 of 3; Professional Determination of Maturity — Part 2 of 3; Professional Determination of Maturity — Part 3 of 3; Parent or Guardian Involvement — Part 1 of 2; Parent or Guardian Involvement — Part 2 of 2; Documentation of Parent Contact; Determining That Involvement Is Inappropriate — Part 1 of 2; Determining That Involvement Is Inappropriate — Part 2 of 2; Parent Financial Liability — Part 1 of 2; Parent Financial Liability — Part 2 of 2; Limits on Independent Minor Consent — Part 1 of 2; Limits on Independent Minor Consent — Part 2 of 2; Trainee Notification of Supervisor — Part 1 of 2; Trainee Notification of Supervisor — Part 2 of 2; Immediate Supervisor Notification and Integrated Service Limits — Part 1 of 2; Immediate Supervisor Notification and Integrated Service Limits — Part 2 of 2; Independent Consent Is Service-Specific — Part 1 of 2; Independent Consent Is Service-Specific — Part 2 of 2; Minimum Age Requirement — Part 1 of 2; Minimum Age Requirement — Part 2 of 2; Outpatient Services vs. Inpatient Hospitalization — Part 1 of 2; Outpatient Services vs. Inpatient Hospitalization — Part 2 of 2; Professionals Authorized Under the Statute — Part 1 of 2; Professionals Authorized Under the Statute — Part 2 of 2; Scope of Parent Financial Liability — Part 1 of 2; Scope of Parent Financial Liability — Part 2 of 2; Reassessing Parent Involvement — Part 1 of 2; Reassessing Parent Involvement — Part 2 of 2; Minor Consent, Safety, Supervision, Parent Involvement, and Service Limits — Part 1 of 3; Minor Consent, Safety, Supervision, Parent Involvement, and Service Limits — Part 2 of 3; Minor Consent, Safety, Supervision, Parent Involvement, and Service Limits — Part 3 of 3</w:t>
      </w:r>
    </w:p>
    <w:p>
      <w:r>
        <w:br w:type="page"/>
      </w:r>
    </w:p>
    <w:p>
      <w:pPr>
        <w:pStyle w:val="Heading2"/>
      </w:pPr>
      <w:r>
        <w:t>Chapter 7</w:t>
      </w:r>
    </w:p>
    <w:p>
      <w:pPr>
        <w:pStyle w:val="Heading1"/>
      </w:pPr>
      <w:r>
        <w:t>Working with Parents and Families</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The parent’s authority to consent establishes a lawful basis for beginning treatment, but it does not automatically answer every later question about confidentiality or access to treatment information. At the beginning of services, the therapist should clarify: The parent’s role in treatment The minor’s need for an appropriate degree of privacy What general information may be shared Circumstances in which safety or law may require disclosure How requests for records will be evaluated How family participation will be handled California law recognizes circumstances in which a minor’s representative is not entitled to inspect or copy the minor’s records. This confirms that parental authority and record access are not identical concepts. A.</w:t>
            </w:r>
          </w:p>
        </w:tc>
      </w:tr>
    </w:tbl>
    <w:p>
      <w:pPr>
        <w:pStyle w:val="Heading2"/>
      </w:pPr>
      <w:r>
        <w:t>What to Learn</w:t>
      </w:r>
    </w:p>
    <w:p>
      <w:pPr>
        <w:pStyle w:val="ListBullet"/>
        <w:spacing w:after="30"/>
      </w:pPr>
      <w:r>
        <w:t>Explain and apply Consent Authority vs. Confidentiality — Part 1 of 3.</w:t>
      </w:r>
    </w:p>
    <w:p>
      <w:pPr>
        <w:pStyle w:val="ListBullet"/>
        <w:spacing w:after="30"/>
      </w:pPr>
      <w:r>
        <w:t>Explain and apply Consent Authority vs. Confidentiality — Part 2 of 3.</w:t>
      </w:r>
    </w:p>
    <w:p>
      <w:pPr>
        <w:pStyle w:val="ListBullet"/>
        <w:spacing w:after="30"/>
      </w:pPr>
      <w:r>
        <w:t>Explain and apply Consent Authority vs. Confidentiality — Part 3 of 3.</w:t>
      </w:r>
    </w:p>
    <w:p>
      <w:pPr>
        <w:pStyle w:val="ListBullet"/>
        <w:spacing w:after="30"/>
      </w:pPr>
      <w:r>
        <w:t>Explain and apply Records from Independently Consented Treatment — Part 1 of 3.</w:t>
      </w:r>
    </w:p>
    <w:p>
      <w:pPr>
        <w:pStyle w:val="ListBullet"/>
        <w:spacing w:after="30"/>
      </w:pPr>
      <w:r>
        <w:t>Explain and apply Records from Independently Consented Treatment — Part 2 of 3.</w:t>
      </w:r>
    </w:p>
    <w:p>
      <w:pPr>
        <w:pStyle w:val="ListBullet"/>
        <w:spacing w:after="30"/>
      </w:pPr>
      <w:r>
        <w:t>Explain and apply Records from Independently Consented Treatment — Part 3 of 3.</w:t>
      </w:r>
    </w:p>
    <w:p>
      <w:pPr>
        <w:pStyle w:val="ListBullet"/>
        <w:spacing w:after="30"/>
      </w:pPr>
      <w:r>
        <w:t>Explain and apply Denying Parent Access to Protect the Minor or Treatment Relationship — Part 1 of 2.</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Consent Authority vs. Confidentiality — Part 1 of 3</w:t>
            </w:r>
          </w:p>
        </w:tc>
        <w:tc>
          <w:tcPr>
            <w:tcW w:type="dxa" w:w="5256"/>
            <w:vAlign w:val="top"/>
          </w:tcPr>
          <w:p>
            <w:pPr>
              <w:spacing w:after="0"/>
            </w:pPr>
            <w:r/>
            <w:r>
              <w:rPr>
                <w:rFonts w:ascii="Aptos" w:hAnsi="Aptos"/>
                <w:b w:val="0"/>
                <w:sz w:val="16"/>
              </w:rPr>
              <w:t>The parent’s authority to consent establishes a lawful basis for beginning treatment, but it does not automatically answer every later question about confidentiality or access to treatment information.</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Consent Authority vs. Confidentiality — Part 2 of 3</w:t>
            </w:r>
          </w:p>
        </w:tc>
        <w:tc>
          <w:tcPr>
            <w:tcW w:type="dxa" w:w="5256"/>
            <w:vAlign w:val="top"/>
            <w:shd w:fill="F7F9FA"/>
          </w:tcPr>
          <w:p>
            <w:pPr>
              <w:spacing w:after="0"/>
            </w:pPr>
            <w:r/>
            <w:r>
              <w:rPr>
                <w:rFonts w:ascii="Aptos" w:hAnsi="Aptos"/>
                <w:b w:val="0"/>
                <w:sz w:val="16"/>
              </w:rPr>
              <w:t>At the beginning of services, the therapist should clarify: The parent’s role in treatment The minor’s need for an appropriate degree of privacy What general information may be shared Circumstances in which safety or law may require disclosure How requests for records will be evaluated How family participation will be handled California law recognizes circumstances in which a minor’s representative is not entitled to inspect or copy the minor’s records. This confirms that parental authority and record access are not identical concepts. A.</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Consent Authority vs. Confidentiality — Part 3 of 3</w:t>
            </w:r>
          </w:p>
        </w:tc>
        <w:tc>
          <w:tcPr>
            <w:tcW w:type="dxa" w:w="5256"/>
            <w:vAlign w:val="top"/>
          </w:tcPr>
          <w:p>
            <w:pPr>
              <w:spacing w:after="0"/>
            </w:pPr>
            <w:r/>
            <w:r>
              <w:rPr>
                <w:rFonts w:ascii="Aptos" w:hAnsi="Aptos"/>
                <w:b w:val="0"/>
                <w:sz w:val="16"/>
              </w:rPr>
              <w:t>Consent authority does not create an unrestricted right to every statement, session detail, or record. C. An absolute secrecy promise may be inaccurate because disclosure may become necessary for safety, mandated reporting, treatment coordination, or another lawful reason. D. Parents may appropriately receive information or participate in treatment in many circumstances. The therapist should not replace an overbroad promise of access with an equally overbroad promise of exclusion.</w:t>
            </w:r>
          </w:p>
        </w:tc>
        <w:tc>
          <w:tcPr>
            <w:tcW w:type="dxa" w:w="2520"/>
            <w:vAlign w:val="top"/>
          </w:tcPr>
          <w:p>
            <w:pPr>
              <w:spacing w:after="0"/>
            </w:pPr>
            <w:r/>
            <w:r>
              <w:rPr>
                <w:rFonts w:ascii="Aptos" w:hAnsi="Aptos"/>
                <w:b w:val="0"/>
                <w:sz w:val="16"/>
              </w:rPr>
              <w:t>Keep these issues separate: Consent to treatment ≠ participation in treatment ≠ confidentiality ≠ record access A fact establishing one does not automatically decide the others.</w:t>
            </w:r>
          </w:p>
        </w:tc>
      </w:tr>
      <w:tr>
        <w:tc>
          <w:tcPr>
            <w:tcW w:type="dxa" w:w="2376"/>
            <w:vAlign w:val="top"/>
            <w:shd w:fill="F7F9FA"/>
          </w:tcPr>
          <w:p>
            <w:pPr>
              <w:spacing w:after="0"/>
            </w:pPr>
            <w:r/>
            <w:r>
              <w:rPr>
                <w:rFonts w:ascii="Aptos" w:hAnsi="Aptos"/>
                <w:b/>
                <w:sz w:val="16"/>
              </w:rPr>
              <w:t>Records from Independently Consented Treatment — Part 1 of 3</w:t>
            </w:r>
          </w:p>
        </w:tc>
        <w:tc>
          <w:tcPr>
            <w:tcW w:type="dxa" w:w="5256"/>
            <w:vAlign w:val="top"/>
            <w:shd w:fill="F7F9FA"/>
          </w:tcPr>
          <w:p>
            <w:pPr>
              <w:spacing w:after="0"/>
            </w:pPr>
            <w:r/>
            <w:r>
              <w:rPr>
                <w:rFonts w:ascii="Aptos" w:hAnsi="Aptos"/>
                <w:b w:val="0"/>
                <w:sz w:val="16"/>
              </w:rPr>
              <w:t>Health and Safety Code section 123115 provides that a minor’s representative is not entitled to inspect or obtain copies of records relating to specified services—including outpatient mental-health services under Family Code section 6924 and Health and Safety Code section 124260—when the minor had the mental capacity and met the minimum age for consenting to those services.</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Records from Independently Consented Treatment — Part 2 of 3</w:t>
            </w:r>
          </w:p>
        </w:tc>
        <w:tc>
          <w:tcPr>
            <w:tcW w:type="dxa" w:w="5256"/>
            <w:vAlign w:val="top"/>
          </w:tcPr>
          <w:p>
            <w:pPr>
              <w:spacing w:after="0"/>
            </w:pPr>
            <w:r/>
            <w:r>
              <w:rPr>
                <w:rFonts w:ascii="Aptos" w:hAnsi="Aptos"/>
                <w:b w:val="0"/>
                <w:sz w:val="16"/>
              </w:rPr>
              <w:t>The therapist should carefully distinguish the parent’s lack of an automatic inspection right from situations in which: The minor authorizes an appropriate disclosure Another law requires disclosure A safety emergency affects what information may be communicated A court order or other legal process requires separate analysis A. Minority alone does not give the parent an automatic right to records generated through services the minor lawfully authorized independently. B. Insurance involvement does not, by itself, override the statutory record-access restriction or authorize release of the complete record. D.</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Records from Independently Consented Treatment — Part 3 of 3</w:t>
            </w:r>
          </w:p>
        </w:tc>
        <w:tc>
          <w:tcPr>
            <w:tcW w:type="dxa" w:w="5256"/>
            <w:vAlign w:val="top"/>
            <w:shd w:fill="F7F9FA"/>
          </w:tcPr>
          <w:p>
            <w:pPr>
              <w:spacing w:after="0"/>
            </w:pPr>
            <w:r/>
            <w:r>
              <w:rPr>
                <w:rFonts w:ascii="Aptos" w:hAnsi="Aptos"/>
                <w:b w:val="0"/>
                <w:sz w:val="16"/>
              </w:rPr>
              <w:t>A parent’s promise regarding later use of the records does not create a legal entitlement to inspect or copy them.</w:t>
            </w:r>
          </w:p>
        </w:tc>
        <w:tc>
          <w:tcPr>
            <w:tcW w:type="dxa" w:w="2520"/>
            <w:vAlign w:val="top"/>
            <w:shd w:fill="F7F9FA"/>
          </w:tcPr>
          <w:p>
            <w:pPr>
              <w:spacing w:after="0"/>
            </w:pPr>
            <w:r/>
            <w:r>
              <w:rPr>
                <w:rFonts w:ascii="Aptos" w:hAnsi="Aptos"/>
                <w:b w:val="0"/>
                <w:sz w:val="16"/>
              </w:rPr>
              <w:t>When the minor consented independently, immediately examine: Who authorized the service—and who holds the corresponding record-access right? Do not assume that the parent’s relationship or payment role resolves the question.</w:t>
            </w:r>
          </w:p>
        </w:tc>
      </w:tr>
      <w:tr>
        <w:tc>
          <w:tcPr>
            <w:tcW w:type="dxa" w:w="2376"/>
            <w:vAlign w:val="top"/>
          </w:tcPr>
          <w:p>
            <w:pPr>
              <w:spacing w:after="0"/>
            </w:pPr>
            <w:r/>
            <w:r>
              <w:rPr>
                <w:rFonts w:ascii="Aptos" w:hAnsi="Aptos"/>
                <w:b/>
                <w:sz w:val="16"/>
              </w:rPr>
              <w:t>Denying Parent Access to Protect the Minor or Treatment Relationship — Part 1 of 2</w:t>
            </w:r>
          </w:p>
        </w:tc>
        <w:tc>
          <w:tcPr>
            <w:tcW w:type="dxa" w:w="5256"/>
            <w:vAlign w:val="top"/>
          </w:tcPr>
          <w:p>
            <w:pPr>
              <w:spacing w:after="0"/>
            </w:pPr>
            <w:r/>
            <w:r>
              <w:rPr>
                <w:rFonts w:ascii="Aptos" w:hAnsi="Aptos"/>
                <w:b w:val="0"/>
                <w:sz w:val="16"/>
              </w:rPr>
              <w:t>Health and Safety Code section 123115 states that a minor’s representative is not entitled to inspect or obtain copies of the minor’s patient records when the healthcare provider determines that access would have a detrimental effect on: The provider’s professional relationship with the minor The minor’s physical safety The minor’s psychological well-being The statute protects a provider’s decision unless it is found to have been made in bad faith.</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Denying Parent Access to Protect the Minor or Treatment Relationship — Part 2 of 2</w:t>
            </w:r>
          </w:p>
        </w:tc>
        <w:tc>
          <w:tcPr>
            <w:tcW w:type="dxa" w:w="5256"/>
            <w:vAlign w:val="top"/>
            <w:shd w:fill="F7F9FA"/>
          </w:tcPr>
          <w:p>
            <w:pPr>
              <w:spacing w:after="0"/>
            </w:pPr>
            <w:r/>
            <w:r>
              <w:rPr>
                <w:rFonts w:ascii="Aptos" w:hAnsi="Aptos"/>
                <w:b w:val="0"/>
                <w:sz w:val="16"/>
              </w:rPr>
              <w:t>The therapist should make an individualized assessment rather than relying on a general policy and should document the facts and professional reasoning supporting the response. B. The parent’s authority to authorize treatment does not override the statutory limitation on record access. C. Destroying records is not an appropriate response and would create serious record-retention and professional-conduct concerns. D. The statute calls for a provider determination based on the actual effect of access. It does not authorize automatic denial of every parental request.</w:t>
            </w:r>
          </w:p>
        </w:tc>
        <w:tc>
          <w:tcPr>
            <w:tcW w:type="dxa" w:w="2520"/>
            <w:vAlign w:val="top"/>
            <w:shd w:fill="F7F9FA"/>
          </w:tcPr>
          <w:p>
            <w:pPr>
              <w:spacing w:after="0"/>
            </w:pPr>
            <w:r/>
            <w:r>
              <w:rPr>
                <w:rFonts w:ascii="Aptos" w:hAnsi="Aptos"/>
                <w:b w:val="0"/>
                <w:sz w:val="16"/>
              </w:rPr>
              <w:t>Look for the statutory protection factors: Therapeutic relationshipPhysical safetyPsychological well-being The strongest answer uses an individualized, good-faith assessment, not an automatic rule.</w:t>
            </w:r>
          </w:p>
        </w:tc>
      </w:tr>
      <w:tr>
        <w:tc>
          <w:tcPr>
            <w:tcW w:type="dxa" w:w="2376"/>
            <w:vAlign w:val="top"/>
          </w:tcPr>
          <w:p>
            <w:pPr>
              <w:spacing w:after="0"/>
            </w:pPr>
            <w:r/>
            <w:r>
              <w:rPr>
                <w:rFonts w:ascii="Aptos" w:hAnsi="Aptos"/>
                <w:b/>
                <w:sz w:val="16"/>
              </w:rPr>
              <w:t>Noncustodial Parent Access to Records — Part 1 of 3</w:t>
            </w:r>
          </w:p>
        </w:tc>
        <w:tc>
          <w:tcPr>
            <w:tcW w:type="dxa" w:w="5256"/>
            <w:vAlign w:val="top"/>
          </w:tcPr>
          <w:p>
            <w:pPr>
              <w:spacing w:after="0"/>
            </w:pPr>
            <w:r/>
            <w:r>
              <w:rPr>
                <w:rFonts w:ascii="Aptos" w:hAnsi="Aptos"/>
                <w:b w:val="0"/>
                <w:sz w:val="16"/>
              </w:rPr>
              <w:t>California Family Code section 3025 provides that access to a minor child’s medical and other records may not be denied to a parent because that parent is not the custodial parent. Noncustodial status alone is therefore insufficient grounds for denial. That does not mean the therapist should release every record automatically.</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Noncustodial Parent Access to Records — Part 2 of 3</w:t>
            </w:r>
          </w:p>
        </w:tc>
        <w:tc>
          <w:tcPr>
            <w:tcW w:type="dxa" w:w="5256"/>
            <w:vAlign w:val="top"/>
            <w:shd w:fill="F7F9FA"/>
          </w:tcPr>
          <w:p>
            <w:pPr>
              <w:spacing w:after="0"/>
            </w:pPr>
            <w:r/>
            <w:r>
              <w:rPr>
                <w:rFonts w:ascii="Aptos" w:hAnsi="Aptos"/>
                <w:b w:val="0"/>
                <w:sz w:val="16"/>
              </w:rPr>
              <w:t>The therapist should still determine: Whether the requester retains parental rights Whether a court order limits access Whether the records relate to services the minor independently authorized Whether access would detrimentally affect the therapeutic relationship, physical safety, or psychological well-being Whether another confidentiality restriction applies Health and Safety Code section 123115 specifically identifies circumstances in which a minor’s representative is not entitled to inspect or copy the records. A. Physical-custody status does not, by itself, resolve record access. B.</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Noncustodial Parent Access to Records — Part 3 of 3</w:t>
            </w:r>
          </w:p>
        </w:tc>
        <w:tc>
          <w:tcPr>
            <w:tcW w:type="dxa" w:w="5256"/>
            <w:vAlign w:val="top"/>
          </w:tcPr>
          <w:p>
            <w:pPr>
              <w:spacing w:after="0"/>
            </w:pPr>
            <w:r/>
            <w:r>
              <w:rPr>
                <w:rFonts w:ascii="Aptos" w:hAnsi="Aptos"/>
                <w:b w:val="0"/>
                <w:sz w:val="16"/>
              </w:rPr>
              <w:t>Parental status does not create an unconditional right to every clinical note or record. Statutory exceptions must still be evaluated. D. The child may express concerns, but the child does not determine the father’s legal parental status.</w:t>
            </w:r>
          </w:p>
        </w:tc>
        <w:tc>
          <w:tcPr>
            <w:tcW w:type="dxa" w:w="2520"/>
            <w:vAlign w:val="top"/>
          </w:tcPr>
          <w:p>
            <w:pPr>
              <w:spacing w:after="0"/>
            </w:pPr>
            <w:r/>
            <w:r>
              <w:rPr>
                <w:rFonts w:ascii="Aptos" w:hAnsi="Aptos"/>
                <w:b w:val="0"/>
                <w:sz w:val="16"/>
              </w:rPr>
              <w:t>Do not assume: Noncustodial parent = no access Also do not assume: Parent = automatic access to everything Verify authority and then apply the record-specific exceptions.</w:t>
            </w:r>
          </w:p>
        </w:tc>
      </w:tr>
      <w:tr>
        <w:tc>
          <w:tcPr>
            <w:tcW w:type="dxa" w:w="2376"/>
            <w:vAlign w:val="top"/>
            <w:shd w:fill="F7F9FA"/>
          </w:tcPr>
          <w:p>
            <w:pPr>
              <w:spacing w:after="0"/>
            </w:pPr>
            <w:r/>
            <w:r>
              <w:rPr>
                <w:rFonts w:ascii="Aptos" w:hAnsi="Aptos"/>
                <w:b/>
                <w:sz w:val="16"/>
              </w:rPr>
              <w:t>Confidential Third-Party Information in the Record — Part 1 of 2</w:t>
            </w:r>
          </w:p>
        </w:tc>
        <w:tc>
          <w:tcPr>
            <w:tcW w:type="dxa" w:w="5256"/>
            <w:vAlign w:val="top"/>
            <w:shd w:fill="F7F9FA"/>
          </w:tcPr>
          <w:p>
            <w:pPr>
              <w:spacing w:after="0"/>
            </w:pPr>
            <w:r/>
            <w:r>
              <w:rPr>
                <w:rFonts w:ascii="Aptos" w:hAnsi="Aptos"/>
                <w:b w:val="0"/>
                <w:sz w:val="16"/>
              </w:rPr>
              <w:t>For purposes of California’s patient-record access law, “patient records” do not include information given in confidence to a healthcare provider by someone other than the patient or another healthcare provider. That material may be removed before records are inspected or copied. The therapist should identify the source and nature of the information rather than assuming that every piece of material maintained in the file must be disclosed. B. Information does not automatically become accessible merely because the therapist retained it in connection with treatment. C.</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Confidential Third-Party Information in the Record — Part 2 of 2</w:t>
            </w:r>
          </w:p>
        </w:tc>
        <w:tc>
          <w:tcPr>
            <w:tcW w:type="dxa" w:w="5256"/>
            <w:vAlign w:val="top"/>
          </w:tcPr>
          <w:p>
            <w:pPr>
              <w:spacing w:after="0"/>
            </w:pPr>
            <w:r/>
            <w:r>
              <w:rPr>
                <w:rFonts w:ascii="Aptos" w:hAnsi="Aptos"/>
                <w:b w:val="0"/>
                <w:sz w:val="16"/>
              </w:rPr>
              <w:t>Destroying the clinical record would be an improper response and could violate record-retention obligations. D. A third party may provide information in confidence. The therapist must analyze how California record-access law treats that material.</w:t>
            </w:r>
          </w:p>
        </w:tc>
        <w:tc>
          <w:tcPr>
            <w:tcW w:type="dxa" w:w="2520"/>
            <w:vAlign w:val="top"/>
          </w:tcPr>
          <w:p>
            <w:pPr>
              <w:spacing w:after="0"/>
            </w:pPr>
            <w:r/>
            <w:r>
              <w:rPr>
                <w:rFonts w:ascii="Aptos" w:hAnsi="Aptos"/>
                <w:b w:val="0"/>
                <w:sz w:val="16"/>
              </w:rPr>
              <w:t>When records contain information from someone other than the client, ask: Who supplied the information, and was it given in confidence?</w:t>
            </w:r>
          </w:p>
        </w:tc>
      </w:tr>
      <w:tr>
        <w:tc>
          <w:tcPr>
            <w:tcW w:type="dxa" w:w="2376"/>
            <w:vAlign w:val="top"/>
            <w:shd w:fill="F7F9FA"/>
          </w:tcPr>
          <w:p>
            <w:pPr>
              <w:spacing w:after="0"/>
            </w:pPr>
            <w:r/>
            <w:r>
              <w:rPr>
                <w:rFonts w:ascii="Aptos" w:hAnsi="Aptos"/>
                <w:b/>
                <w:sz w:val="16"/>
              </w:rPr>
              <w:t>Parent Progress Updates vs. Session Details — Part 1 of 2</w:t>
            </w:r>
          </w:p>
        </w:tc>
        <w:tc>
          <w:tcPr>
            <w:tcW w:type="dxa" w:w="5256"/>
            <w:vAlign w:val="top"/>
            <w:shd w:fill="F7F9FA"/>
          </w:tcPr>
          <w:p>
            <w:pPr>
              <w:spacing w:after="0"/>
            </w:pPr>
            <w:r/>
            <w:r>
              <w:rPr>
                <w:rFonts w:ascii="Aptos" w:hAnsi="Aptos"/>
                <w:b w:val="0"/>
                <w:sz w:val="16"/>
              </w:rPr>
              <w:t>Parent participation may support a minor’s treatment, but it does not automatically require unrestricted disclosure of every communication. The therapist should apply the confidentiality framework established at intake and consider: The purpose of the parent’s request The minor’s age and clinical circumstances The parent’s treatment role Any authorization or legal requirement Whether safety information must be communicated The potential effect on treatment California law expressly recognizes that parental record access and treatment authority are not unlimited, including when access would detrimentally affect the professional relationship or the minor’s well-being. A.</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Parent Progress Updates vs. Session Details — Part 2 of 2</w:t>
            </w:r>
          </w:p>
        </w:tc>
        <w:tc>
          <w:tcPr>
            <w:tcW w:type="dxa" w:w="5256"/>
            <w:vAlign w:val="top"/>
          </w:tcPr>
          <w:p>
            <w:pPr>
              <w:spacing w:after="0"/>
            </w:pPr>
            <w:r/>
            <w:r>
              <w:rPr>
                <w:rFonts w:ascii="Aptos" w:hAnsi="Aptos"/>
                <w:b w:val="0"/>
                <w:sz w:val="16"/>
              </w:rPr>
              <w:t>Authorizing treatment does not automatically entitle the parent to a verbatim report of every session. B. Complete exclusion may be inconsistent with the parent’s legitimate role and the treatment arrangement. C. A demanding parent request does not automatically require termination.</w:t>
            </w:r>
          </w:p>
        </w:tc>
        <w:tc>
          <w:tcPr>
            <w:tcW w:type="dxa" w:w="2520"/>
            <w:vAlign w:val="top"/>
          </w:tcPr>
          <w:p>
            <w:pPr>
              <w:spacing w:after="0"/>
            </w:pPr>
            <w:r/>
            <w:r>
              <w:rPr>
                <w:rFonts w:ascii="Aptos" w:hAnsi="Aptos"/>
                <w:b w:val="0"/>
                <w:sz w:val="16"/>
              </w:rPr>
              <w:t>For parent-update questions, the strongest answer usually avoids both extremes: Tell the parent everythingandTell the parent nothing Clarify the boundaries and disclose only what is properly authorized, required, or clinically appropriate.</w:t>
            </w:r>
          </w:p>
        </w:tc>
      </w:tr>
      <w:tr>
        <w:tc>
          <w:tcPr>
            <w:tcW w:type="dxa" w:w="2376"/>
            <w:vAlign w:val="top"/>
            <w:shd w:fill="F7F9FA"/>
          </w:tcPr>
          <w:p>
            <w:pPr>
              <w:spacing w:after="0"/>
            </w:pPr>
            <w:r/>
            <w:r>
              <w:rPr>
                <w:rFonts w:ascii="Aptos" w:hAnsi="Aptos"/>
                <w:b/>
                <w:sz w:val="16"/>
              </w:rPr>
              <w:t>Minor’s Right to Access Independently Authorized Records — Part 1 of 2</w:t>
            </w:r>
          </w:p>
        </w:tc>
        <w:tc>
          <w:tcPr>
            <w:tcW w:type="dxa" w:w="5256"/>
            <w:vAlign w:val="top"/>
            <w:shd w:fill="F7F9FA"/>
          </w:tcPr>
          <w:p>
            <w:pPr>
              <w:spacing w:after="0"/>
            </w:pPr>
            <w:r/>
            <w:r>
              <w:rPr>
                <w:rFonts w:ascii="Aptos" w:hAnsi="Aptos"/>
                <w:b w:val="0"/>
                <w:sz w:val="16"/>
              </w:rPr>
              <w:t>Health and Safety Code section 123110 gives a minor who is legally authorized to consent to treatment the right to inspect records pertaining to that type of healthcare. The right is connected to the specific services the minor was lawfully authorized to obtain. This mirrors the restriction on parental access: when the qualifying minor independently consented to the covered services, the parent is not automatically entitled to those records. A. California expressly recognizes record-access rights for minors authorized to consent to particular healthcare services. C.</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Minor’s Right to Access Independently Authorized Records — Part 2 of 2</w:t>
            </w:r>
          </w:p>
        </w:tc>
        <w:tc>
          <w:tcPr>
            <w:tcW w:type="dxa" w:w="5256"/>
            <w:vAlign w:val="top"/>
          </w:tcPr>
          <w:p>
            <w:pPr>
              <w:spacing w:after="0"/>
            </w:pPr>
            <w:r/>
            <w:r>
              <w:rPr>
                <w:rFonts w:ascii="Aptos" w:hAnsi="Aptos"/>
                <w:b w:val="0"/>
                <w:sz w:val="16"/>
              </w:rPr>
              <w:t>The minor—not merely the parent—may hold the access right for independently authorized treatment. D. The minor’s right concerns the minor’s own patient records, not records belonging to other family members.</w:t>
            </w:r>
          </w:p>
        </w:tc>
        <w:tc>
          <w:tcPr>
            <w:tcW w:type="dxa" w:w="2520"/>
            <w:vAlign w:val="top"/>
          </w:tcPr>
          <w:p>
            <w:pPr>
              <w:spacing w:after="0"/>
            </w:pPr>
            <w:r/>
            <w:r>
              <w:rPr>
                <w:rFonts w:ascii="Aptos" w:hAnsi="Aptos"/>
                <w:b w:val="0"/>
                <w:sz w:val="16"/>
              </w:rPr>
              <w:t>Connect the rights: Minor may lawfully consent to the service → minor may access records relating to that service</w:t>
            </w:r>
          </w:p>
        </w:tc>
      </w:tr>
      <w:tr>
        <w:tc>
          <w:tcPr>
            <w:tcW w:type="dxa" w:w="2376"/>
            <w:vAlign w:val="top"/>
            <w:shd w:fill="F7F9FA"/>
          </w:tcPr>
          <w:p>
            <w:pPr>
              <w:spacing w:after="0"/>
            </w:pPr>
            <w:r/>
            <w:r>
              <w:rPr>
                <w:rFonts w:ascii="Aptos" w:hAnsi="Aptos"/>
                <w:b/>
                <w:sz w:val="16"/>
              </w:rPr>
              <w:t>Limiting the Minor’s Own Access to Mental Health Records — Part 1 of 3</w:t>
            </w:r>
          </w:p>
        </w:tc>
        <w:tc>
          <w:tcPr>
            <w:tcW w:type="dxa" w:w="5256"/>
            <w:vAlign w:val="top"/>
            <w:shd w:fill="F7F9FA"/>
          </w:tcPr>
          <w:p>
            <w:pPr>
              <w:spacing w:after="0"/>
            </w:pPr>
            <w:r/>
            <w:r>
              <w:rPr>
                <w:rFonts w:ascii="Aptos" w:hAnsi="Aptos"/>
                <w:b w:val="0"/>
                <w:sz w:val="16"/>
              </w:rPr>
              <w:t>The rules governing the patient’s own request differ from the rules governing a parent’s request. When a provider determines that allowing the patient to inspect or receive mental-health records would create a substantial risk of significant adverse or detrimental consequences, California law permits the provider to decline direct access only if specific safeguards are followed.</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Limiting the Minor’s Own Access to Mental Health Records — Part 2 of 3</w:t>
            </w:r>
          </w:p>
        </w:tc>
        <w:tc>
          <w:tcPr>
            <w:tcW w:type="dxa" w:w="5256"/>
            <w:vAlign w:val="top"/>
          </w:tcPr>
          <w:p>
            <w:pPr>
              <w:spacing w:after="0"/>
            </w:pPr>
            <w:r/>
            <w:r>
              <w:rPr>
                <w:rFonts w:ascii="Aptos" w:hAnsi="Aptos"/>
                <w:b w:val="0"/>
                <w:sz w:val="16"/>
              </w:rPr>
              <w:t>These include: Making a written record of the request Recording the reason for refusal and the specific anticipated consequences Informing the patient of the refusal Informing the patient of the right to designate a qualifying licensed professional to inspect or receive the records The provider must also document whether the patient made such a request for professional review. A. An undocumented verbal denial does not satisfy the statutory procedure. B. The parent is not automatically entitled to records from independently consented treatment. D.</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Limiting the Minor’s Own Access to Mental Health Records — Part 3 of 3</w:t>
            </w:r>
          </w:p>
        </w:tc>
        <w:tc>
          <w:tcPr>
            <w:tcW w:type="dxa" w:w="5256"/>
            <w:vAlign w:val="top"/>
            <w:shd w:fill="F7F9FA"/>
          </w:tcPr>
          <w:p>
            <w:pPr>
              <w:spacing w:after="0"/>
            </w:pPr>
            <w:r/>
            <w:r>
              <w:rPr>
                <w:rFonts w:ascii="Aptos" w:hAnsi="Aptos"/>
                <w:b w:val="0"/>
                <w:sz w:val="16"/>
              </w:rPr>
              <w:t>Destroying portions of the record is not an appropriate method of limiting access.</w:t>
            </w:r>
          </w:p>
        </w:tc>
        <w:tc>
          <w:tcPr>
            <w:tcW w:type="dxa" w:w="2520"/>
            <w:vAlign w:val="top"/>
            <w:shd w:fill="F7F9FA"/>
          </w:tcPr>
          <w:p>
            <w:pPr>
              <w:spacing w:after="0"/>
            </w:pPr>
            <w:r/>
            <w:r>
              <w:rPr>
                <w:rFonts w:ascii="Aptos" w:hAnsi="Aptos"/>
                <w:b w:val="0"/>
                <w:sz w:val="16"/>
              </w:rPr>
              <w:t>Distinguish two different rules: Parent requests minor’s records: Apply section 123115(a)Patient requests own mental-health records: Apply section 123115(b) and its safeguards</w:t>
            </w:r>
          </w:p>
        </w:tc>
      </w:tr>
      <w:tr>
        <w:tc>
          <w:tcPr>
            <w:tcW w:type="dxa" w:w="2376"/>
            <w:vAlign w:val="top"/>
          </w:tcPr>
          <w:p>
            <w:pPr>
              <w:spacing w:after="0"/>
            </w:pPr>
            <w:r/>
            <w:r>
              <w:rPr>
                <w:rFonts w:ascii="Aptos" w:hAnsi="Aptos"/>
                <w:b/>
                <w:sz w:val="16"/>
              </w:rPr>
              <w:t>Dependency Removal and Parent Record Access — Part 1 of 2</w:t>
            </w:r>
          </w:p>
        </w:tc>
        <w:tc>
          <w:tcPr>
            <w:tcW w:type="dxa" w:w="5256"/>
            <w:vAlign w:val="top"/>
          </w:tcPr>
          <w:p>
            <w:pPr>
              <w:spacing w:after="0"/>
            </w:pPr>
            <w:r/>
            <w:r>
              <w:rPr>
                <w:rFonts w:ascii="Aptos" w:hAnsi="Aptos"/>
                <w:b w:val="0"/>
                <w:sz w:val="16"/>
              </w:rPr>
              <w:t>When a psychotherapist knows that a minor has been removed from a parent’s or guardian’s physical custody through the specified juvenile dependency proceedings, Health and Safety Code section 123116 prohibits the psychotherapist from allowing that parent or guardian to inspect or copy the minor’s mental-health records. The restriction does not apply when the juvenile court has issued an order authorizing access after finding that access would not be detrimental to the minor.</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Dependency Removal and Parent Record Access — Part 2 of 2</w:t>
            </w:r>
          </w:p>
        </w:tc>
        <w:tc>
          <w:tcPr>
            <w:tcW w:type="dxa" w:w="5256"/>
            <w:vAlign w:val="top"/>
            <w:shd w:fill="F7F9FA"/>
          </w:tcPr>
          <w:p>
            <w:pPr>
              <w:spacing w:after="0"/>
            </w:pPr>
            <w:r/>
            <w:r>
              <w:rPr>
                <w:rFonts w:ascii="Aptos" w:hAnsi="Aptos"/>
                <w:b w:val="0"/>
                <w:sz w:val="16"/>
              </w:rPr>
              <w:t>Even with such an order, the therapist retains the ability to deny access under Health and Safety Code section 123115 when the applicable detrimental-effect standard is satisfied. B. Biological parenthood does not override the specific dependency-record restriction. C. Section 123116 expressly applies notwithstanding Family Code section 3025. D. The minor cannot alter the juvenile court’s custody determination through a request to the therapist.</w:t>
            </w:r>
          </w:p>
        </w:tc>
        <w:tc>
          <w:tcPr>
            <w:tcW w:type="dxa" w:w="2520"/>
            <w:vAlign w:val="top"/>
            <w:shd w:fill="F7F9FA"/>
          </w:tcPr>
          <w:p>
            <w:pPr>
              <w:spacing w:after="0"/>
            </w:pPr>
            <w:r/>
            <w:r>
              <w:rPr>
                <w:rFonts w:ascii="Aptos" w:hAnsi="Aptos"/>
                <w:b w:val="0"/>
                <w:sz w:val="16"/>
              </w:rPr>
              <w:t>When the stem says the child was: Removed through dependency proceedings Placed in foster care Removed under Welfare and Institutions Code proceedings look for the special mental-health-record restriction and the possible need for a juvenile court order.</w:t>
            </w:r>
          </w:p>
        </w:tc>
      </w:tr>
      <w:tr>
        <w:tc>
          <w:tcPr>
            <w:tcW w:type="dxa" w:w="2376"/>
            <w:vAlign w:val="top"/>
          </w:tcPr>
          <w:p>
            <w:pPr>
              <w:spacing w:after="0"/>
            </w:pPr>
            <w:r/>
            <w:r>
              <w:rPr>
                <w:rFonts w:ascii="Aptos" w:hAnsi="Aptos"/>
                <w:b/>
                <w:sz w:val="16"/>
              </w:rPr>
              <w:t>Records Created Under Different Consent Arrangements — Part 1 of 3</w:t>
            </w:r>
          </w:p>
        </w:tc>
        <w:tc>
          <w:tcPr>
            <w:tcW w:type="dxa" w:w="5256"/>
            <w:vAlign w:val="top"/>
          </w:tcPr>
          <w:p>
            <w:pPr>
              <w:spacing w:after="0"/>
            </w:pPr>
            <w:r/>
            <w:r>
              <w:rPr>
                <w:rFonts w:ascii="Aptos" w:hAnsi="Aptos"/>
                <w:b w:val="0"/>
                <w:sz w:val="16"/>
              </w:rPr>
              <w:t>Different portions of the record may be governed by different access rules. For the parent-authorized treatment period, the therapist should not deny the father access solely because he is noncustodial. The therapist must verify his rights, review any relevant orders, and apply the detrimental-effect and other statutory restrictions. Family Code section 3025 protects a parent from denial based solely on noncustodial status.</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Records Created Under Different Consent Arrangements — Part 2 of 3</w:t>
            </w:r>
          </w:p>
        </w:tc>
        <w:tc>
          <w:tcPr>
            <w:tcW w:type="dxa" w:w="5256"/>
            <w:vAlign w:val="top"/>
            <w:shd w:fill="F7F9FA"/>
          </w:tcPr>
          <w:p>
            <w:pPr>
              <w:spacing w:after="0"/>
            </w:pPr>
            <w:r/>
            <w:r>
              <w:rPr>
                <w:rFonts w:ascii="Aptos" w:hAnsi="Aptos"/>
                <w:b w:val="0"/>
                <w:sz w:val="16"/>
              </w:rPr>
              <w:t>For the independently consented treatment period, Health and Safety Code section 123115 provides that the minor’s representative is not entitled to inspect or copy records relating to qualifying services the minor was legally authorized and sufficiently capable to consent to independently. The therapist should also consider confidential third-party material, verify the scope of the request, document the analysis, and obtain legal consultation when the records cannot be separated confidently. A. The legal basis under which each service was provided directly affects record-access rights. B.</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Records Created Under Different Consent Arrangements — Part 3 of 3</w:t>
            </w:r>
          </w:p>
        </w:tc>
        <w:tc>
          <w:tcPr>
            <w:tcW w:type="dxa" w:w="5256"/>
            <w:vAlign w:val="top"/>
          </w:tcPr>
          <w:p>
            <w:pPr>
              <w:spacing w:after="0"/>
            </w:pPr>
            <w:r/>
            <w:r>
              <w:rPr>
                <w:rFonts w:ascii="Aptos" w:hAnsi="Aptos"/>
                <w:b w:val="0"/>
                <w:sz w:val="16"/>
              </w:rPr>
              <w:t>Noncustodial status alone is not a sufficient basis for denying access to the parent-authorized portion. C. The independently consented records are the portion to which the parent ordinarily lacks an access right under section 123115(a)(3).</w:t>
            </w:r>
          </w:p>
        </w:tc>
        <w:tc>
          <w:tcPr>
            <w:tcW w:type="dxa" w:w="2520"/>
            <w:vAlign w:val="top"/>
          </w:tcPr>
          <w:p>
            <w:pPr>
              <w:spacing w:after="0"/>
            </w:pPr>
            <w:r/>
            <w:r>
              <w:rPr>
                <w:rFonts w:ascii="Aptos" w:hAnsi="Aptos"/>
                <w:b w:val="0"/>
                <w:sz w:val="16"/>
              </w:rPr>
              <w:t>For a record covering different treatment periods, do not treat the file as legally indivisible. Ask: Who authorized each service? What type of care was provided? Who holds the access right for that portion? Does a safety, therapeutic-relationship, court-order, or third-party-information restriction apply?</w:t>
            </w:r>
          </w:p>
        </w:tc>
      </w:tr>
      <w:tr>
        <w:tc>
          <w:tcPr>
            <w:tcW w:type="dxa" w:w="2376"/>
            <w:vAlign w:val="top"/>
            <w:shd w:fill="F7F9FA"/>
          </w:tcPr>
          <w:p>
            <w:pPr>
              <w:spacing w:after="0"/>
            </w:pPr>
            <w:r/>
            <w:r>
              <w:rPr>
                <w:rFonts w:ascii="Aptos" w:hAnsi="Aptos"/>
                <w:b/>
                <w:sz w:val="16"/>
              </w:rPr>
              <w:t>Disclosure to Family Members — Part 1 of 2</w:t>
            </w:r>
          </w:p>
        </w:tc>
        <w:tc>
          <w:tcPr>
            <w:tcW w:type="dxa" w:w="5256"/>
            <w:vAlign w:val="top"/>
            <w:shd w:fill="F7F9FA"/>
          </w:tcPr>
          <w:p>
            <w:pPr>
              <w:spacing w:after="0"/>
            </w:pPr>
            <w:r/>
            <w:r>
              <w:rPr>
                <w:rFonts w:ascii="Aptos" w:hAnsi="Aptos"/>
                <w:b w:val="0"/>
                <w:sz w:val="16"/>
              </w:rPr>
              <w:t>A family relationship alone does not authorize access to confidential treatment information. California generally prohibits a healthcare provider from disclosing a patient’s medical information without authorization unless a specific legal exception applies. The therapist should protect the minor’s confidentiality and avoid confirming even the existence of the therapeutic relationship when no lawful basis for disclosure has been established. A. Sibling status does not make the caller the minor’s legal representative. C. Confirming that the minor receives therapy is itself a disclosure of treatment information. D.</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Disclosure to Family Members — Part 2 of 2</w:t>
            </w:r>
          </w:p>
        </w:tc>
        <w:tc>
          <w:tcPr>
            <w:tcW w:type="dxa" w:w="5256"/>
            <w:vAlign w:val="top"/>
          </w:tcPr>
          <w:p>
            <w:pPr>
              <w:spacing w:after="0"/>
            </w:pPr>
            <w:r/>
            <w:r>
              <w:rPr>
                <w:rFonts w:ascii="Aptos" w:hAnsi="Aptos"/>
                <w:b w:val="0"/>
                <w:sz w:val="16"/>
              </w:rPr>
              <w:t>Genuine concern does not automatically establish legal authority to receive confidential information.</w:t>
            </w:r>
          </w:p>
        </w:tc>
        <w:tc>
          <w:tcPr>
            <w:tcW w:type="dxa" w:w="2520"/>
            <w:vAlign w:val="top"/>
          </w:tcPr>
          <w:p>
            <w:pPr>
              <w:spacing w:after="0"/>
            </w:pPr>
            <w:r/>
            <w:r>
              <w:rPr>
                <w:rFonts w:ascii="Aptos" w:hAnsi="Aptos"/>
                <w:b w:val="0"/>
                <w:sz w:val="16"/>
              </w:rPr>
              <w:t>Do not assume: Family member = authorized recipient Always identify the authorization, legal authority, or disclosure exception.</w:t>
            </w:r>
          </w:p>
        </w:tc>
      </w:tr>
      <w:tr>
        <w:tc>
          <w:tcPr>
            <w:tcW w:type="dxa" w:w="2376"/>
            <w:vAlign w:val="top"/>
            <w:shd w:fill="F7F9FA"/>
          </w:tcPr>
          <w:p>
            <w:pPr>
              <w:spacing w:after="0"/>
            </w:pPr>
            <w:r/>
            <w:r>
              <w:rPr>
                <w:rFonts w:ascii="Aptos" w:hAnsi="Aptos"/>
                <w:b/>
                <w:sz w:val="16"/>
              </w:rPr>
              <w:t>Minor Authorization for Release — Part 1 of 2</w:t>
            </w:r>
          </w:p>
        </w:tc>
        <w:tc>
          <w:tcPr>
            <w:tcW w:type="dxa" w:w="5256"/>
            <w:vAlign w:val="top"/>
            <w:shd w:fill="F7F9FA"/>
          </w:tcPr>
          <w:p>
            <w:pPr>
              <w:spacing w:after="0"/>
            </w:pPr>
            <w:r/>
            <w:r>
              <w:rPr>
                <w:rFonts w:ascii="Aptos" w:hAnsi="Aptos"/>
                <w:b w:val="0"/>
                <w:sz w:val="16"/>
              </w:rPr>
              <w:t>California permits a minor to sign an authorization for the release of medical information obtained during services to which that minor could lawfully consent. The authorization must satisfy the applicable requirements, including identifying the information, permitted recipient, authorized use, and expiration. The therapist should disclose only the information covered by the valid authorization. A. When the information arose from services the minor could lawfully authorize, the minor may sign the release. B. An authorization does not permit disclosure beyond its stated scope. D.</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Minor Authorization for Release — Part 2 of 2</w:t>
            </w:r>
          </w:p>
        </w:tc>
        <w:tc>
          <w:tcPr>
            <w:tcW w:type="dxa" w:w="5256"/>
            <w:vAlign w:val="top"/>
          </w:tcPr>
          <w:p>
            <w:pPr>
              <w:spacing w:after="0"/>
            </w:pPr>
            <w:r/>
            <w:r>
              <w:rPr>
                <w:rFonts w:ascii="Aptos" w:hAnsi="Aptos"/>
                <w:b w:val="0"/>
                <w:sz w:val="16"/>
              </w:rPr>
              <w:t>Requiring the parent’s signature would contradict the minor’s authority over information arising from independently authorized services.</w:t>
            </w:r>
          </w:p>
        </w:tc>
        <w:tc>
          <w:tcPr>
            <w:tcW w:type="dxa" w:w="2520"/>
            <w:vAlign w:val="top"/>
          </w:tcPr>
          <w:p>
            <w:pPr>
              <w:spacing w:after="0"/>
            </w:pPr>
            <w:r/>
            <w:r>
              <w:rPr>
                <w:rFonts w:ascii="Aptos" w:hAnsi="Aptos"/>
                <w:b w:val="0"/>
                <w:sz w:val="16"/>
              </w:rPr>
              <w:t>Connect the two rights: Minor may consent to the service → minor may authorize release of information from that service</w:t>
            </w:r>
          </w:p>
        </w:tc>
      </w:tr>
      <w:tr>
        <w:tc>
          <w:tcPr>
            <w:tcW w:type="dxa" w:w="2376"/>
            <w:vAlign w:val="top"/>
            <w:shd w:fill="F7F9FA"/>
          </w:tcPr>
          <w:p>
            <w:pPr>
              <w:spacing w:after="0"/>
            </w:pPr>
            <w:r/>
            <w:r>
              <w:rPr>
                <w:rFonts w:ascii="Aptos" w:hAnsi="Aptos"/>
                <w:b/>
                <w:sz w:val="16"/>
              </w:rPr>
              <w:t>Family Participation Does Not Create Record-Access Rights — Part 1 of 2</w:t>
            </w:r>
          </w:p>
        </w:tc>
        <w:tc>
          <w:tcPr>
            <w:tcW w:type="dxa" w:w="5256"/>
            <w:vAlign w:val="top"/>
            <w:shd w:fill="F7F9FA"/>
          </w:tcPr>
          <w:p>
            <w:pPr>
              <w:spacing w:after="0"/>
            </w:pPr>
            <w:r/>
            <w:r>
              <w:rPr>
                <w:rFonts w:ascii="Aptos" w:hAnsi="Aptos"/>
                <w:b w:val="0"/>
                <w:sz w:val="16"/>
              </w:rPr>
              <w:t>Participating in treatment does not automatically establish legal authority over the client or create a right to inspect the client’s records. California’s patient-record law generally defines a minor’s representative as the minor’s parent or guardian—not every relative or treatment participant. The therapist should separately evaluate whether information specifically concerning the sister may be addressed, but her participation does not provide access to the minor’s complete record. B. Attendance at one session is not equivalent to legal representation or record-access authority. C.</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Family Participation Does Not Create Record-Access Rights — Part 2 of 2</w:t>
            </w:r>
          </w:p>
        </w:tc>
        <w:tc>
          <w:tcPr>
            <w:tcW w:type="dxa" w:w="5256"/>
            <w:vAlign w:val="top"/>
          </w:tcPr>
          <w:p>
            <w:pPr>
              <w:spacing w:after="0"/>
            </w:pPr>
            <w:r/>
            <w:r>
              <w:rPr>
                <w:rFonts w:ascii="Aptos" w:hAnsi="Aptos"/>
                <w:b w:val="0"/>
                <w:sz w:val="16"/>
              </w:rPr>
              <w:t>Guardianship is a legal status and cannot be created merely through family-session participation. D. Being mentioned in a record does not give a person the right to obtain the entire file.</w:t>
            </w:r>
          </w:p>
        </w:tc>
        <w:tc>
          <w:tcPr>
            <w:tcW w:type="dxa" w:w="2520"/>
            <w:vAlign w:val="top"/>
          </w:tcPr>
          <w:p>
            <w:pPr>
              <w:spacing w:after="0"/>
            </w:pPr>
            <w:r/>
            <w:r>
              <w:rPr>
                <w:rFonts w:ascii="Aptos" w:hAnsi="Aptos"/>
                <w:b w:val="0"/>
                <w:sz w:val="16"/>
              </w:rPr>
              <w:t>Distinguish: Participant in treatmentfromClient, legal representative, or authorized recipient</w:t>
            </w:r>
          </w:p>
        </w:tc>
      </w:tr>
      <w:tr>
        <w:tc>
          <w:tcPr>
            <w:tcW w:type="dxa" w:w="2376"/>
            <w:vAlign w:val="top"/>
            <w:shd w:fill="F7F9FA"/>
          </w:tcPr>
          <w:p>
            <w:pPr>
              <w:spacing w:after="0"/>
            </w:pPr>
            <w:r/>
            <w:r>
              <w:rPr>
                <w:rFonts w:ascii="Aptos" w:hAnsi="Aptos"/>
                <w:b/>
                <w:sz w:val="16"/>
              </w:rPr>
              <w:t>Record Access vs. Other Information Requests — Part 1 of 2</w:t>
            </w:r>
          </w:p>
        </w:tc>
        <w:tc>
          <w:tcPr>
            <w:tcW w:type="dxa" w:w="5256"/>
            <w:vAlign w:val="top"/>
            <w:shd w:fill="F7F9FA"/>
          </w:tcPr>
          <w:p>
            <w:pPr>
              <w:spacing w:after="0"/>
            </w:pPr>
            <w:r/>
            <w:r>
              <w:rPr>
                <w:rFonts w:ascii="Aptos" w:hAnsi="Aptos"/>
                <w:b w:val="0"/>
                <w:sz w:val="16"/>
              </w:rPr>
              <w:t>Health and Safety Code section 123115 addresses when a minor’s representative is not entitled to inspect or obtain copies of records. It should not be converted into a blanket rule prohibiting every form of parent communication. For a verbal update, the therapist must separately consider: Who authorized treatment The confidentiality arrangement The parent’s treatment role Any applicable authorization Whether disclosure is required or permitted by law Whether safety information must be communicated The amount of information reasonably necessary California generally requires authorization before medical information is disclosed unless a statutory exception applies.</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Record Access vs. Other Information Requests — Part 2 of 2</w:t>
            </w:r>
          </w:p>
        </w:tc>
        <w:tc>
          <w:tcPr>
            <w:tcW w:type="dxa" w:w="5256"/>
            <w:vAlign w:val="top"/>
          </w:tcPr>
          <w:p>
            <w:pPr>
              <w:spacing w:after="0"/>
            </w:pPr>
            <w:r/>
            <w:r>
              <w:rPr>
                <w:rFonts w:ascii="Aptos" w:hAnsi="Aptos"/>
                <w:b w:val="0"/>
                <w:sz w:val="16"/>
              </w:rPr>
              <w:t>A. The record-access statute does not prohibit all parent involvement or communication. C. Requesting information verbally does not create unlimited access to confidential session content. D. Confidentiality protections apply to medical information regardless of whether it is spoken, written, or electronically maintained.</w:t>
            </w:r>
          </w:p>
        </w:tc>
        <w:tc>
          <w:tcPr>
            <w:tcW w:type="dxa" w:w="2520"/>
            <w:vAlign w:val="top"/>
          </w:tcPr>
          <w:p>
            <w:pPr>
              <w:spacing w:after="0"/>
            </w:pPr>
            <w:r/>
            <w:r>
              <w:rPr>
                <w:rFonts w:ascii="Aptos" w:hAnsi="Aptos"/>
                <w:b w:val="0"/>
                <w:sz w:val="16"/>
              </w:rPr>
              <w:t>Ask exactly what the parent is requesting: Participation? A progress update? A release? Inspection? Copies? Different requests may require different legal analyses.</w:t>
            </w:r>
          </w:p>
        </w:tc>
      </w:tr>
      <w:tr>
        <w:tc>
          <w:tcPr>
            <w:tcW w:type="dxa" w:w="2376"/>
            <w:vAlign w:val="top"/>
            <w:shd w:fill="F7F9FA"/>
          </w:tcPr>
          <w:p>
            <w:pPr>
              <w:spacing w:after="0"/>
            </w:pPr>
            <w:r/>
            <w:r>
              <w:rPr>
                <w:rFonts w:ascii="Aptos" w:hAnsi="Aptos"/>
                <w:b/>
                <w:sz w:val="16"/>
              </w:rPr>
              <w:t>Valid Authorization by a Self-Consenting Minor — Part 1 of 2</w:t>
            </w:r>
          </w:p>
        </w:tc>
        <w:tc>
          <w:tcPr>
            <w:tcW w:type="dxa" w:w="5256"/>
            <w:vAlign w:val="top"/>
            <w:shd w:fill="F7F9FA"/>
          </w:tcPr>
          <w:p>
            <w:pPr>
              <w:spacing w:after="0"/>
            </w:pPr>
            <w:r/>
            <w:r>
              <w:rPr>
                <w:rFonts w:ascii="Aptos" w:hAnsi="Aptos"/>
                <w:b w:val="0"/>
                <w:sz w:val="16"/>
              </w:rPr>
              <w:t>The minor may authorize disclosure of information obtained during services to which the minor could lawfully consent. However, the authorization must satisfy statutory requirements. These include identifying: The types of information to be disclosed The provider permitted to disclose it The recipient The authorized uses and limitations An expiration date or event The authorization must also be signed, dated, and otherwise properly executed. A vague, unlimited, permanent release does not satisfy these safeguards. A. A signature alone does not cure missing statutory elements. B.</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Valid Authorization by a Self-Consenting Minor — Part 2 of 2</w:t>
            </w:r>
          </w:p>
        </w:tc>
        <w:tc>
          <w:tcPr>
            <w:tcW w:type="dxa" w:w="5256"/>
            <w:vAlign w:val="top"/>
          </w:tcPr>
          <w:p>
            <w:pPr>
              <w:spacing w:after="0"/>
            </w:pPr>
            <w:r/>
            <w:r>
              <w:rPr>
                <w:rFonts w:ascii="Aptos" w:hAnsi="Aptos"/>
                <w:b w:val="0"/>
                <w:sz w:val="16"/>
              </w:rPr>
              <w:t>An authorization must contain an appropriate expiration date or event rather than remaining indefinitely effective merely because the client is a minor. D. The parent ordinarily cannot authorize disclosure of information obtained during services the minor was legally entitled to consent to independently.</w:t>
            </w:r>
          </w:p>
        </w:tc>
        <w:tc>
          <w:tcPr>
            <w:tcW w:type="dxa" w:w="2520"/>
            <w:vAlign w:val="top"/>
          </w:tcPr>
          <w:p>
            <w:pPr>
              <w:spacing w:after="0"/>
            </w:pPr>
            <w:r/>
            <w:r>
              <w:rPr>
                <w:rFonts w:ascii="Aptos" w:hAnsi="Aptos"/>
                <w:b w:val="0"/>
                <w:sz w:val="16"/>
              </w:rPr>
              <w:t>A valid release is not just: “The client signed something.” Check scope, recipient, use, expiration, signature, and date.</w:t>
            </w:r>
          </w:p>
        </w:tc>
      </w:tr>
      <w:tr>
        <w:tc>
          <w:tcPr>
            <w:tcW w:type="dxa" w:w="2376"/>
            <w:vAlign w:val="top"/>
            <w:shd w:fill="F7F9FA"/>
          </w:tcPr>
          <w:p>
            <w:pPr>
              <w:spacing w:after="0"/>
            </w:pPr>
            <w:r/>
            <w:r>
              <w:rPr>
                <w:rFonts w:ascii="Aptos" w:hAnsi="Aptos"/>
                <w:b/>
                <w:sz w:val="16"/>
              </w:rPr>
              <w:t>Dependency Court Order and Continuing Therapist Authority — Part 1 of 3</w:t>
            </w:r>
          </w:p>
        </w:tc>
        <w:tc>
          <w:tcPr>
            <w:tcW w:type="dxa" w:w="5256"/>
            <w:vAlign w:val="top"/>
            <w:shd w:fill="F7F9FA"/>
          </w:tcPr>
          <w:p>
            <w:pPr>
              <w:spacing w:after="0"/>
            </w:pPr>
            <w:r/>
            <w:r>
              <w:rPr>
                <w:rFonts w:ascii="Aptos" w:hAnsi="Aptos"/>
                <w:b w:val="0"/>
                <w:sz w:val="16"/>
              </w:rPr>
              <w:t>When a minor has been removed through dependency proceedings, a parent ordinarily may not inspect or copy the minor’s mental-health records. A juvenile court may issue an order authorizing access after finding that access would not be detrimental.</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Dependency Court Order and Continuing Therapist Authority — Part 2 of 3</w:t>
            </w:r>
          </w:p>
        </w:tc>
        <w:tc>
          <w:tcPr>
            <w:tcW w:type="dxa" w:w="5256"/>
            <w:vAlign w:val="top"/>
          </w:tcPr>
          <w:p>
            <w:pPr>
              <w:spacing w:after="0"/>
            </w:pPr>
            <w:r/>
            <w:r>
              <w:rPr>
                <w:rFonts w:ascii="Aptos" w:hAnsi="Aptos"/>
                <w:b w:val="0"/>
                <w:sz w:val="16"/>
              </w:rPr>
              <w:t>However, Health and Safety Code section 123116 expressly preserves the therapist’s authority under section 123115 to deny the parent’s request when access would detrimentally affect: The therapist’s professional relationship with the minor The minor’s physical safety The minor’s psychological well-being The therapist should document the individualized good-faith basis for the decision and obtain legal consultation when necessary. A. The statute expressly preserves the therapist’s section 123115 authority even after the juvenile court authorizes access. B. The court order remains legally significant and should be reviewed rather than ignored. C.</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Dependency Court Order and Continuing Therapist Authority — Part 3 of 3</w:t>
            </w:r>
          </w:p>
        </w:tc>
        <w:tc>
          <w:tcPr>
            <w:tcW w:type="dxa" w:w="5256"/>
            <w:vAlign w:val="top"/>
            <w:shd w:fill="F7F9FA"/>
          </w:tcPr>
          <w:p>
            <w:pPr>
              <w:spacing w:after="0"/>
            </w:pPr>
            <w:r/>
            <w:r>
              <w:rPr>
                <w:rFonts w:ascii="Aptos" w:hAnsi="Aptos"/>
                <w:b w:val="0"/>
                <w:sz w:val="16"/>
              </w:rPr>
              <w:t>The minor’s preference may be clinically important, but the statutory question is based on the therapist’s good-faith professional determination—not solely on a verbal objection.</w:t>
            </w:r>
          </w:p>
        </w:tc>
        <w:tc>
          <w:tcPr>
            <w:tcW w:type="dxa" w:w="2520"/>
            <w:vAlign w:val="top"/>
            <w:shd w:fill="F7F9FA"/>
          </w:tcPr>
          <w:p>
            <w:pPr>
              <w:spacing w:after="0"/>
            </w:pPr>
            <w:r/>
            <w:r>
              <w:rPr>
                <w:rFonts w:ascii="Aptos" w:hAnsi="Aptos"/>
                <w:b w:val="0"/>
                <w:sz w:val="16"/>
              </w:rPr>
              <w:t>In dependency cases, apply both layers: Is there juvenile court authorization? Does the section 123115 detrimental-effect restriction still apply?</w:t>
            </w:r>
          </w:p>
        </w:tc>
      </w:tr>
      <w:tr>
        <w:tc>
          <w:tcPr>
            <w:tcW w:type="dxa" w:w="2376"/>
            <w:vAlign w:val="top"/>
          </w:tcPr>
          <w:p>
            <w:pPr>
              <w:spacing w:after="0"/>
            </w:pPr>
            <w:r/>
            <w:r>
              <w:rPr>
                <w:rFonts w:ascii="Aptos" w:hAnsi="Aptos"/>
                <w:b/>
                <w:sz w:val="16"/>
              </w:rPr>
              <w:t>Parent Request, Minor Request, and Protective Record Procedures — Part 1 of 4</w:t>
            </w:r>
          </w:p>
        </w:tc>
        <w:tc>
          <w:tcPr>
            <w:tcW w:type="dxa" w:w="5256"/>
            <w:vAlign w:val="top"/>
          </w:tcPr>
          <w:p>
            <w:pPr>
              <w:spacing w:after="0"/>
            </w:pPr>
            <w:r/>
            <w:r>
              <w:rPr>
                <w:rFonts w:ascii="Aptos" w:hAnsi="Aptos"/>
                <w:b w:val="0"/>
                <w:sz w:val="16"/>
              </w:rPr>
              <w:t>The parent’s and minor’s requests involve different statutory rights. The Parent’s Request Family Code section 3025 provides that records cannot be denied solely because a parent is noncustodial. However, Health and Safety Code section 123115 separately provides that a minor’s representative is not entitled to records relating to qualifying services the minor lawfully authorized independently. The independent-consent restriction—not the parent’s noncustodial status—is the basis for denying this request.</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Parent Request, Minor Request, and Protective Record Procedures — Part 2 of 4</w:t>
            </w:r>
          </w:p>
        </w:tc>
        <w:tc>
          <w:tcPr>
            <w:tcW w:type="dxa" w:w="5256"/>
            <w:vAlign w:val="top"/>
            <w:shd w:fill="F7F9FA"/>
          </w:tcPr>
          <w:p>
            <w:pPr>
              <w:spacing w:after="0"/>
            </w:pPr>
            <w:r/>
            <w:r>
              <w:rPr>
                <w:rFonts w:ascii="Aptos" w:hAnsi="Aptos"/>
                <w:b w:val="0"/>
                <w:sz w:val="16"/>
              </w:rPr>
              <w:t>The Minor’s Request A minor lawfully authorized to consent to the service generally has a right to inspect and obtain the records relating to that type of care. Because the therapist has identified a substantial risk of significant adverse psychological consequences, the therapist may restrict direct access only by following the safeguards in section 123115.</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Parent Request, Minor Request, and Protective Record Procedures — Part 3 of 4</w:t>
            </w:r>
          </w:p>
        </w:tc>
        <w:tc>
          <w:tcPr>
            <w:tcW w:type="dxa" w:w="5256"/>
            <w:vAlign w:val="top"/>
          </w:tcPr>
          <w:p>
            <w:pPr>
              <w:spacing w:after="0"/>
            </w:pPr>
            <w:r/>
            <w:r>
              <w:rPr>
                <w:rFonts w:ascii="Aptos" w:hAnsi="Aptos"/>
                <w:b w:val="0"/>
                <w:sz w:val="16"/>
              </w:rPr>
              <w:t>These include: Documenting the request Explaining the specific anticipated consequences in the record Informing the minor of the refusal Informing the minor of the right to designate a qualifying licensed professional Providing the records to the licensed professional designated by the minor Documenting whether that option was requested The designated professional may review the records but may not permit the minor to inspect or copy them directly through that process. A. Section 3025 prevents denial based solely on noncustodial status, but it does not override the independent-minor-consent restriction in section 123115. B.</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Parent Request, Minor Request, and Protective Record Procedures — Part 4 of 4</w:t>
            </w:r>
          </w:p>
        </w:tc>
        <w:tc>
          <w:tcPr>
            <w:tcW w:type="dxa" w:w="5256"/>
            <w:vAlign w:val="top"/>
            <w:shd w:fill="F7F9FA"/>
          </w:tcPr>
          <w:p>
            <w:pPr>
              <w:spacing w:after="0"/>
            </w:pPr>
            <w:r/>
            <w:r>
              <w:rPr>
                <w:rFonts w:ascii="Aptos" w:hAnsi="Aptos"/>
                <w:b w:val="0"/>
                <w:sz w:val="16"/>
              </w:rPr>
              <w:t>The therapist must provide the required explanation and professional-review option rather than imposing an undocumented blanket denial. C. The therapist may restrict direct access when the statutory substantial-risk standard and procedural safeguards are satisfied.</w:t>
            </w:r>
          </w:p>
        </w:tc>
        <w:tc>
          <w:tcPr>
            <w:tcW w:type="dxa" w:w="2520"/>
            <w:vAlign w:val="top"/>
            <w:shd w:fill="F7F9FA"/>
          </w:tcPr>
          <w:p>
            <w:pPr>
              <w:spacing w:after="0"/>
            </w:pPr>
            <w:r/>
            <w:r>
              <w:rPr>
                <w:rFonts w:ascii="Aptos" w:hAnsi="Aptos"/>
                <w:b w:val="0"/>
                <w:sz w:val="16"/>
              </w:rPr>
              <w:t>For competing record requests, identify each requester separately: Who consented to the treatment? Who is requesting the record? What right does that requester ordinarily possess? Does a statutory restriction apply? What procedural safeguards must the therapist follow?</w:t>
            </w:r>
          </w:p>
        </w:tc>
      </w:tr>
    </w:tbl>
    <w:p>
      <w:pPr>
        <w:pStyle w:val="Heading2"/>
      </w:pPr>
      <w:r>
        <w:t>Exam Reasoning Checklist</w:t>
      </w:r>
    </w:p>
    <w:p>
      <w:pPr>
        <w:pStyle w:val="ListBullet"/>
        <w:spacing w:after="30"/>
      </w:pPr>
      <w:r>
        <w:t>Keep these issues separate: Consent to treatment ≠ participation in treatment ≠ confidentiality ≠ record access A fact establishing one does not automatically decide the others.</w:t>
      </w:r>
    </w:p>
    <w:p>
      <w:pPr>
        <w:pStyle w:val="ListBullet"/>
        <w:spacing w:after="30"/>
      </w:pPr>
      <w:r>
        <w:t>When the minor consented independently, immediately examine: Who authorized the service—and who holds the corresponding record-access right? Do not assume that the parent’s relationship or payment role resolves the question.</w:t>
      </w:r>
    </w:p>
    <w:p>
      <w:pPr>
        <w:pStyle w:val="ListBullet"/>
        <w:spacing w:after="30"/>
      </w:pPr>
      <w:r>
        <w:t>Look for the statutory protection factors: Therapeutic relationshipPhysical safetyPsychological well-being The strongest answer uses an individualized, good-faith assessment, not an automatic rule.</w:t>
      </w:r>
    </w:p>
    <w:p>
      <w:pPr>
        <w:pStyle w:val="ListBullet"/>
        <w:spacing w:after="30"/>
      </w:pPr>
      <w:r>
        <w:t>Do not assume: Noncustodial parent = no access Also do not assume: Parent = automatic access to everything Verify authority and then apply the record-specific exceptions.</w:t>
      </w:r>
    </w:p>
    <w:p>
      <w:pPr>
        <w:pStyle w:val="ListBullet"/>
        <w:spacing w:after="30"/>
      </w:pPr>
      <w:r>
        <w:t>When records contain information from someone other than the client, ask: Who supplied the information, and was it given in confidence?</w:t>
      </w:r>
    </w:p>
    <w:p>
      <w:pPr>
        <w:pStyle w:val="ListBullet"/>
        <w:spacing w:after="30"/>
      </w:pPr>
      <w:r>
        <w:t>For parent-update questions, the strongest answer usually avoids both extremes: Tell the parent everythingandTell the parent nothing Clarify the boundaries and disclose only what is properly authorized, required, or clinically appropriate.</w:t>
      </w:r>
    </w:p>
    <w:p>
      <w:pPr>
        <w:pStyle w:val="ListBullet"/>
        <w:spacing w:after="30"/>
      </w:pPr>
      <w:r>
        <w:t>Connect the rights: Minor may lawfully consent to the service → minor may access records relating to that service</w:t>
      </w:r>
    </w:p>
    <w:p>
      <w:pPr>
        <w:pStyle w:val="ListBullet"/>
        <w:spacing w:after="30"/>
      </w:pPr>
      <w:r>
        <w:t>Distinguish two different rules: Parent requests minor’s records: Apply section 123115(a)Patient requests own mental-health records: Apply section 123115(b) and its safeguards</w:t>
      </w:r>
    </w:p>
    <w:p>
      <w:pPr>
        <w:pStyle w:val="Heading2"/>
      </w:pPr>
      <w:r>
        <w:t>Chapter Rapid Review</w:t>
      </w:r>
    </w:p>
    <w:p>
      <w:r>
        <w:rPr>
          <w:b/>
        </w:rPr>
        <w:t xml:space="preserve">Know these concepts: </w:t>
      </w:r>
      <w:r>
        <w:t>Consent Authority vs. Confidentiality — Part 1 of 3; Consent Authority vs. Confidentiality — Part 2 of 3; Consent Authority vs. Confidentiality — Part 3 of 3; Records from Independently Consented Treatment — Part 1 of 3; Records from Independently Consented Treatment — Part 2 of 3; Records from Independently Consented Treatment — Part 3 of 3; Denying Parent Access to Protect the Minor or Treatment Relationship — Part 1 of 2; Denying Parent Access to Protect the Minor or Treatment Relationship — Part 2 of 2; Noncustodial Parent Access to Records — Part 1 of 3; Noncustodial Parent Access to Records — Part 2 of 3; Noncustodial Parent Access to Records — Part 3 of 3; Confidential Third-Party Information in the Record — Part 1 of 2; Confidential Third-Party Information in the Record — Part 2 of 2; Parent Progress Updates vs. Session Details — Part 1 of 2; Parent Progress Updates vs. Session Details — Part 2 of 2; Minor’s Right to Access Independently Authorized Records — Part 1 of 2; Minor’s Right to Access Independently Authorized Records — Part 2 of 2; Limiting the Minor’s Own Access to Mental Health Records — Part 1 of 3; Limiting the Minor’s Own Access to Mental Health Records — Part 2 of 3; Limiting the Minor’s Own Access to Mental Health Records — Part 3 of 3; Dependency Removal and Parent Record Access — Part 1 of 2; Dependency Removal and Parent Record Access — Part 2 of 2; Records Created Under Different Consent Arrangements — Part 1 of 3; Records Created Under Different Consent Arrangements — Part 2 of 3; Records Created Under Different Consent Arrangements — Part 3 of 3; Disclosure to Family Members — Part 1 of 2; Disclosure to Family Members — Part 2 of 2; Minor Authorization for Release — Part 1 of 2; Minor Authorization for Release — Part 2 of 2; Family Participation Does Not Create Record-Access Rights — Part 1 of 2; Family Participation Does Not Create Record-Access Rights — Part 2 of 2; Record Access vs. Other Information Requests — Part 1 of 2; Record Access vs. Other Information Requests — Part 2 of 2; Valid Authorization by a Self-Consenting Minor — Part 1 of 2; Valid Authorization by a Self-Consenting Minor — Part 2 of 2; Dependency Court Order and Continuing Therapist Authority — Part 1 of 3; Dependency Court Order and Continuing Therapist Authority — Part 2 of 3; Dependency Court Order and Continuing Therapist Authority — Part 3 of 3; Parent Request, Minor Request, and Protective Record Procedures — Part 1 of 4; Parent Request, Minor Request, and Protective Record Procedures — Part 2 of 4; Parent Request, Minor Request, and Protective Record Procedures — Part 3 of 4; Parent Request, Minor Request, and Protective Record Procedures — Part 4 of 4</w:t>
      </w:r>
    </w:p>
    <w:p>
      <w:r>
        <w:br w:type="page"/>
      </w:r>
    </w:p>
    <w:p>
      <w:pPr>
        <w:pStyle w:val="Heading1"/>
      </w:pPr>
      <w:r>
        <w:t>Workbook Close</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Workbook 1 complete. Use the online chapter tests, the programwide rapid-review guide, and the 807-card Study Center to identify weak areas. A strong study answer applies the correct rule to the correct actor, role, timing, and client-protection need.</w:t>
            </w:r>
          </w:p>
        </w:tc>
      </w:tr>
    </w:tbl>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5"/>
      </w:rPr>
      <w:t>CTA-EP-003 | Workbook 1 | LPCC Candidate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82D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9B9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82D4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82D4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