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Law &amp; Ethics Study Guide</w:t>
      </w:r>
    </w:p>
    <w:p>
      <w:pPr>
        <w:jc w:val="center"/>
      </w:pPr>
      <w:r>
        <w:rPr>
          <w:b/>
          <w:color w:val="179B95"/>
          <w:sz w:val="26"/>
        </w:rPr>
        <w:t>Workbook 2: Telehealth and Technology | LPCC Candidate Edition</w:t>
      </w:r>
    </w:p>
    <w:p>
      <w:pPr>
        <w:jc w:val="center"/>
      </w:pPr>
      <w:r>
        <w:rPr>
          <w:color w:val="5F5F5F"/>
          <w:sz w:val="18"/>
        </w:rP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Educational material - not legal advice, an eligibility decision, or a guarantee of examination success.</w:t>
            </w:r>
          </w:p>
        </w:tc>
      </w:tr>
    </w:tbl>
    <w:p>
      <w:pPr>
        <w:pStyle w:val="Heading1"/>
      </w:pPr>
      <w:r>
        <w:t>Publication Notice</w:t>
      </w:r>
    </w:p>
    <w:p>
      <w:r>
        <w:t>This LPCC Candidate Edition is a final learner-facing reconstruction built from the approved LPCC/APCC Study Center and completed LPCC production controls. It is profession-specific to the California LPCC Law and Ethics Examination. The guide teaches study principles and reasoning frameworks; candidates should consult current official BBS and examination materials for current administrative requirements.</w:t>
      </w:r>
    </w:p>
    <w:p>
      <w:r>
        <w:t>CTA is independent and is not affiliated with, sponsored by, or endorsed by the California Board of Behavioral Sciences, Pearson VUE, ACA, NBCC, or CCE.</w:t>
      </w:r>
    </w:p>
    <w:p>
      <w:pPr>
        <w:pStyle w:val="Heading1"/>
      </w:pPr>
      <w:r>
        <w:t>How to Use This Workbook</w:t>
      </w:r>
    </w:p>
    <w:p>
      <w:pPr>
        <w:pStyle w:val="ListBullet"/>
        <w:spacing w:after="30"/>
      </w:pPr>
      <w:r>
        <w:t>Study each core chapter in order or use the chapters selectively for remediation.</w:t>
      </w:r>
    </w:p>
    <w:p>
      <w:pPr>
        <w:pStyle w:val="ListBullet"/>
        <w:spacing w:after="30"/>
      </w:pPr>
      <w:r>
        <w:t>For each concept, learn the controlling rule first, then use the memory cue to recognize common exam distinctions.</w:t>
      </w:r>
    </w:p>
    <w:p>
      <w:pPr>
        <w:pStyle w:val="ListBullet"/>
        <w:spacing w:after="30"/>
      </w:pPr>
      <w:r>
        <w:t>Complete the corresponding online chapter test after study; chapter tests are separate from this learner guide.</w:t>
      </w:r>
    </w:p>
    <w:p>
      <w:pPr>
        <w:pStyle w:val="ListBullet"/>
        <w:spacing w:after="30"/>
      </w:pPr>
      <w:r>
        <w:t>Use the 807-card Study Center for spaced review and targeted remediation.</w:t>
      </w:r>
    </w:p>
    <w:p>
      <w:pPr>
        <w:pStyle w:val="ListBullet"/>
        <w:spacing w:after="30"/>
      </w:pPr>
      <w:r>
        <w:t>When a current legal, regulatory, or ethics source changes, follow CTA's posted update notice.</w:t>
      </w:r>
    </w:p>
    <w:p>
      <w:pPr>
        <w:pStyle w:val="Heading1"/>
      </w:pPr>
      <w:r>
        <w:t>Chapter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7"/>
            <w:vAlign w:val="top"/>
            <w:shd w:fill="17365D"/>
          </w:tcPr>
          <w:p>
            <w:pPr>
              <w:spacing w:after="0"/>
            </w:pPr>
            <w:r/>
            <w:r>
              <w:rPr>
                <w:rFonts w:ascii="Aptos" w:hAnsi="Aptos"/>
                <w:b/>
                <w:color w:val="FFFFFF"/>
                <w:sz w:val="18"/>
              </w:rPr>
              <w:t>Chapter</w:t>
            </w:r>
          </w:p>
        </w:tc>
        <w:tc>
          <w:tcPr>
            <w:tcW w:type="dxa" w:w="8063"/>
            <w:vAlign w:val="top"/>
            <w:shd w:fill="17365D"/>
          </w:tcPr>
          <w:p>
            <w:pPr>
              <w:spacing w:after="0"/>
            </w:pPr>
            <w:r/>
            <w:r>
              <w:rPr>
                <w:rFonts w:ascii="Aptos" w:hAnsi="Aptos"/>
                <w:b/>
                <w:color w:val="FFFFFF"/>
                <w:sz w:val="18"/>
              </w:rPr>
              <w:t>Title</w:t>
            </w:r>
          </w:p>
        </w:tc>
        <w:tc>
          <w:tcPr>
            <w:tcW w:type="dxa" w:w="1296"/>
            <w:vAlign w:val="top"/>
            <w:shd w:fill="17365D"/>
          </w:tcPr>
          <w:p>
            <w:pPr>
              <w:spacing w:after="0"/>
            </w:pPr>
            <w:r/>
            <w:r>
              <w:rPr>
                <w:rFonts w:ascii="Aptos" w:hAnsi="Aptos"/>
                <w:b/>
                <w:color w:val="FFFFFF"/>
                <w:sz w:val="18"/>
              </w:rPr>
              <w:t>Study Cards</w:t>
            </w:r>
          </w:p>
        </w:tc>
      </w:tr>
      <w:tr>
        <w:tc>
          <w:tcPr>
            <w:tcW w:type="dxa" w:w="1007"/>
            <w:vAlign w:val="top"/>
          </w:tcPr>
          <w:p>
            <w:pPr>
              <w:spacing w:after="0"/>
            </w:pPr>
            <w:r/>
            <w:r>
              <w:rPr>
                <w:rFonts w:ascii="Aptos" w:hAnsi="Aptos"/>
                <w:b w:val="0"/>
                <w:sz w:val="17"/>
              </w:rPr>
              <w:t>1</w:t>
            </w:r>
          </w:p>
        </w:tc>
        <w:tc>
          <w:tcPr>
            <w:tcW w:type="dxa" w:w="8063"/>
            <w:vAlign w:val="top"/>
          </w:tcPr>
          <w:p>
            <w:pPr>
              <w:spacing w:after="0"/>
            </w:pPr>
            <w:r/>
            <w:r>
              <w:rPr>
                <w:rFonts w:ascii="Aptos" w:hAnsi="Aptos"/>
                <w:b w:val="0"/>
                <w:sz w:val="17"/>
              </w:rPr>
              <w:t>Telehealth Foundations</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2</w:t>
            </w:r>
          </w:p>
        </w:tc>
        <w:tc>
          <w:tcPr>
            <w:tcW w:type="dxa" w:w="8063"/>
            <w:vAlign w:val="top"/>
            <w:shd w:fill="F2F4F7"/>
          </w:tcPr>
          <w:p>
            <w:pPr>
              <w:spacing w:after="0"/>
            </w:pPr>
            <w:r/>
            <w:r>
              <w:rPr>
                <w:rFonts w:ascii="Aptos" w:hAnsi="Aptos"/>
                <w:b w:val="0"/>
                <w:sz w:val="17"/>
              </w:rPr>
              <w:t>Telehealth Informed Consent</w:t>
            </w:r>
          </w:p>
        </w:tc>
        <w:tc>
          <w:tcPr>
            <w:tcW w:type="dxa" w:w="1296"/>
            <w:vAlign w:val="top"/>
            <w:shd w:fill="F2F4F7"/>
          </w:tcPr>
          <w:p>
            <w:pPr>
              <w:spacing w:after="0"/>
            </w:pPr>
            <w:r/>
            <w:r>
              <w:rPr>
                <w:rFonts w:ascii="Aptos" w:hAnsi="Aptos"/>
                <w:b w:val="0"/>
                <w:sz w:val="17"/>
              </w:rPr>
              <w:t>17</w:t>
            </w:r>
          </w:p>
        </w:tc>
      </w:tr>
      <w:tr>
        <w:tc>
          <w:tcPr>
            <w:tcW w:type="dxa" w:w="1007"/>
            <w:vAlign w:val="top"/>
          </w:tcPr>
          <w:p>
            <w:pPr>
              <w:spacing w:after="0"/>
            </w:pPr>
            <w:r/>
            <w:r>
              <w:rPr>
                <w:rFonts w:ascii="Aptos" w:hAnsi="Aptos"/>
                <w:b w:val="0"/>
                <w:sz w:val="17"/>
              </w:rPr>
              <w:t>3</w:t>
            </w:r>
          </w:p>
        </w:tc>
        <w:tc>
          <w:tcPr>
            <w:tcW w:type="dxa" w:w="8063"/>
            <w:vAlign w:val="top"/>
          </w:tcPr>
          <w:p>
            <w:pPr>
              <w:spacing w:after="0"/>
            </w:pPr>
            <w:r/>
            <w:r>
              <w:rPr>
                <w:rFonts w:ascii="Aptos" w:hAnsi="Aptos"/>
                <w:b w:val="0"/>
                <w:sz w:val="17"/>
              </w:rPr>
              <w:t>Telehealth Privacy and Security</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4</w:t>
            </w:r>
          </w:p>
        </w:tc>
        <w:tc>
          <w:tcPr>
            <w:tcW w:type="dxa" w:w="8063"/>
            <w:vAlign w:val="top"/>
            <w:shd w:fill="F2F4F7"/>
          </w:tcPr>
          <w:p>
            <w:pPr>
              <w:spacing w:after="0"/>
            </w:pPr>
            <w:r/>
            <w:r>
              <w:rPr>
                <w:rFonts w:ascii="Aptos" w:hAnsi="Aptos"/>
                <w:b w:val="0"/>
                <w:sz w:val="17"/>
              </w:rPr>
              <w:t>Technology, Electronic Communication, and Professional Responsibilities</w:t>
            </w:r>
          </w:p>
        </w:tc>
        <w:tc>
          <w:tcPr>
            <w:tcW w:type="dxa" w:w="1296"/>
            <w:vAlign w:val="top"/>
            <w:shd w:fill="F2F4F7"/>
          </w:tcPr>
          <w:p>
            <w:pPr>
              <w:spacing w:after="0"/>
            </w:pPr>
            <w:r/>
            <w:r>
              <w:rPr>
                <w:rFonts w:ascii="Aptos" w:hAnsi="Aptos"/>
                <w:b w:val="0"/>
                <w:sz w:val="17"/>
              </w:rPr>
              <w:t>17</w:t>
            </w:r>
          </w:p>
        </w:tc>
      </w:tr>
      <w:tr>
        <w:tc>
          <w:tcPr>
            <w:tcW w:type="dxa" w:w="1007"/>
            <w:vAlign w:val="top"/>
          </w:tcPr>
          <w:p>
            <w:pPr>
              <w:spacing w:after="0"/>
            </w:pPr>
            <w:r/>
            <w:r>
              <w:rPr>
                <w:rFonts w:ascii="Aptos" w:hAnsi="Aptos"/>
                <w:b w:val="0"/>
                <w:sz w:val="17"/>
              </w:rPr>
              <w:t>5</w:t>
            </w:r>
          </w:p>
        </w:tc>
        <w:tc>
          <w:tcPr>
            <w:tcW w:type="dxa" w:w="8063"/>
            <w:vAlign w:val="top"/>
          </w:tcPr>
          <w:p>
            <w:pPr>
              <w:spacing w:after="0"/>
            </w:pPr>
            <w:r/>
            <w:r>
              <w:rPr>
                <w:rFonts w:ascii="Aptos" w:hAnsi="Aptos"/>
                <w:b w:val="0"/>
                <w:sz w:val="17"/>
              </w:rPr>
              <w:t>Social Media, Boundaries, and Digital Ethics</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6</w:t>
            </w:r>
          </w:p>
        </w:tc>
        <w:tc>
          <w:tcPr>
            <w:tcW w:type="dxa" w:w="8063"/>
            <w:vAlign w:val="top"/>
            <w:shd w:fill="F2F4F7"/>
          </w:tcPr>
          <w:p>
            <w:pPr>
              <w:spacing w:after="0"/>
            </w:pPr>
            <w:r/>
            <w:r>
              <w:rPr>
                <w:rFonts w:ascii="Aptos" w:hAnsi="Aptos"/>
                <w:b w:val="0"/>
                <w:sz w:val="17"/>
              </w:rPr>
              <w:t>Technology Risk Management and Compliance</w:t>
            </w:r>
          </w:p>
        </w:tc>
        <w:tc>
          <w:tcPr>
            <w:tcW w:type="dxa" w:w="1296"/>
            <w:vAlign w:val="top"/>
            <w:shd w:fill="F2F4F7"/>
          </w:tcPr>
          <w:p>
            <w:pPr>
              <w:spacing w:after="0"/>
            </w:pPr>
            <w:r/>
            <w:r>
              <w:rPr>
                <w:rFonts w:ascii="Aptos" w:hAnsi="Aptos"/>
                <w:b w:val="0"/>
                <w:sz w:val="17"/>
              </w:rPr>
              <w:t>17</w:t>
            </w:r>
          </w:p>
        </w:tc>
      </w:tr>
    </w:tbl>
    <w:p>
      <w:r>
        <w:br w:type="page"/>
      </w:r>
    </w:p>
    <w:p>
      <w:pPr>
        <w:pStyle w:val="Heading2"/>
      </w:pPr>
      <w:r>
        <w:t>Chapter 1</w:t>
      </w:r>
    </w:p>
    <w:p>
      <w:pPr>
        <w:pStyle w:val="Heading1"/>
      </w:pPr>
      <w:r>
        <w:t>Telehealth Foundations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California Business and Professions Code section 2290.5 defines telehealth broadly as a mode of health-care delivery and includes synchronous and asynchronous methods. California law preserves scope limits and applies professional-responsibility, unprofessional-conduct, and standards-of-practice rules to telehealth.</w:t>
            </w:r>
          </w:p>
        </w:tc>
      </w:tr>
    </w:tbl>
    <w:p>
      <w:pPr>
        <w:pStyle w:val="Heading2"/>
      </w:pPr>
      <w:r>
        <w:t>What to Learn</w:t>
      </w:r>
    </w:p>
    <w:p>
      <w:pPr>
        <w:pStyle w:val="ListBullet"/>
        <w:spacing w:after="30"/>
      </w:pPr>
      <w:r>
        <w:t>Explain and apply California Definition of Telehealth.</w:t>
      </w:r>
    </w:p>
    <w:p>
      <w:pPr>
        <w:pStyle w:val="ListBullet"/>
        <w:spacing w:after="30"/>
      </w:pPr>
      <w:r>
        <w:t>Explain and apply Scope and Professional Standards.</w:t>
      </w:r>
    </w:p>
    <w:p>
      <w:pPr>
        <w:pStyle w:val="ListBullet"/>
        <w:spacing w:after="30"/>
      </w:pPr>
      <w:r>
        <w:t>Explain and apply Therapist Traveling Out of State.</w:t>
      </w:r>
    </w:p>
    <w:p>
      <w:pPr>
        <w:pStyle w:val="ListBullet"/>
        <w:spacing w:after="30"/>
      </w:pPr>
      <w:r>
        <w:t>Explain and apply Client Location and Interstate Authority.</w:t>
      </w:r>
    </w:p>
    <w:p>
      <w:pPr>
        <w:pStyle w:val="ListBullet"/>
        <w:spacing w:after="30"/>
      </w:pPr>
      <w:r>
        <w:t>Explain and apply Beginning-of-Session Requirements.</w:t>
      </w:r>
    </w:p>
    <w:p>
      <w:pPr>
        <w:pStyle w:val="ListBullet"/>
        <w:spacing w:after="30"/>
      </w:pPr>
      <w:r>
        <w:t>Explain and apply Initiation Requirements.</w:t>
      </w:r>
    </w:p>
    <w:p>
      <w:pPr>
        <w:pStyle w:val="ListBullet"/>
        <w:spacing w:after="30"/>
      </w:pPr>
      <w:r>
        <w:t>Explain and apply Balancing Benefits and Limitations.</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California Definition of Telehealth</w:t>
            </w:r>
          </w:p>
        </w:tc>
        <w:tc>
          <w:tcPr>
            <w:tcW w:type="dxa" w:w="5256"/>
            <w:vAlign w:val="top"/>
          </w:tcPr>
          <w:p>
            <w:pPr>
              <w:spacing w:after="0"/>
            </w:pPr>
            <w:r/>
            <w:r>
              <w:rPr>
                <w:rFonts w:ascii="Aptos" w:hAnsi="Aptos"/>
                <w:b w:val="0"/>
                <w:sz w:val="16"/>
              </w:rPr>
              <w:t>California Business and Professions Code section 2290.5 defines telehealth broadly as a mode of health-care delivery and includes synchronous and asynchronous methods.</w:t>
            </w:r>
          </w:p>
        </w:tc>
        <w:tc>
          <w:tcPr>
            <w:tcW w:type="dxa" w:w="2520"/>
            <w:vAlign w:val="top"/>
          </w:tcPr>
          <w:p>
            <w:pPr>
              <w:spacing w:after="0"/>
            </w:pPr>
            <w:r/>
            <w:r>
              <w:rPr>
                <w:rFonts w:ascii="Aptos" w:hAnsi="Aptos"/>
                <w:b w:val="0"/>
                <w:sz w:val="16"/>
              </w:rPr>
              <w:t>Do not reduce telehealth to video therapy. Look for the broader statutory definition.</w:t>
            </w:r>
          </w:p>
        </w:tc>
      </w:tr>
      <w:tr>
        <w:tc>
          <w:tcPr>
            <w:tcW w:type="dxa" w:w="2376"/>
            <w:vAlign w:val="top"/>
            <w:shd w:fill="F7F9FA"/>
          </w:tcPr>
          <w:p>
            <w:pPr>
              <w:spacing w:after="0"/>
            </w:pPr>
            <w:r/>
            <w:r>
              <w:rPr>
                <w:rFonts w:ascii="Aptos" w:hAnsi="Aptos"/>
                <w:b/>
                <w:sz w:val="16"/>
              </w:rPr>
              <w:t>Scope and Professional Standards</w:t>
            </w:r>
          </w:p>
        </w:tc>
        <w:tc>
          <w:tcPr>
            <w:tcW w:type="dxa" w:w="5256"/>
            <w:vAlign w:val="top"/>
            <w:shd w:fill="F7F9FA"/>
          </w:tcPr>
          <w:p>
            <w:pPr>
              <w:spacing w:after="0"/>
            </w:pPr>
            <w:r/>
            <w:r>
              <w:rPr>
                <w:rFonts w:ascii="Aptos" w:hAnsi="Aptos"/>
                <w:b w:val="0"/>
                <w:sz w:val="16"/>
              </w:rPr>
              <w:t>California law preserves scope limits and applies professional-responsibility, unprofessional-conduct, and standards-of-practice rules to telehealth.</w:t>
            </w:r>
          </w:p>
        </w:tc>
        <w:tc>
          <w:tcPr>
            <w:tcW w:type="dxa" w:w="2520"/>
            <w:vAlign w:val="top"/>
            <w:shd w:fill="F7F9FA"/>
          </w:tcPr>
          <w:p>
            <w:pPr>
              <w:spacing w:after="0"/>
            </w:pPr>
            <w:r/>
            <w:r>
              <w:rPr>
                <w:rFonts w:ascii="Aptos" w:hAnsi="Aptos"/>
                <w:b w:val="0"/>
                <w:sz w:val="16"/>
              </w:rPr>
              <w:t>When an answer suggests that technology changes scope or lowers standards, eliminate it.</w:t>
            </w:r>
          </w:p>
        </w:tc>
      </w:tr>
      <w:tr>
        <w:tc>
          <w:tcPr>
            <w:tcW w:type="dxa" w:w="2376"/>
            <w:vAlign w:val="top"/>
          </w:tcPr>
          <w:p>
            <w:pPr>
              <w:spacing w:after="0"/>
            </w:pPr>
            <w:r/>
            <w:r>
              <w:rPr>
                <w:rFonts w:ascii="Aptos" w:hAnsi="Aptos"/>
                <w:b/>
                <w:sz w:val="16"/>
              </w:rPr>
              <w:t>Therapist Traveling Out of State</w:t>
            </w:r>
          </w:p>
        </w:tc>
        <w:tc>
          <w:tcPr>
            <w:tcW w:type="dxa" w:w="5256"/>
            <w:vAlign w:val="top"/>
          </w:tcPr>
          <w:p>
            <w:pPr>
              <w:spacing w:after="0"/>
            </w:pPr>
            <w:r/>
            <w:r>
              <w:rPr>
                <w:rFonts w:ascii="Aptos" w:hAnsi="Aptos"/>
                <w:b w:val="0"/>
                <w:sz w:val="16"/>
              </w:rPr>
              <w:t>BBS guidance states that a California licensee who is outside California may serve a client located in California if the license is current and active, the case is appropriate, and the telehealth regulations are followed.</w:t>
            </w:r>
          </w:p>
        </w:tc>
        <w:tc>
          <w:tcPr>
            <w:tcW w:type="dxa" w:w="2520"/>
            <w:vAlign w:val="top"/>
          </w:tcPr>
          <w:p>
            <w:pPr>
              <w:spacing w:after="0"/>
            </w:pPr>
            <w:r/>
            <w:r>
              <w:rPr>
                <w:rFonts w:ascii="Aptos" w:hAnsi="Aptos"/>
                <w:b w:val="0"/>
                <w:sz w:val="16"/>
              </w:rPr>
              <w:t>Separate the therapist's travel from the client's location. The client is physically in California.</w:t>
            </w:r>
          </w:p>
        </w:tc>
      </w:tr>
      <w:tr>
        <w:tc>
          <w:tcPr>
            <w:tcW w:type="dxa" w:w="2376"/>
            <w:vAlign w:val="top"/>
            <w:shd w:fill="F7F9FA"/>
          </w:tcPr>
          <w:p>
            <w:pPr>
              <w:spacing w:after="0"/>
            </w:pPr>
            <w:r/>
            <w:r>
              <w:rPr>
                <w:rFonts w:ascii="Aptos" w:hAnsi="Aptos"/>
                <w:b/>
                <w:sz w:val="16"/>
              </w:rPr>
              <w:t>Client Location and Interstate Authority</w:t>
            </w:r>
          </w:p>
        </w:tc>
        <w:tc>
          <w:tcPr>
            <w:tcW w:type="dxa" w:w="5256"/>
            <w:vAlign w:val="top"/>
            <w:shd w:fill="F7F9FA"/>
          </w:tcPr>
          <w:p>
            <w:pPr>
              <w:spacing w:after="0"/>
            </w:pPr>
            <w:r/>
            <w:r>
              <w:rPr>
                <w:rFonts w:ascii="Aptos" w:hAnsi="Aptos"/>
                <w:b w:val="0"/>
                <w:sz w:val="16"/>
              </w:rPr>
              <w:t>Under 16 CCR section 1815.5(e), a California licensee or registrant may serve a client in another jurisdiction only when the therapist meets that jurisdiction's requirements and telehealth is permitted there.</w:t>
            </w:r>
          </w:p>
        </w:tc>
        <w:tc>
          <w:tcPr>
            <w:tcW w:type="dxa" w:w="2520"/>
            <w:vAlign w:val="top"/>
            <w:shd w:fill="F7F9FA"/>
          </w:tcPr>
          <w:p>
            <w:pPr>
              <w:spacing w:after="0"/>
            </w:pPr>
            <w:r/>
            <w:r>
              <w:rPr>
                <w:rFonts w:ascii="Aptos" w:hAnsi="Aptos"/>
                <w:b w:val="0"/>
                <w:sz w:val="16"/>
              </w:rPr>
              <w:t>When the client crosses state lines, pause and verify legal authority before relying on continuity or convenience.</w:t>
            </w:r>
          </w:p>
        </w:tc>
      </w:tr>
      <w:tr>
        <w:tc>
          <w:tcPr>
            <w:tcW w:type="dxa" w:w="2376"/>
            <w:vAlign w:val="top"/>
          </w:tcPr>
          <w:p>
            <w:pPr>
              <w:spacing w:after="0"/>
            </w:pPr>
            <w:r/>
            <w:r>
              <w:rPr>
                <w:rFonts w:ascii="Aptos" w:hAnsi="Aptos"/>
                <w:b/>
                <w:sz w:val="16"/>
              </w:rPr>
              <w:t>Beginning-of-Session Requirements</w:t>
            </w:r>
          </w:p>
        </w:tc>
        <w:tc>
          <w:tcPr>
            <w:tcW w:type="dxa" w:w="5256"/>
            <w:vAlign w:val="top"/>
          </w:tcPr>
          <w:p>
            <w:pPr>
              <w:spacing w:after="0"/>
            </w:pPr>
            <w:r/>
            <w:r>
              <w:rPr>
                <w:rFonts w:ascii="Aptos" w:hAnsi="Aptos"/>
                <w:b w:val="0"/>
                <w:sz w:val="16"/>
              </w:rPr>
              <w:t>Section 1815.5 requires the therapist to verbally obtain and document the client's full name and present address at the beginning of each telehealth session and to assess appropriateness.</w:t>
            </w:r>
          </w:p>
        </w:tc>
        <w:tc>
          <w:tcPr>
            <w:tcW w:type="dxa" w:w="2520"/>
            <w:vAlign w:val="top"/>
          </w:tcPr>
          <w:p>
            <w:pPr>
              <w:spacing w:after="0"/>
            </w:pPr>
            <w:r/>
            <w:r>
              <w:rPr>
                <w:rFonts w:ascii="Aptos" w:hAnsi="Aptos"/>
                <w:b w:val="0"/>
                <w:sz w:val="16"/>
              </w:rPr>
              <w:t>The phrase 'present address' is a strong exam clue. Do not substitute the address already in the record.</w:t>
            </w:r>
          </w:p>
        </w:tc>
      </w:tr>
      <w:tr>
        <w:tc>
          <w:tcPr>
            <w:tcW w:type="dxa" w:w="2376"/>
            <w:vAlign w:val="top"/>
            <w:shd w:fill="F7F9FA"/>
          </w:tcPr>
          <w:p>
            <w:pPr>
              <w:spacing w:after="0"/>
            </w:pPr>
            <w:r/>
            <w:r>
              <w:rPr>
                <w:rFonts w:ascii="Aptos" w:hAnsi="Aptos"/>
                <w:b/>
                <w:sz w:val="16"/>
              </w:rPr>
              <w:t>Initiation Requirements</w:t>
            </w:r>
          </w:p>
        </w:tc>
        <w:tc>
          <w:tcPr>
            <w:tcW w:type="dxa" w:w="5256"/>
            <w:vAlign w:val="top"/>
            <w:shd w:fill="F7F9FA"/>
          </w:tcPr>
          <w:p>
            <w:pPr>
              <w:spacing w:after="0"/>
            </w:pPr>
            <w:r/>
            <w:r>
              <w:rPr>
                <w:rFonts w:ascii="Aptos" w:hAnsi="Aptos"/>
                <w:b w:val="0"/>
                <w:sz w:val="16"/>
              </w:rPr>
              <w:t>These are the initiation requirements stated in 16 CCR section 1815.5(c) and Business and Professions Code section 2290.5.</w:t>
            </w:r>
          </w:p>
        </w:tc>
        <w:tc>
          <w:tcPr>
            <w:tcW w:type="dxa" w:w="2520"/>
            <w:vAlign w:val="top"/>
            <w:shd w:fill="F7F9FA"/>
          </w:tcPr>
          <w:p>
            <w:pPr>
              <w:spacing w:after="0"/>
            </w:pPr>
            <w:r/>
            <w:r>
              <w:rPr>
                <w:rFonts w:ascii="Aptos" w:hAnsi="Aptos"/>
                <w:b w:val="0"/>
                <w:sz w:val="16"/>
              </w:rPr>
              <w:t>Look for the complete initiation set: consent, risks/limitations, credential information, and local resources.</w:t>
            </w:r>
          </w:p>
        </w:tc>
      </w:tr>
      <w:tr>
        <w:tc>
          <w:tcPr>
            <w:tcW w:type="dxa" w:w="2376"/>
            <w:vAlign w:val="top"/>
          </w:tcPr>
          <w:p>
            <w:pPr>
              <w:spacing w:after="0"/>
            </w:pPr>
            <w:r/>
            <w:r>
              <w:rPr>
                <w:rFonts w:ascii="Aptos" w:hAnsi="Aptos"/>
                <w:b/>
                <w:sz w:val="16"/>
              </w:rPr>
              <w:t>Balancing Benefits and Limitations</w:t>
            </w:r>
          </w:p>
        </w:tc>
        <w:tc>
          <w:tcPr>
            <w:tcW w:type="dxa" w:w="5256"/>
            <w:vAlign w:val="top"/>
          </w:tcPr>
          <w:p>
            <w:pPr>
              <w:spacing w:after="0"/>
            </w:pPr>
            <w:r/>
            <w:r>
              <w:rPr>
                <w:rFonts w:ascii="Aptos" w:hAnsi="Aptos"/>
                <w:b w:val="0"/>
                <w:sz w:val="16"/>
              </w:rPr>
              <w:t>Sound telehealth judgment balances access and continuity against the effect of disruptions on assessment, treatment, safety, and client welfare.</w:t>
            </w:r>
          </w:p>
        </w:tc>
        <w:tc>
          <w:tcPr>
            <w:tcW w:type="dxa" w:w="2520"/>
            <w:vAlign w:val="top"/>
          </w:tcPr>
          <w:p>
            <w:pPr>
              <w:spacing w:after="0"/>
            </w:pPr>
            <w:r/>
            <w:r>
              <w:rPr>
                <w:rFonts w:ascii="Aptos" w:hAnsi="Aptos"/>
                <w:b w:val="0"/>
                <w:sz w:val="16"/>
              </w:rPr>
              <w:t>California-style questions often reject both extremes. Choose the response that assesses and balances competing factors.</w:t>
            </w:r>
          </w:p>
        </w:tc>
      </w:tr>
      <w:tr>
        <w:tc>
          <w:tcPr>
            <w:tcW w:type="dxa" w:w="2376"/>
            <w:vAlign w:val="top"/>
            <w:shd w:fill="F7F9FA"/>
          </w:tcPr>
          <w:p>
            <w:pPr>
              <w:spacing w:after="0"/>
            </w:pPr>
            <w:r/>
            <w:r>
              <w:rPr>
                <w:rFonts w:ascii="Aptos" w:hAnsi="Aptos"/>
                <w:b/>
                <w:sz w:val="16"/>
              </w:rPr>
              <w:t>Ongoing Appropriateness</w:t>
            </w:r>
          </w:p>
        </w:tc>
        <w:tc>
          <w:tcPr>
            <w:tcW w:type="dxa" w:w="5256"/>
            <w:vAlign w:val="top"/>
            <w:shd w:fill="F7F9FA"/>
          </w:tcPr>
          <w:p>
            <w:pPr>
              <w:spacing w:after="0"/>
            </w:pPr>
            <w:r/>
            <w:r>
              <w:rPr>
                <w:rFonts w:ascii="Aptos" w:hAnsi="Aptos"/>
                <w:b w:val="0"/>
                <w:sz w:val="16"/>
              </w:rPr>
              <w:t>Section 1815.5 requires an appropriateness assessment each time telehealth is provided, and the current psychosocial and environmental changes are directly relevant.</w:t>
            </w:r>
          </w:p>
        </w:tc>
        <w:tc>
          <w:tcPr>
            <w:tcW w:type="dxa" w:w="2520"/>
            <w:vAlign w:val="top"/>
            <w:shd w:fill="F7F9FA"/>
          </w:tcPr>
          <w:p>
            <w:pPr>
              <w:spacing w:after="0"/>
            </w:pPr>
            <w:r/>
            <w:r>
              <w:rPr>
                <w:rFonts w:ascii="Aptos" w:hAnsi="Aptos"/>
                <w:b w:val="0"/>
                <w:sz w:val="16"/>
              </w:rPr>
              <w:t>A change in symptoms or environment signals an each-session reassessment question.</w:t>
            </w:r>
          </w:p>
        </w:tc>
      </w:tr>
      <w:tr>
        <w:tc>
          <w:tcPr>
            <w:tcW w:type="dxa" w:w="2376"/>
            <w:vAlign w:val="top"/>
          </w:tcPr>
          <w:p>
            <w:pPr>
              <w:spacing w:after="0"/>
            </w:pPr>
            <w:r/>
            <w:r>
              <w:rPr>
                <w:rFonts w:ascii="Aptos" w:hAnsi="Aptos"/>
                <w:b/>
                <w:sz w:val="16"/>
              </w:rPr>
              <w:t>Present Address Documentation</w:t>
            </w:r>
          </w:p>
        </w:tc>
        <w:tc>
          <w:tcPr>
            <w:tcW w:type="dxa" w:w="5256"/>
            <w:vAlign w:val="top"/>
          </w:tcPr>
          <w:p>
            <w:pPr>
              <w:spacing w:after="0"/>
            </w:pPr>
            <w:r/>
            <w:r>
              <w:rPr>
                <w:rFonts w:ascii="Aptos" w:hAnsi="Aptos"/>
                <w:b w:val="0"/>
                <w:sz w:val="16"/>
              </w:rPr>
              <w:t>A vague confirmation and the note 'at home' do not reflect the full name and present address required by section 1815.5(d)(1).</w:t>
            </w:r>
          </w:p>
        </w:tc>
        <w:tc>
          <w:tcPr>
            <w:tcW w:type="dxa" w:w="2520"/>
            <w:vAlign w:val="top"/>
          </w:tcPr>
          <w:p>
            <w:pPr>
              <w:spacing w:after="0"/>
            </w:pPr>
            <w:r/>
            <w:r>
              <w:rPr>
                <w:rFonts w:ascii="Aptos" w:hAnsi="Aptos"/>
                <w:b w:val="0"/>
                <w:sz w:val="16"/>
              </w:rPr>
              <w:t>Watch for vague location language. The regulation is specific: full name and present address.</w:t>
            </w:r>
          </w:p>
        </w:tc>
      </w:tr>
      <w:tr>
        <w:tc>
          <w:tcPr>
            <w:tcW w:type="dxa" w:w="2376"/>
            <w:vAlign w:val="top"/>
            <w:shd w:fill="F7F9FA"/>
          </w:tcPr>
          <w:p>
            <w:pPr>
              <w:spacing w:after="0"/>
            </w:pPr>
            <w:r/>
            <w:r>
              <w:rPr>
                <w:rFonts w:ascii="Aptos" w:hAnsi="Aptos"/>
                <w:b/>
                <w:sz w:val="16"/>
              </w:rPr>
              <w:t>Telehealth Does Not Expand Scope</w:t>
            </w:r>
          </w:p>
        </w:tc>
        <w:tc>
          <w:tcPr>
            <w:tcW w:type="dxa" w:w="5256"/>
            <w:vAlign w:val="top"/>
            <w:shd w:fill="F7F9FA"/>
          </w:tcPr>
          <w:p>
            <w:pPr>
              <w:spacing w:after="0"/>
            </w:pPr>
            <w:r/>
            <w:r>
              <w:rPr>
                <w:rFonts w:ascii="Aptos" w:hAnsi="Aptos"/>
                <w:b w:val="0"/>
                <w:sz w:val="16"/>
              </w:rPr>
              <w:t>Business and Professions Code section 2290.5(e) states that telehealth does not alter scope or authorize otherwise unlawful delivery.</w:t>
            </w:r>
          </w:p>
        </w:tc>
        <w:tc>
          <w:tcPr>
            <w:tcW w:type="dxa" w:w="2520"/>
            <w:vAlign w:val="top"/>
            <w:shd w:fill="F7F9FA"/>
          </w:tcPr>
          <w:p>
            <w:pPr>
              <w:spacing w:after="0"/>
            </w:pPr>
            <w:r/>
            <w:r>
              <w:rPr>
                <w:rFonts w:ascii="Aptos" w:hAnsi="Aptos"/>
                <w:b w:val="0"/>
                <w:sz w:val="16"/>
              </w:rPr>
              <w:t>Separate the delivery method from the underlying service. Telehealth cannot make an unauthorized service lawful.</w:t>
            </w:r>
          </w:p>
        </w:tc>
      </w:tr>
      <w:tr>
        <w:tc>
          <w:tcPr>
            <w:tcW w:type="dxa" w:w="2376"/>
            <w:vAlign w:val="top"/>
          </w:tcPr>
          <w:p>
            <w:pPr>
              <w:spacing w:after="0"/>
            </w:pPr>
            <w:r/>
            <w:r>
              <w:rPr>
                <w:rFonts w:ascii="Aptos" w:hAnsi="Aptos"/>
                <w:b/>
                <w:sz w:val="16"/>
              </w:rPr>
              <w:t>Technology Failure and Continued Appropriateness</w:t>
            </w:r>
          </w:p>
        </w:tc>
        <w:tc>
          <w:tcPr>
            <w:tcW w:type="dxa" w:w="5256"/>
            <w:vAlign w:val="top"/>
          </w:tcPr>
          <w:p>
            <w:pPr>
              <w:spacing w:after="0"/>
            </w:pPr>
            <w:r/>
            <w:r>
              <w:rPr>
                <w:rFonts w:ascii="Aptos" w:hAnsi="Aptos"/>
                <w:b w:val="0"/>
                <w:sz w:val="16"/>
              </w:rPr>
              <w:t>The therapist should use clinical judgment, consider privacy and effectiveness, and implement the planned alternative when appropriate.</w:t>
            </w:r>
          </w:p>
        </w:tc>
        <w:tc>
          <w:tcPr>
            <w:tcW w:type="dxa" w:w="2520"/>
            <w:vAlign w:val="top"/>
          </w:tcPr>
          <w:p>
            <w:pPr>
              <w:spacing w:after="0"/>
            </w:pPr>
            <w:r/>
            <w:r>
              <w:rPr>
                <w:rFonts w:ascii="Aptos" w:hAnsi="Aptos"/>
                <w:b w:val="0"/>
                <w:sz w:val="16"/>
              </w:rPr>
              <w:t>The best answer is usually assessment plus a reasonable backup response, not automatic continuation or automatic termination.</w:t>
            </w:r>
          </w:p>
        </w:tc>
      </w:tr>
      <w:tr>
        <w:tc>
          <w:tcPr>
            <w:tcW w:type="dxa" w:w="2376"/>
            <w:vAlign w:val="top"/>
            <w:shd w:fill="F7F9FA"/>
          </w:tcPr>
          <w:p>
            <w:pPr>
              <w:spacing w:after="0"/>
            </w:pPr>
            <w:r/>
            <w:r>
              <w:rPr>
                <w:rFonts w:ascii="Aptos" w:hAnsi="Aptos"/>
                <w:b/>
                <w:sz w:val="16"/>
              </w:rPr>
              <w:t>California Registrant Serving Out-of-State Client</w:t>
            </w:r>
          </w:p>
        </w:tc>
        <w:tc>
          <w:tcPr>
            <w:tcW w:type="dxa" w:w="5256"/>
            <w:vAlign w:val="top"/>
            <w:shd w:fill="F7F9FA"/>
          </w:tcPr>
          <w:p>
            <w:pPr>
              <w:spacing w:after="0"/>
            </w:pPr>
            <w:r/>
            <w:r>
              <w:rPr>
                <w:rFonts w:ascii="Aptos" w:hAnsi="Aptos"/>
                <w:b w:val="0"/>
                <w:sz w:val="16"/>
              </w:rPr>
              <w:t>The client's Nevada location triggers Nevada's practice requirements, while the APCC must also remain compliant with California registration, employment, and supervision rules.</w:t>
            </w:r>
          </w:p>
        </w:tc>
        <w:tc>
          <w:tcPr>
            <w:tcW w:type="dxa" w:w="2520"/>
            <w:vAlign w:val="top"/>
            <w:shd w:fill="F7F9FA"/>
          </w:tcPr>
          <w:p>
            <w:pPr>
              <w:spacing w:after="0"/>
            </w:pPr>
            <w:r/>
            <w:r>
              <w:rPr>
                <w:rFonts w:ascii="Aptos" w:hAnsi="Aptos"/>
                <w:b w:val="0"/>
                <w:sz w:val="16"/>
              </w:rPr>
              <w:t>For associates, analyze both jurisdictions and preserve all supervision requirements.</w:t>
            </w:r>
          </w:p>
        </w:tc>
      </w:tr>
      <w:tr>
        <w:tc>
          <w:tcPr>
            <w:tcW w:type="dxa" w:w="2376"/>
            <w:vAlign w:val="top"/>
          </w:tcPr>
          <w:p>
            <w:pPr>
              <w:spacing w:after="0"/>
            </w:pPr>
            <w:r/>
            <w:r>
              <w:rPr>
                <w:rFonts w:ascii="Aptos" w:hAnsi="Aptos"/>
                <w:b/>
                <w:sz w:val="16"/>
              </w:rPr>
              <w:t>Temporary Practice Allowance</w:t>
            </w:r>
          </w:p>
        </w:tc>
        <w:tc>
          <w:tcPr>
            <w:tcW w:type="dxa" w:w="5256"/>
            <w:vAlign w:val="top"/>
          </w:tcPr>
          <w:p>
            <w:pPr>
              <w:spacing w:after="0"/>
            </w:pPr>
            <w:r/>
            <w:r>
              <w:rPr>
                <w:rFonts w:ascii="Aptos" w:hAnsi="Aptos"/>
                <w:b w:val="0"/>
                <w:sz w:val="16"/>
              </w:rPr>
              <w:t>The allowance is limited, applies to qualifying independent licensees and existing clients, lasts 30 consecutive days, and may be granted only once per calendar year.</w:t>
            </w:r>
          </w:p>
        </w:tc>
        <w:tc>
          <w:tcPr>
            <w:tcW w:type="dxa" w:w="2520"/>
            <w:vAlign w:val="top"/>
          </w:tcPr>
          <w:p>
            <w:pPr>
              <w:spacing w:after="0"/>
            </w:pPr>
            <w:r/>
            <w:r>
              <w:rPr>
                <w:rFonts w:ascii="Aptos" w:hAnsi="Aptos"/>
                <w:b w:val="0"/>
                <w:sz w:val="16"/>
              </w:rPr>
              <w:t>The words 'existing client visiting California' suggest the narrow allowance, but never assume it is automatic.</w:t>
            </w:r>
          </w:p>
        </w:tc>
      </w:tr>
      <w:tr>
        <w:tc>
          <w:tcPr>
            <w:tcW w:type="dxa" w:w="2376"/>
            <w:vAlign w:val="top"/>
            <w:shd w:fill="F7F9FA"/>
          </w:tcPr>
          <w:p>
            <w:pPr>
              <w:spacing w:after="0"/>
            </w:pPr>
            <w:r/>
            <w:r>
              <w:rPr>
                <w:rFonts w:ascii="Aptos" w:hAnsi="Aptos"/>
                <w:b/>
                <w:sz w:val="16"/>
              </w:rPr>
              <w:t>Unknown Location During Acute Risk</w:t>
            </w:r>
          </w:p>
        </w:tc>
        <w:tc>
          <w:tcPr>
            <w:tcW w:type="dxa" w:w="5256"/>
            <w:vAlign w:val="top"/>
            <w:shd w:fill="F7F9FA"/>
          </w:tcPr>
          <w:p>
            <w:pPr>
              <w:spacing w:after="0"/>
            </w:pPr>
            <w:r/>
            <w:r>
              <w:rPr>
                <w:rFonts w:ascii="Aptos" w:hAnsi="Aptos"/>
                <w:b w:val="0"/>
                <w:sz w:val="16"/>
              </w:rPr>
              <w:t>The therapist needs the present location to coordinate immediate safety action and should address location and risk without unnecessary delay.</w:t>
            </w:r>
          </w:p>
        </w:tc>
        <w:tc>
          <w:tcPr>
            <w:tcW w:type="dxa" w:w="2520"/>
            <w:vAlign w:val="top"/>
            <w:shd w:fill="F7F9FA"/>
          </w:tcPr>
          <w:p>
            <w:pPr>
              <w:spacing w:after="0"/>
            </w:pPr>
            <w:r/>
            <w:r>
              <w:rPr>
                <w:rFonts w:ascii="Aptos" w:hAnsi="Aptos"/>
                <w:b w:val="0"/>
                <w:sz w:val="16"/>
              </w:rPr>
              <w:t>In acute-risk telehealth questions, location is not paperwork; it is part of the safety intervention.</w:t>
            </w:r>
          </w:p>
        </w:tc>
      </w:tr>
      <w:tr>
        <w:tc>
          <w:tcPr>
            <w:tcW w:type="dxa" w:w="2376"/>
            <w:vAlign w:val="top"/>
          </w:tcPr>
          <w:p>
            <w:pPr>
              <w:spacing w:after="0"/>
            </w:pPr>
            <w:r/>
            <w:r>
              <w:rPr>
                <w:rFonts w:ascii="Aptos" w:hAnsi="Aptos"/>
                <w:b/>
                <w:sz w:val="16"/>
              </w:rPr>
              <w:t>Technology Competence</w:t>
            </w:r>
          </w:p>
        </w:tc>
        <w:tc>
          <w:tcPr>
            <w:tcW w:type="dxa" w:w="5256"/>
            <w:vAlign w:val="top"/>
          </w:tcPr>
          <w:p>
            <w:pPr>
              <w:spacing w:after="0"/>
            </w:pPr>
            <w:r/>
            <w:r>
              <w:rPr>
                <w:rFonts w:ascii="Aptos" w:hAnsi="Aptos"/>
                <w:b w:val="0"/>
                <w:sz w:val="16"/>
              </w:rPr>
              <w:t>Professional competence includes understanding the tools used in practice, their limitations, and their effect on confidentiality, safety, and treatment.</w:t>
            </w:r>
          </w:p>
        </w:tc>
        <w:tc>
          <w:tcPr>
            <w:tcW w:type="dxa" w:w="2520"/>
            <w:vAlign w:val="top"/>
          </w:tcPr>
          <w:p>
            <w:pPr>
              <w:spacing w:after="0"/>
            </w:pPr>
            <w:r/>
            <w:r>
              <w:rPr>
                <w:rFonts w:ascii="Aptos" w:hAnsi="Aptos"/>
                <w:b w:val="0"/>
                <w:sz w:val="16"/>
              </w:rPr>
              <w:t>Licensure and experience are not substitutes for specific competence.</w:t>
            </w:r>
          </w:p>
        </w:tc>
      </w:tr>
      <w:tr>
        <w:tc>
          <w:tcPr>
            <w:tcW w:type="dxa" w:w="2376"/>
            <w:vAlign w:val="top"/>
            <w:shd w:fill="F7F9FA"/>
          </w:tcPr>
          <w:p>
            <w:pPr>
              <w:spacing w:after="0"/>
            </w:pPr>
            <w:r/>
            <w:r>
              <w:rPr>
                <w:rFonts w:ascii="Aptos" w:hAnsi="Aptos"/>
                <w:b/>
                <w:sz w:val="16"/>
              </w:rPr>
              <w:t>Permanent Interstate Relocation and Continuity</w:t>
            </w:r>
          </w:p>
        </w:tc>
        <w:tc>
          <w:tcPr>
            <w:tcW w:type="dxa" w:w="5256"/>
            <w:vAlign w:val="top"/>
            <w:shd w:fill="F7F9FA"/>
          </w:tcPr>
          <w:p>
            <w:pPr>
              <w:spacing w:after="0"/>
            </w:pPr>
            <w:r/>
            <w:r>
              <w:rPr>
                <w:rFonts w:ascii="Aptos" w:hAnsi="Aptos"/>
                <w:b w:val="0"/>
                <w:sz w:val="16"/>
              </w:rPr>
              <w:t>Client need and continuity are important, but they do not override Arizona's authority to regulate services delivered to a person located there.</w:t>
            </w:r>
          </w:p>
        </w:tc>
        <w:tc>
          <w:tcPr>
            <w:tcW w:type="dxa" w:w="2520"/>
            <w:vAlign w:val="top"/>
            <w:shd w:fill="F7F9FA"/>
          </w:tcPr>
          <w:p>
            <w:pPr>
              <w:spacing w:after="0"/>
            </w:pPr>
            <w:r/>
            <w:r>
              <w:rPr>
                <w:rFonts w:ascii="Aptos" w:hAnsi="Aptos"/>
                <w:b w:val="0"/>
                <w:sz w:val="16"/>
              </w:rPr>
              <w:t>The exam may make the unauthorized option feel compassionate. Choose lawful continuity planning rather than unauthorized continuation.</w:t>
            </w:r>
          </w:p>
        </w:tc>
      </w:tr>
      <w:tr>
        <w:tc>
          <w:tcPr>
            <w:tcW w:type="dxa" w:w="2376"/>
            <w:vAlign w:val="top"/>
          </w:tcPr>
          <w:p>
            <w:pPr>
              <w:spacing w:after="0"/>
            </w:pPr>
            <w:r/>
            <w:r>
              <w:rPr>
                <w:rFonts w:ascii="Aptos" w:hAnsi="Aptos"/>
                <w:b/>
                <w:sz w:val="16"/>
              </w:rPr>
              <w:t>Integrated Telehealth Foundations</w:t>
            </w:r>
          </w:p>
        </w:tc>
        <w:tc>
          <w:tcPr>
            <w:tcW w:type="dxa" w:w="5256"/>
            <w:vAlign w:val="top"/>
          </w:tcPr>
          <w:p>
            <w:pPr>
              <w:spacing w:after="0"/>
            </w:pPr>
            <w:r/>
            <w:r>
              <w:rPr>
                <w:rFonts w:ascii="Aptos" w:hAnsi="Aptos"/>
                <w:b w:val="0"/>
                <w:sz w:val="16"/>
              </w:rPr>
              <w:t>Correct the missing initiation requirements, obtain and document the client's full name and present address at each session, reassess telehealth appropriateness, address safety and continuity needs, and document or consult as clinically indicated. This response integrates initiation duties, each-session requirements, ongoing appropriateness, safety, documentation, and professional judgment.</w:t>
            </w:r>
          </w:p>
        </w:tc>
        <w:tc>
          <w:tcPr>
            <w:tcW w:type="dxa" w:w="2520"/>
            <w:vAlign w:val="top"/>
          </w:tcPr>
          <w:p>
            <w:pPr>
              <w:spacing w:after="0"/>
            </w:pPr>
            <w:r/>
            <w:r>
              <w:rPr>
                <w:rFonts w:ascii="Aptos" w:hAnsi="Aptos"/>
                <w:b w:val="0"/>
                <w:sz w:val="16"/>
              </w:rPr>
              <w:t>For an integrated question, choose the answer that addresses every material problem without relying on a single form, platform, or extreme action.</w:t>
            </w:r>
          </w:p>
        </w:tc>
      </w:tr>
    </w:tbl>
    <w:p>
      <w:pPr>
        <w:pStyle w:val="Heading2"/>
      </w:pPr>
      <w:r>
        <w:t>Exam Reasoning Checklist</w:t>
      </w:r>
    </w:p>
    <w:p>
      <w:pPr>
        <w:pStyle w:val="ListBullet"/>
        <w:spacing w:after="30"/>
      </w:pPr>
      <w:r>
        <w:t>Do not reduce telehealth to video therapy. Look for the broader statutory definition.</w:t>
      </w:r>
    </w:p>
    <w:p>
      <w:pPr>
        <w:pStyle w:val="ListBullet"/>
        <w:spacing w:after="30"/>
      </w:pPr>
      <w:r>
        <w:t>When an answer suggests that technology changes scope or lowers standards, eliminate it.</w:t>
      </w:r>
    </w:p>
    <w:p>
      <w:pPr>
        <w:pStyle w:val="ListBullet"/>
        <w:spacing w:after="30"/>
      </w:pPr>
      <w:r>
        <w:t>Separate the therapist's travel from the client's location. The client is physically in California.</w:t>
      </w:r>
    </w:p>
    <w:p>
      <w:pPr>
        <w:pStyle w:val="ListBullet"/>
        <w:spacing w:after="30"/>
      </w:pPr>
      <w:r>
        <w:t>When the client crosses state lines, pause and verify legal authority before relying on continuity or convenience.</w:t>
      </w:r>
    </w:p>
    <w:p>
      <w:pPr>
        <w:pStyle w:val="ListBullet"/>
        <w:spacing w:after="30"/>
      </w:pPr>
      <w:r>
        <w:t>The phrase 'present address' is a strong exam clue. Do not substitute the address already in the record.</w:t>
      </w:r>
    </w:p>
    <w:p>
      <w:pPr>
        <w:pStyle w:val="ListBullet"/>
        <w:spacing w:after="30"/>
      </w:pPr>
      <w:r>
        <w:t>Look for the complete initiation set: consent, risks/limitations, credential information, and local resources.</w:t>
      </w:r>
    </w:p>
    <w:p>
      <w:pPr>
        <w:pStyle w:val="ListBullet"/>
        <w:spacing w:after="30"/>
      </w:pPr>
      <w:r>
        <w:t>California-style questions often reject both extremes. Choose the response that assesses and balances competing factors.</w:t>
      </w:r>
    </w:p>
    <w:p>
      <w:pPr>
        <w:pStyle w:val="ListBullet"/>
        <w:spacing w:after="30"/>
      </w:pPr>
      <w:r>
        <w:t>A change in symptoms or environment signals an each-session reassessment question.</w:t>
      </w:r>
    </w:p>
    <w:p>
      <w:pPr>
        <w:pStyle w:val="Heading2"/>
      </w:pPr>
      <w:r>
        <w:t>Chapter Rapid Review</w:t>
      </w:r>
    </w:p>
    <w:p>
      <w:r>
        <w:rPr>
          <w:b/>
        </w:rPr>
        <w:t xml:space="preserve">Know these concepts: </w:t>
      </w:r>
      <w:r>
        <w:t>California Definition of Telehealth; Scope and Professional Standards; Therapist Traveling Out of State; Client Location and Interstate Authority; Beginning-of-Session Requirements; Initiation Requirements; Balancing Benefits and Limitations; Ongoing Appropriateness; Present Address Documentation; Telehealth Does Not Expand Scope; Technology Failure and Continued Appropriateness; California Registrant Serving Out-of-State Client; Temporary Practice Allowance; Unknown Location During Acute Risk; Technology Competence; Permanent Interstate Relocation and Continuity; Integrated Telehealth Foundations</w:t>
      </w:r>
    </w:p>
    <w:p>
      <w:r>
        <w:br w:type="page"/>
      </w:r>
    </w:p>
    <w:p>
      <w:pPr>
        <w:pStyle w:val="Heading2"/>
      </w:pPr>
      <w:r>
        <w:t>Chapter 2</w:t>
      </w:r>
    </w:p>
    <w:p>
      <w:pPr>
        <w:pStyle w:val="Heading1"/>
      </w:pPr>
      <w:r>
        <w:t>Telehealth Informed Consent</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statute permits verbal or written consent and requires documentation of the consent. Section 2290.5 requires the client to be informed and consent obtained before telehealth delivery.</w:t>
            </w:r>
          </w:p>
        </w:tc>
      </w:tr>
    </w:tbl>
    <w:p>
      <w:pPr>
        <w:pStyle w:val="Heading2"/>
      </w:pPr>
      <w:r>
        <w:t>What to Learn</w:t>
      </w:r>
    </w:p>
    <w:p>
      <w:pPr>
        <w:pStyle w:val="ListBullet"/>
        <w:spacing w:after="30"/>
      </w:pPr>
      <w:r>
        <w:t>Explain and apply Form of Telehealth Consent.</w:t>
      </w:r>
    </w:p>
    <w:p>
      <w:pPr>
        <w:pStyle w:val="ListBullet"/>
        <w:spacing w:after="30"/>
      </w:pPr>
      <w:r>
        <w:t>Explain and apply Timing of Consent.</w:t>
      </w:r>
    </w:p>
    <w:p>
      <w:pPr>
        <w:pStyle w:val="ListBullet"/>
        <w:spacing w:after="30"/>
      </w:pPr>
      <w:r>
        <w:t>Explain and apply Transition to Telehealth.</w:t>
      </w:r>
    </w:p>
    <w:p>
      <w:pPr>
        <w:pStyle w:val="ListBullet"/>
        <w:spacing w:after="30"/>
      </w:pPr>
      <w:r>
        <w:t>Explain and apply BBS Credential Disclosure.</w:t>
      </w:r>
    </w:p>
    <w:p>
      <w:pPr>
        <w:pStyle w:val="ListBullet"/>
        <w:spacing w:after="30"/>
      </w:pPr>
      <w:r>
        <w:t>Explain and apply Documentation of Consent.</w:t>
      </w:r>
    </w:p>
    <w:p>
      <w:pPr>
        <w:pStyle w:val="ListBullet"/>
        <w:spacing w:after="30"/>
      </w:pPr>
      <w:r>
        <w:t>Explain and apply Complete BBS Initiation Requirements.</w:t>
      </w:r>
    </w:p>
    <w:p>
      <w:pPr>
        <w:pStyle w:val="ListBullet"/>
        <w:spacing w:after="30"/>
      </w:pPr>
      <w:r>
        <w:t>Explain and apply Separate Form Not Required.</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Form of Telehealth Consent</w:t>
            </w:r>
          </w:p>
        </w:tc>
        <w:tc>
          <w:tcPr>
            <w:tcW w:type="dxa" w:w="5256"/>
            <w:vAlign w:val="top"/>
          </w:tcPr>
          <w:p>
            <w:pPr>
              <w:spacing w:after="0"/>
            </w:pPr>
            <w:r/>
            <w:r>
              <w:rPr>
                <w:rFonts w:ascii="Aptos" w:hAnsi="Aptos"/>
                <w:b w:val="0"/>
                <w:sz w:val="16"/>
              </w:rPr>
              <w:t>The statute permits verbal or written consent and requires documentation of the consent.</w:t>
            </w:r>
          </w:p>
        </w:tc>
        <w:tc>
          <w:tcPr>
            <w:tcW w:type="dxa" w:w="2520"/>
            <w:vAlign w:val="top"/>
          </w:tcPr>
          <w:p>
            <w:pPr>
              <w:spacing w:after="0"/>
            </w:pPr>
            <w:r/>
            <w:r>
              <w:rPr>
                <w:rFonts w:ascii="Aptos" w:hAnsi="Aptos"/>
                <w:b w:val="0"/>
                <w:sz w:val="16"/>
              </w:rPr>
              <w:t>Eliminate answers that impose a written-form requirement not found in the statute.</w:t>
            </w:r>
          </w:p>
        </w:tc>
      </w:tr>
      <w:tr>
        <w:tc>
          <w:tcPr>
            <w:tcW w:type="dxa" w:w="2376"/>
            <w:vAlign w:val="top"/>
            <w:shd w:fill="F7F9FA"/>
          </w:tcPr>
          <w:p>
            <w:pPr>
              <w:spacing w:after="0"/>
            </w:pPr>
            <w:r/>
            <w:r>
              <w:rPr>
                <w:rFonts w:ascii="Aptos" w:hAnsi="Aptos"/>
                <w:b/>
                <w:sz w:val="16"/>
              </w:rPr>
              <w:t>Timing of Consent</w:t>
            </w:r>
          </w:p>
        </w:tc>
        <w:tc>
          <w:tcPr>
            <w:tcW w:type="dxa" w:w="5256"/>
            <w:vAlign w:val="top"/>
            <w:shd w:fill="F7F9FA"/>
          </w:tcPr>
          <w:p>
            <w:pPr>
              <w:spacing w:after="0"/>
            </w:pPr>
            <w:r/>
            <w:r>
              <w:rPr>
                <w:rFonts w:ascii="Aptos" w:hAnsi="Aptos"/>
                <w:b w:val="0"/>
                <w:sz w:val="16"/>
              </w:rPr>
              <w:t>Section 2290.5 requires the client to be informed and consent obtained before telehealth delivery.</w:t>
            </w:r>
          </w:p>
        </w:tc>
        <w:tc>
          <w:tcPr>
            <w:tcW w:type="dxa" w:w="2520"/>
            <w:vAlign w:val="top"/>
            <w:shd w:fill="F7F9FA"/>
          </w:tcPr>
          <w:p>
            <w:pPr>
              <w:spacing w:after="0"/>
            </w:pPr>
            <w:r/>
            <w:r>
              <w:rPr>
                <w:rFonts w:ascii="Aptos" w:hAnsi="Aptos"/>
                <w:b w:val="0"/>
                <w:sz w:val="16"/>
              </w:rPr>
              <w:t>The statutory phrase is “before the delivery” of telehealth.</w:t>
            </w:r>
          </w:p>
        </w:tc>
      </w:tr>
      <w:tr>
        <w:tc>
          <w:tcPr>
            <w:tcW w:type="dxa" w:w="2376"/>
            <w:vAlign w:val="top"/>
          </w:tcPr>
          <w:p>
            <w:pPr>
              <w:spacing w:after="0"/>
            </w:pPr>
            <w:r/>
            <w:r>
              <w:rPr>
                <w:rFonts w:ascii="Aptos" w:hAnsi="Aptos"/>
                <w:b/>
                <w:sz w:val="16"/>
              </w:rPr>
              <w:t>Transition to Telehealth</w:t>
            </w:r>
          </w:p>
        </w:tc>
        <w:tc>
          <w:tcPr>
            <w:tcW w:type="dxa" w:w="5256"/>
            <w:vAlign w:val="top"/>
          </w:tcPr>
          <w:p>
            <w:pPr>
              <w:spacing w:after="0"/>
            </w:pPr>
            <w:r/>
            <w:r>
              <w:rPr>
                <w:rFonts w:ascii="Aptos" w:hAnsi="Aptos"/>
                <w:b w:val="0"/>
                <w:sz w:val="16"/>
              </w:rPr>
              <w:t>The change from in-person treatment to video initiates telehealth and triggers the consent and BBS initiation duties.</w:t>
            </w:r>
          </w:p>
        </w:tc>
        <w:tc>
          <w:tcPr>
            <w:tcW w:type="dxa" w:w="2520"/>
            <w:vAlign w:val="top"/>
          </w:tcPr>
          <w:p>
            <w:pPr>
              <w:spacing w:after="0"/>
            </w:pPr>
            <w:r/>
            <w:r>
              <w:rPr>
                <w:rFonts w:ascii="Aptos" w:hAnsi="Aptos"/>
                <w:b w:val="0"/>
                <w:sz w:val="16"/>
              </w:rPr>
              <w:t>A change in delivery mode can trigger telehealth initiation even when treatment itself is not new.</w:t>
            </w:r>
          </w:p>
        </w:tc>
      </w:tr>
      <w:tr>
        <w:tc>
          <w:tcPr>
            <w:tcW w:type="dxa" w:w="2376"/>
            <w:vAlign w:val="top"/>
            <w:shd w:fill="F7F9FA"/>
          </w:tcPr>
          <w:p>
            <w:pPr>
              <w:spacing w:after="0"/>
            </w:pPr>
            <w:r/>
            <w:r>
              <w:rPr>
                <w:rFonts w:ascii="Aptos" w:hAnsi="Aptos"/>
                <w:b/>
                <w:sz w:val="16"/>
              </w:rPr>
              <w:t>BBS Credential Disclosure</w:t>
            </w:r>
          </w:p>
        </w:tc>
        <w:tc>
          <w:tcPr>
            <w:tcW w:type="dxa" w:w="5256"/>
            <w:vAlign w:val="top"/>
            <w:shd w:fill="F7F9FA"/>
          </w:tcPr>
          <w:p>
            <w:pPr>
              <w:spacing w:after="0"/>
            </w:pPr>
            <w:r/>
            <w:r>
              <w:rPr>
                <w:rFonts w:ascii="Aptos" w:hAnsi="Aptos"/>
                <w:b w:val="0"/>
                <w:sz w:val="16"/>
              </w:rPr>
              <w:t>Section 1815.5(c)(3) requires the credential type and number.</w:t>
            </w:r>
          </w:p>
        </w:tc>
        <w:tc>
          <w:tcPr>
            <w:tcW w:type="dxa" w:w="2520"/>
            <w:vAlign w:val="top"/>
            <w:shd w:fill="F7F9FA"/>
          </w:tcPr>
          <w:p>
            <w:pPr>
              <w:spacing w:after="0"/>
            </w:pPr>
            <w:r/>
            <w:r>
              <w:rPr>
                <w:rFonts w:ascii="Aptos" w:hAnsi="Aptos"/>
                <w:b w:val="0"/>
                <w:sz w:val="16"/>
              </w:rPr>
              <w:t>When the question asks what must be provided, look for the exact BBS credential information.</w:t>
            </w:r>
          </w:p>
        </w:tc>
      </w:tr>
      <w:tr>
        <w:tc>
          <w:tcPr>
            <w:tcW w:type="dxa" w:w="2376"/>
            <w:vAlign w:val="top"/>
          </w:tcPr>
          <w:p>
            <w:pPr>
              <w:spacing w:after="0"/>
            </w:pPr>
            <w:r/>
            <w:r>
              <w:rPr>
                <w:rFonts w:ascii="Aptos" w:hAnsi="Aptos"/>
                <w:b/>
                <w:sz w:val="16"/>
              </w:rPr>
              <w:t>Documentation of Consent</w:t>
            </w:r>
          </w:p>
        </w:tc>
        <w:tc>
          <w:tcPr>
            <w:tcW w:type="dxa" w:w="5256"/>
            <w:vAlign w:val="top"/>
          </w:tcPr>
          <w:p>
            <w:pPr>
              <w:spacing w:after="0"/>
            </w:pPr>
            <w:r/>
            <w:r>
              <w:rPr>
                <w:rFonts w:ascii="Aptos" w:hAnsi="Aptos"/>
                <w:b w:val="0"/>
                <w:sz w:val="16"/>
              </w:rPr>
              <w:t>The defect is not the verbal form; it is the absence of documentation.</w:t>
            </w:r>
          </w:p>
        </w:tc>
        <w:tc>
          <w:tcPr>
            <w:tcW w:type="dxa" w:w="2520"/>
            <w:vAlign w:val="top"/>
          </w:tcPr>
          <w:p>
            <w:pPr>
              <w:spacing w:after="0"/>
            </w:pPr>
            <w:r/>
            <w:r>
              <w:rPr>
                <w:rFonts w:ascii="Aptos" w:hAnsi="Aptos"/>
                <w:b w:val="0"/>
                <w:sz w:val="16"/>
              </w:rPr>
              <w:t>Separate the form of consent from the documentation requirement.</w:t>
            </w:r>
          </w:p>
        </w:tc>
      </w:tr>
      <w:tr>
        <w:tc>
          <w:tcPr>
            <w:tcW w:type="dxa" w:w="2376"/>
            <w:vAlign w:val="top"/>
            <w:shd w:fill="F7F9FA"/>
          </w:tcPr>
          <w:p>
            <w:pPr>
              <w:spacing w:after="0"/>
            </w:pPr>
            <w:r/>
            <w:r>
              <w:rPr>
                <w:rFonts w:ascii="Aptos" w:hAnsi="Aptos"/>
                <w:b/>
                <w:sz w:val="16"/>
              </w:rPr>
              <w:t>Complete BBS Initiation Requirements</w:t>
            </w:r>
          </w:p>
        </w:tc>
        <w:tc>
          <w:tcPr>
            <w:tcW w:type="dxa" w:w="5256"/>
            <w:vAlign w:val="top"/>
            <w:shd w:fill="F7F9FA"/>
          </w:tcPr>
          <w:p>
            <w:pPr>
              <w:spacing w:after="0"/>
            </w:pPr>
            <w:r/>
            <w:r>
              <w:rPr>
                <w:rFonts w:ascii="Aptos" w:hAnsi="Aptos"/>
                <w:b w:val="0"/>
                <w:sz w:val="16"/>
              </w:rPr>
              <w:t>Obtain and document verbal or written telehealth consent, explain potential risks and limitations, provide credential type and number, and document reasonable efforts to identify relevant resources including emergency services in the client's geographic area. This answer contains the four initiation requirements in section 1815.5(c).</w:t>
            </w:r>
          </w:p>
        </w:tc>
        <w:tc>
          <w:tcPr>
            <w:tcW w:type="dxa" w:w="2520"/>
            <w:vAlign w:val="top"/>
            <w:shd w:fill="F7F9FA"/>
          </w:tcPr>
          <w:p>
            <w:pPr>
              <w:spacing w:after="0"/>
            </w:pPr>
            <w:r/>
            <w:r>
              <w:rPr>
                <w:rFonts w:ascii="Aptos" w:hAnsi="Aptos"/>
                <w:b w:val="0"/>
                <w:sz w:val="16"/>
              </w:rPr>
              <w:t>Memorize the four-part initiation set rather than selecting a partially correct checklist.</w:t>
            </w:r>
          </w:p>
        </w:tc>
      </w:tr>
      <w:tr>
        <w:tc>
          <w:tcPr>
            <w:tcW w:type="dxa" w:w="2376"/>
            <w:vAlign w:val="top"/>
          </w:tcPr>
          <w:p>
            <w:pPr>
              <w:spacing w:after="0"/>
            </w:pPr>
            <w:r/>
            <w:r>
              <w:rPr>
                <w:rFonts w:ascii="Aptos" w:hAnsi="Aptos"/>
                <w:b/>
                <w:sz w:val="16"/>
              </w:rPr>
              <w:t>Separate Form Not Required</w:t>
            </w:r>
          </w:p>
        </w:tc>
        <w:tc>
          <w:tcPr>
            <w:tcW w:type="dxa" w:w="5256"/>
            <w:vAlign w:val="top"/>
          </w:tcPr>
          <w:p>
            <w:pPr>
              <w:spacing w:after="0"/>
            </w:pPr>
            <w:r/>
            <w:r>
              <w:rPr>
                <w:rFonts w:ascii="Aptos" w:hAnsi="Aptos"/>
                <w:b w:val="0"/>
                <w:sz w:val="16"/>
              </w:rPr>
              <w:t>The law does not mandate a separate form if the comprehensive process satisfies the telehealth requirements.</w:t>
            </w:r>
          </w:p>
        </w:tc>
        <w:tc>
          <w:tcPr>
            <w:tcW w:type="dxa" w:w="2520"/>
            <w:vAlign w:val="top"/>
          </w:tcPr>
          <w:p>
            <w:pPr>
              <w:spacing w:after="0"/>
            </w:pPr>
            <w:r/>
            <w:r>
              <w:rPr>
                <w:rFonts w:ascii="Aptos" w:hAnsi="Aptos"/>
                <w:b w:val="0"/>
                <w:sz w:val="16"/>
              </w:rPr>
              <w:t>Do not confuse a required process with a required document format.</w:t>
            </w:r>
          </w:p>
        </w:tc>
      </w:tr>
      <w:tr>
        <w:tc>
          <w:tcPr>
            <w:tcW w:type="dxa" w:w="2376"/>
            <w:vAlign w:val="top"/>
            <w:shd w:fill="F7F9FA"/>
          </w:tcPr>
          <w:p>
            <w:pPr>
              <w:spacing w:after="0"/>
            </w:pPr>
            <w:r/>
            <w:r>
              <w:rPr>
                <w:rFonts w:ascii="Aptos" w:hAnsi="Aptos"/>
                <w:b/>
                <w:sz w:val="16"/>
              </w:rPr>
              <w:t>Generic Signature Is Insufficient</w:t>
            </w:r>
          </w:p>
        </w:tc>
        <w:tc>
          <w:tcPr>
            <w:tcW w:type="dxa" w:w="5256"/>
            <w:vAlign w:val="top"/>
            <w:shd w:fill="F7F9FA"/>
          </w:tcPr>
          <w:p>
            <w:pPr>
              <w:spacing w:after="0"/>
            </w:pPr>
            <w:r/>
            <w:r>
              <w:rPr>
                <w:rFonts w:ascii="Aptos" w:hAnsi="Aptos"/>
                <w:b w:val="0"/>
                <w:sz w:val="16"/>
              </w:rPr>
              <w:t>A generic signature cannot substitute for informing the client, obtaining telehealth consent, documenting it, and providing the BBS-required information.</w:t>
            </w:r>
          </w:p>
        </w:tc>
        <w:tc>
          <w:tcPr>
            <w:tcW w:type="dxa" w:w="2520"/>
            <w:vAlign w:val="top"/>
            <w:shd w:fill="F7F9FA"/>
          </w:tcPr>
          <w:p>
            <w:pPr>
              <w:spacing w:after="0"/>
            </w:pPr>
            <w:r/>
            <w:r>
              <w:rPr>
                <w:rFonts w:ascii="Aptos" w:hAnsi="Aptos"/>
                <w:b w:val="0"/>
                <w:sz w:val="16"/>
              </w:rPr>
              <w:t>A signature is evidence only of what the document and surrounding process actually covered.</w:t>
            </w:r>
          </w:p>
        </w:tc>
      </w:tr>
      <w:tr>
        <w:tc>
          <w:tcPr>
            <w:tcW w:type="dxa" w:w="2376"/>
            <w:vAlign w:val="top"/>
          </w:tcPr>
          <w:p>
            <w:pPr>
              <w:spacing w:after="0"/>
            </w:pPr>
            <w:r/>
            <w:r>
              <w:rPr>
                <w:rFonts w:ascii="Aptos" w:hAnsi="Aptos"/>
                <w:b/>
                <w:sz w:val="16"/>
              </w:rPr>
              <w:t>In-Person Care After Telehealth Consent</w:t>
            </w:r>
          </w:p>
        </w:tc>
        <w:tc>
          <w:tcPr>
            <w:tcW w:type="dxa" w:w="5256"/>
            <w:vAlign w:val="top"/>
          </w:tcPr>
          <w:p>
            <w:pPr>
              <w:spacing w:after="0"/>
            </w:pPr>
            <w:r/>
            <w:r>
              <w:rPr>
                <w:rFonts w:ascii="Aptos" w:hAnsi="Aptos"/>
                <w:b w:val="0"/>
                <w:sz w:val="16"/>
              </w:rPr>
              <w:t>In-person care remains possible, although the particular option depends on availability, legality, and clinical appropriateness.</w:t>
            </w:r>
          </w:p>
        </w:tc>
        <w:tc>
          <w:tcPr>
            <w:tcW w:type="dxa" w:w="2520"/>
            <w:vAlign w:val="top"/>
          </w:tcPr>
          <w:p>
            <w:pPr>
              <w:spacing w:after="0"/>
            </w:pPr>
            <w:r/>
            <w:r>
              <w:rPr>
                <w:rFonts w:ascii="Aptos" w:hAnsi="Aptos"/>
                <w:b w:val="0"/>
                <w:sz w:val="16"/>
              </w:rPr>
              <w:t>Do not turn the right to receive in-person care into a guarantee that one provider must offer every format.</w:t>
            </w:r>
          </w:p>
        </w:tc>
      </w:tr>
      <w:tr>
        <w:tc>
          <w:tcPr>
            <w:tcW w:type="dxa" w:w="2376"/>
            <w:vAlign w:val="top"/>
            <w:shd w:fill="F7F9FA"/>
          </w:tcPr>
          <w:p>
            <w:pPr>
              <w:spacing w:after="0"/>
            </w:pPr>
            <w:r/>
            <w:r>
              <w:rPr>
                <w:rFonts w:ascii="Aptos" w:hAnsi="Aptos"/>
                <w:b/>
                <w:sz w:val="16"/>
              </w:rPr>
              <w:t>Local Emergency Resources</w:t>
            </w:r>
          </w:p>
        </w:tc>
        <w:tc>
          <w:tcPr>
            <w:tcW w:type="dxa" w:w="5256"/>
            <w:vAlign w:val="top"/>
            <w:shd w:fill="F7F9FA"/>
          </w:tcPr>
          <w:p>
            <w:pPr>
              <w:spacing w:after="0"/>
            </w:pPr>
            <w:r/>
            <w:r>
              <w:rPr>
                <w:rFonts w:ascii="Aptos" w:hAnsi="Aptos"/>
                <w:b w:val="0"/>
                <w:sz w:val="16"/>
              </w:rPr>
              <w:t>Documentation of reasonable efforts to ascertain contact information for relevant resources, including emergency services, in the client's geographic area. This is the express local-resource requirement in section 1815.5(c)(4).</w:t>
            </w:r>
          </w:p>
        </w:tc>
        <w:tc>
          <w:tcPr>
            <w:tcW w:type="dxa" w:w="2520"/>
            <w:vAlign w:val="top"/>
            <w:shd w:fill="F7F9FA"/>
          </w:tcPr>
          <w:p>
            <w:pPr>
              <w:spacing w:after="0"/>
            </w:pPr>
            <w:r/>
            <w:r>
              <w:rPr>
                <w:rFonts w:ascii="Aptos" w:hAnsi="Aptos"/>
                <w:b w:val="0"/>
                <w:sz w:val="16"/>
              </w:rPr>
              <w:t>Choose the precise local-resource requirement rather than a broader crisis-practice recommendation.</w:t>
            </w:r>
          </w:p>
        </w:tc>
      </w:tr>
      <w:tr>
        <w:tc>
          <w:tcPr>
            <w:tcW w:type="dxa" w:w="2376"/>
            <w:vAlign w:val="top"/>
          </w:tcPr>
          <w:p>
            <w:pPr>
              <w:spacing w:after="0"/>
            </w:pPr>
            <w:r/>
            <w:r>
              <w:rPr>
                <w:rFonts w:ascii="Aptos" w:hAnsi="Aptos"/>
                <w:b/>
                <w:sz w:val="16"/>
              </w:rPr>
              <w:t>Material Change and Updated Discussion</w:t>
            </w:r>
          </w:p>
        </w:tc>
        <w:tc>
          <w:tcPr>
            <w:tcW w:type="dxa" w:w="5256"/>
            <w:vAlign w:val="top"/>
          </w:tcPr>
          <w:p>
            <w:pPr>
              <w:spacing w:after="0"/>
            </w:pPr>
            <w:r/>
            <w:r>
              <w:rPr>
                <w:rFonts w:ascii="Aptos" w:hAnsi="Aptos"/>
                <w:b w:val="0"/>
                <w:sz w:val="16"/>
              </w:rPr>
              <w:t>A material platform change should prompt a tailored update to the informed-consent process and documentation.</w:t>
            </w:r>
          </w:p>
        </w:tc>
        <w:tc>
          <w:tcPr>
            <w:tcW w:type="dxa" w:w="2520"/>
            <w:vAlign w:val="top"/>
          </w:tcPr>
          <w:p>
            <w:pPr>
              <w:spacing w:after="0"/>
            </w:pPr>
            <w:r/>
            <w:r>
              <w:rPr>
                <w:rFonts w:ascii="Aptos" w:hAnsi="Aptos"/>
                <w:b w:val="0"/>
                <w:sz w:val="16"/>
              </w:rPr>
              <w:t>The trigger is material change, not merely the passage of time.</w:t>
            </w:r>
          </w:p>
        </w:tc>
      </w:tr>
      <w:tr>
        <w:tc>
          <w:tcPr>
            <w:tcW w:type="dxa" w:w="2376"/>
            <w:vAlign w:val="top"/>
            <w:shd w:fill="F7F9FA"/>
          </w:tcPr>
          <w:p>
            <w:pPr>
              <w:spacing w:after="0"/>
            </w:pPr>
            <w:r/>
            <w:r>
              <w:rPr>
                <w:rFonts w:ascii="Aptos" w:hAnsi="Aptos"/>
                <w:b/>
                <w:sz w:val="16"/>
              </w:rPr>
              <w:t>Client Misunderstanding</w:t>
            </w:r>
          </w:p>
        </w:tc>
        <w:tc>
          <w:tcPr>
            <w:tcW w:type="dxa" w:w="5256"/>
            <w:vAlign w:val="top"/>
            <w:shd w:fill="F7F9FA"/>
          </w:tcPr>
          <w:p>
            <w:pPr>
              <w:spacing w:after="0"/>
            </w:pPr>
            <w:r/>
            <w:r>
              <w:rPr>
                <w:rFonts w:ascii="Aptos" w:hAnsi="Aptos"/>
                <w:b w:val="0"/>
                <w:sz w:val="16"/>
              </w:rPr>
              <w:t>The client's misunderstanding and changed willingness require renewed discussion, clinical assessment, and documentation.</w:t>
            </w:r>
          </w:p>
        </w:tc>
        <w:tc>
          <w:tcPr>
            <w:tcW w:type="dxa" w:w="2520"/>
            <w:vAlign w:val="top"/>
            <w:shd w:fill="F7F9FA"/>
          </w:tcPr>
          <w:p>
            <w:pPr>
              <w:spacing w:after="0"/>
            </w:pPr>
            <w:r/>
            <w:r>
              <w:rPr>
                <w:rFonts w:ascii="Aptos" w:hAnsi="Aptos"/>
                <w:b w:val="0"/>
                <w:sz w:val="16"/>
              </w:rPr>
              <w:t>When the client reveals a misunderstanding, repair the informed-consent process before choosing an extreme action.</w:t>
            </w:r>
          </w:p>
        </w:tc>
      </w:tr>
      <w:tr>
        <w:tc>
          <w:tcPr>
            <w:tcW w:type="dxa" w:w="2376"/>
            <w:vAlign w:val="top"/>
          </w:tcPr>
          <w:p>
            <w:pPr>
              <w:spacing w:after="0"/>
            </w:pPr>
            <w:r/>
            <w:r>
              <w:rPr>
                <w:rFonts w:ascii="Aptos" w:hAnsi="Aptos"/>
                <w:b/>
                <w:sz w:val="16"/>
              </w:rPr>
              <w:t>Consent vs. Each-Session Duties</w:t>
            </w:r>
          </w:p>
        </w:tc>
        <w:tc>
          <w:tcPr>
            <w:tcW w:type="dxa" w:w="5256"/>
            <w:vAlign w:val="top"/>
          </w:tcPr>
          <w:p>
            <w:pPr>
              <w:spacing w:after="0"/>
            </w:pPr>
            <w:r/>
            <w:r>
              <w:rPr>
                <w:rFonts w:ascii="Aptos" w:hAnsi="Aptos"/>
                <w:b w:val="0"/>
                <w:sz w:val="16"/>
              </w:rPr>
              <w:t>California separates initiation consent from the recurring full-name and present-address requirement.</w:t>
            </w:r>
          </w:p>
        </w:tc>
        <w:tc>
          <w:tcPr>
            <w:tcW w:type="dxa" w:w="2520"/>
            <w:vAlign w:val="top"/>
          </w:tcPr>
          <w:p>
            <w:pPr>
              <w:spacing w:after="0"/>
            </w:pPr>
            <w:r/>
            <w:r>
              <w:rPr>
                <w:rFonts w:ascii="Aptos" w:hAnsi="Aptos"/>
                <w:b w:val="0"/>
                <w:sz w:val="16"/>
              </w:rPr>
              <w:t>Identify whether the question tests initiation duties or each-session duties; they are related but not interchangeable.</w:t>
            </w:r>
          </w:p>
        </w:tc>
      </w:tr>
      <w:tr>
        <w:tc>
          <w:tcPr>
            <w:tcW w:type="dxa" w:w="2376"/>
            <w:vAlign w:val="top"/>
            <w:shd w:fill="F7F9FA"/>
          </w:tcPr>
          <w:p>
            <w:pPr>
              <w:spacing w:after="0"/>
            </w:pPr>
            <w:r/>
            <w:r>
              <w:rPr>
                <w:rFonts w:ascii="Aptos" w:hAnsi="Aptos"/>
                <w:b/>
                <w:sz w:val="16"/>
              </w:rPr>
              <w:t>Recording Consent</w:t>
            </w:r>
          </w:p>
        </w:tc>
        <w:tc>
          <w:tcPr>
            <w:tcW w:type="dxa" w:w="5256"/>
            <w:vAlign w:val="top"/>
            <w:shd w:fill="F7F9FA"/>
          </w:tcPr>
          <w:p>
            <w:pPr>
              <w:spacing w:after="0"/>
            </w:pPr>
            <w:r/>
            <w:r>
              <w:rPr>
                <w:rFonts w:ascii="Aptos" w:hAnsi="Aptos"/>
                <w:b w:val="0"/>
                <w:sz w:val="16"/>
              </w:rPr>
              <w:t>Penal Code section 632 generally requires all-party consent for recording confidential communications.</w:t>
            </w:r>
          </w:p>
        </w:tc>
        <w:tc>
          <w:tcPr>
            <w:tcW w:type="dxa" w:w="2520"/>
            <w:vAlign w:val="top"/>
            <w:shd w:fill="F7F9FA"/>
          </w:tcPr>
          <w:p>
            <w:pPr>
              <w:spacing w:after="0"/>
            </w:pPr>
            <w:r/>
            <w:r>
              <w:rPr>
                <w:rFonts w:ascii="Aptos" w:hAnsi="Aptos"/>
                <w:b w:val="0"/>
                <w:sz w:val="16"/>
              </w:rPr>
              <w:t>Whenever recording appears, stop treating the question as ordinary telehealth consent.</w:t>
            </w:r>
          </w:p>
        </w:tc>
      </w:tr>
      <w:tr>
        <w:tc>
          <w:tcPr>
            <w:tcW w:type="dxa" w:w="2376"/>
            <w:vAlign w:val="top"/>
          </w:tcPr>
          <w:p>
            <w:pPr>
              <w:spacing w:after="0"/>
            </w:pPr>
            <w:r/>
            <w:r>
              <w:rPr>
                <w:rFonts w:ascii="Aptos" w:hAnsi="Aptos"/>
                <w:b/>
                <w:sz w:val="16"/>
              </w:rPr>
              <w:t>Voluntary Participation and Limited Options</w:t>
            </w:r>
          </w:p>
        </w:tc>
        <w:tc>
          <w:tcPr>
            <w:tcW w:type="dxa" w:w="5256"/>
            <w:vAlign w:val="top"/>
          </w:tcPr>
          <w:p>
            <w:pPr>
              <w:spacing w:after="0"/>
            </w:pPr>
            <w:r/>
            <w:r>
              <w:rPr>
                <w:rFonts w:ascii="Aptos" w:hAnsi="Aptos"/>
                <w:b w:val="0"/>
                <w:sz w:val="16"/>
              </w:rPr>
              <w:t>The therapist should support informed choice while honestly addressing the limits of the therapist's practice and continuity needs.</w:t>
            </w:r>
          </w:p>
        </w:tc>
        <w:tc>
          <w:tcPr>
            <w:tcW w:type="dxa" w:w="2520"/>
            <w:vAlign w:val="top"/>
          </w:tcPr>
          <w:p>
            <w:pPr>
              <w:spacing w:after="0"/>
            </w:pPr>
            <w:r/>
            <w:r>
              <w:rPr>
                <w:rFonts w:ascii="Aptos" w:hAnsi="Aptos"/>
                <w:b w:val="0"/>
                <w:sz w:val="16"/>
              </w:rPr>
              <w:t>Do not confuse client autonomy with a requirement that one therapist personally provide every preferred option.</w:t>
            </w:r>
          </w:p>
        </w:tc>
      </w:tr>
      <w:tr>
        <w:tc>
          <w:tcPr>
            <w:tcW w:type="dxa" w:w="2376"/>
            <w:vAlign w:val="top"/>
            <w:shd w:fill="F7F9FA"/>
          </w:tcPr>
          <w:p>
            <w:pPr>
              <w:spacing w:after="0"/>
            </w:pPr>
            <w:r/>
            <w:r>
              <w:rPr>
                <w:rFonts w:ascii="Aptos" w:hAnsi="Aptos"/>
                <w:b/>
                <w:sz w:val="16"/>
              </w:rPr>
              <w:t>Effect of Noncompliance</w:t>
            </w:r>
          </w:p>
        </w:tc>
        <w:tc>
          <w:tcPr>
            <w:tcW w:type="dxa" w:w="5256"/>
            <w:vAlign w:val="top"/>
            <w:shd w:fill="F7F9FA"/>
          </w:tcPr>
          <w:p>
            <w:pPr>
              <w:spacing w:after="0"/>
            </w:pPr>
            <w:r/>
            <w:r>
              <w:rPr>
                <w:rFonts w:ascii="Aptos" w:hAnsi="Aptos"/>
                <w:b w:val="0"/>
                <w:sz w:val="16"/>
              </w:rPr>
              <w:t>Section 2290.5(d) expressly classifies failure to comply as unprofessional conduct.</w:t>
            </w:r>
          </w:p>
        </w:tc>
        <w:tc>
          <w:tcPr>
            <w:tcW w:type="dxa" w:w="2520"/>
            <w:vAlign w:val="top"/>
            <w:shd w:fill="F7F9FA"/>
          </w:tcPr>
          <w:p>
            <w:pPr>
              <w:spacing w:after="0"/>
            </w:pPr>
            <w:r/>
            <w:r>
              <w:rPr>
                <w:rFonts w:ascii="Aptos" w:hAnsi="Aptos"/>
                <w:b w:val="0"/>
                <w:sz w:val="16"/>
              </w:rPr>
              <w:t>Choose the consequence the statute actually states, not an exaggerated remedy.</w:t>
            </w:r>
          </w:p>
        </w:tc>
      </w:tr>
      <w:tr>
        <w:tc>
          <w:tcPr>
            <w:tcW w:type="dxa" w:w="2376"/>
            <w:vAlign w:val="top"/>
          </w:tcPr>
          <w:p>
            <w:pPr>
              <w:spacing w:after="0"/>
            </w:pPr>
            <w:r/>
            <w:r>
              <w:rPr>
                <w:rFonts w:ascii="Aptos" w:hAnsi="Aptos"/>
                <w:b/>
                <w:sz w:val="16"/>
              </w:rPr>
              <w:t>Integrated Telehealth Informed Consent</w:t>
            </w:r>
          </w:p>
        </w:tc>
        <w:tc>
          <w:tcPr>
            <w:tcW w:type="dxa" w:w="5256"/>
            <w:vAlign w:val="top"/>
          </w:tcPr>
          <w:p>
            <w:pPr>
              <w:spacing w:after="0"/>
            </w:pPr>
            <w:r/>
            <w:r>
              <w:rPr>
                <w:rFonts w:ascii="Aptos" w:hAnsi="Aptos"/>
                <w:b w:val="0"/>
                <w:sz w:val="16"/>
              </w:rPr>
              <w:t>Complete and document the missing telehealth initiation process, explain material platform and recording issues, address the client's questions and voluntary choice, evaluate lawful alternatives or referral, and document the corrective actions. This answer addresses initiation consent, BBS disclosures, material changes, recording consent, client autonomy, alternatives, and documentation.</w:t>
            </w:r>
          </w:p>
        </w:tc>
        <w:tc>
          <w:tcPr>
            <w:tcW w:type="dxa" w:w="2520"/>
            <w:vAlign w:val="top"/>
          </w:tcPr>
          <w:p>
            <w:pPr>
              <w:spacing w:after="0"/>
            </w:pPr>
            <w:r/>
            <w:r>
              <w:rPr>
                <w:rFonts w:ascii="Aptos" w:hAnsi="Aptos"/>
                <w:b w:val="0"/>
                <w:sz w:val="16"/>
              </w:rPr>
              <w:t>Integrated questions require a response that fixes every material defect without relying on a signature or an extreme action.</w:t>
            </w:r>
          </w:p>
        </w:tc>
      </w:tr>
    </w:tbl>
    <w:p>
      <w:pPr>
        <w:pStyle w:val="Heading2"/>
      </w:pPr>
      <w:r>
        <w:t>Exam Reasoning Checklist</w:t>
      </w:r>
    </w:p>
    <w:p>
      <w:pPr>
        <w:pStyle w:val="ListBullet"/>
        <w:spacing w:after="30"/>
      </w:pPr>
      <w:r>
        <w:t>Eliminate answers that impose a written-form requirement not found in the statute.</w:t>
      </w:r>
    </w:p>
    <w:p>
      <w:pPr>
        <w:pStyle w:val="ListBullet"/>
        <w:spacing w:after="30"/>
      </w:pPr>
      <w:r>
        <w:t>The statutory phrase is “before the delivery” of telehealth.</w:t>
      </w:r>
    </w:p>
    <w:p>
      <w:pPr>
        <w:pStyle w:val="ListBullet"/>
        <w:spacing w:after="30"/>
      </w:pPr>
      <w:r>
        <w:t>A change in delivery mode can trigger telehealth initiation even when treatment itself is not new.</w:t>
      </w:r>
    </w:p>
    <w:p>
      <w:pPr>
        <w:pStyle w:val="ListBullet"/>
        <w:spacing w:after="30"/>
      </w:pPr>
      <w:r>
        <w:t>When the question asks what must be provided, look for the exact BBS credential information.</w:t>
      </w:r>
    </w:p>
    <w:p>
      <w:pPr>
        <w:pStyle w:val="ListBullet"/>
        <w:spacing w:after="30"/>
      </w:pPr>
      <w:r>
        <w:t>Separate the form of consent from the documentation requirement.</w:t>
      </w:r>
    </w:p>
    <w:p>
      <w:pPr>
        <w:pStyle w:val="ListBullet"/>
        <w:spacing w:after="30"/>
      </w:pPr>
      <w:r>
        <w:t>Memorize the four-part initiation set rather than selecting a partially correct checklist.</w:t>
      </w:r>
    </w:p>
    <w:p>
      <w:pPr>
        <w:pStyle w:val="ListBullet"/>
        <w:spacing w:after="30"/>
      </w:pPr>
      <w:r>
        <w:t>Do not confuse a required process with a required document format.</w:t>
      </w:r>
    </w:p>
    <w:p>
      <w:pPr>
        <w:pStyle w:val="ListBullet"/>
        <w:spacing w:after="30"/>
      </w:pPr>
      <w:r>
        <w:t>A signature is evidence only of what the document and surrounding process actually covered.</w:t>
      </w:r>
    </w:p>
    <w:p>
      <w:pPr>
        <w:pStyle w:val="Heading2"/>
      </w:pPr>
      <w:r>
        <w:t>Chapter Rapid Review</w:t>
      </w:r>
    </w:p>
    <w:p>
      <w:r>
        <w:rPr>
          <w:b/>
        </w:rPr>
        <w:t xml:space="preserve">Know these concepts: </w:t>
      </w:r>
      <w:r>
        <w:t>Form of Telehealth Consent; Timing of Consent; Transition to Telehealth; BBS Credential Disclosure; Documentation of Consent; Complete BBS Initiation Requirements; Separate Form Not Required; Generic Signature Is Insufficient; In-Person Care After Telehealth Consent; Local Emergency Resources; Material Change and Updated Discussion; Client Misunderstanding; Consent vs. Each-Session Duties; Recording Consent; Voluntary Participation and Limited Options; Effect of Noncompliance; Integrated Telehealth Informed Consent</w:t>
      </w:r>
    </w:p>
    <w:p>
      <w:r>
        <w:br w:type="page"/>
      </w:r>
    </w:p>
    <w:p>
      <w:pPr>
        <w:pStyle w:val="Heading2"/>
      </w:pPr>
      <w:r>
        <w:t>Chapter 3</w:t>
      </w:r>
    </w:p>
    <w:p>
      <w:pPr>
        <w:pStyle w:val="Heading1"/>
      </w:pPr>
      <w:r>
        <w:t>Telehealth Privacy and Security</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Privacy concerns access and observation, confidentiality concerns professional use and disclosure, and security concerns administrative, physical, and technical protection. Section 1815.5(d)(3) expressly requires compliance with applicable privacy, confidentiality, and security laws and identifies the CMIA and HIPAA security standards.</w:t>
            </w:r>
          </w:p>
        </w:tc>
      </w:tr>
    </w:tbl>
    <w:p>
      <w:pPr>
        <w:pStyle w:val="Heading2"/>
      </w:pPr>
      <w:r>
        <w:t>What to Learn</w:t>
      </w:r>
    </w:p>
    <w:p>
      <w:pPr>
        <w:pStyle w:val="ListBullet"/>
        <w:spacing w:after="30"/>
      </w:pPr>
      <w:r>
        <w:t>Explain and apply Privacy, Confidentiality, and Security.</w:t>
      </w:r>
    </w:p>
    <w:p>
      <w:pPr>
        <w:pStyle w:val="ListBullet"/>
        <w:spacing w:after="30"/>
      </w:pPr>
      <w:r>
        <w:t>Explain and apply BBS Telehealth Security Requirement.</w:t>
      </w:r>
    </w:p>
    <w:p>
      <w:pPr>
        <w:pStyle w:val="ListBullet"/>
        <w:spacing w:after="30"/>
      </w:pPr>
      <w:r>
        <w:t>Explain and apply Secure Platform Limitation.</w:t>
      </w:r>
    </w:p>
    <w:p>
      <w:pPr>
        <w:pStyle w:val="ListBullet"/>
        <w:spacing w:after="30"/>
      </w:pPr>
      <w:r>
        <w:t>Explain and apply CMIA and Federal HIPAA.</w:t>
      </w:r>
    </w:p>
    <w:p>
      <w:pPr>
        <w:pStyle w:val="ListBullet"/>
        <w:spacing w:after="30"/>
      </w:pPr>
      <w:r>
        <w:t>Explain and apply Client Environment.</w:t>
      </w:r>
    </w:p>
    <w:p>
      <w:pPr>
        <w:pStyle w:val="ListBullet"/>
        <w:spacing w:after="30"/>
      </w:pPr>
      <w:r>
        <w:t>Explain and apply Therapist Environment.</w:t>
      </w:r>
    </w:p>
    <w:p>
      <w:pPr>
        <w:pStyle w:val="ListBullet"/>
        <w:spacing w:after="30"/>
      </w:pPr>
      <w:r>
        <w:t>Explain and apply Unexpected Third Party.</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Privacy, Confidentiality, and Security</w:t>
            </w:r>
          </w:p>
        </w:tc>
        <w:tc>
          <w:tcPr>
            <w:tcW w:type="dxa" w:w="5256"/>
            <w:vAlign w:val="top"/>
          </w:tcPr>
          <w:p>
            <w:pPr>
              <w:spacing w:after="0"/>
            </w:pPr>
            <w:r/>
            <w:r>
              <w:rPr>
                <w:rFonts w:ascii="Aptos" w:hAnsi="Aptos"/>
                <w:b w:val="0"/>
                <w:sz w:val="16"/>
              </w:rPr>
              <w:t>Privacy concerns access and observation, confidentiality concerns professional use and disclosure, and security concerns administrative, physical, and technical protection.</w:t>
            </w:r>
          </w:p>
        </w:tc>
        <w:tc>
          <w:tcPr>
            <w:tcW w:type="dxa" w:w="2520"/>
            <w:vAlign w:val="top"/>
          </w:tcPr>
          <w:p>
            <w:pPr>
              <w:spacing w:after="0"/>
            </w:pPr>
            <w:r/>
            <w:r>
              <w:rPr>
                <w:rFonts w:ascii="Aptos" w:hAnsi="Aptos"/>
                <w:b w:val="0"/>
                <w:sz w:val="16"/>
              </w:rPr>
              <w:t>Define the problem before solving it. The exam may use one word while the facts involve all three.</w:t>
            </w:r>
          </w:p>
        </w:tc>
      </w:tr>
      <w:tr>
        <w:tc>
          <w:tcPr>
            <w:tcW w:type="dxa" w:w="2376"/>
            <w:vAlign w:val="top"/>
            <w:shd w:fill="F7F9FA"/>
          </w:tcPr>
          <w:p>
            <w:pPr>
              <w:spacing w:after="0"/>
            </w:pPr>
            <w:r/>
            <w:r>
              <w:rPr>
                <w:rFonts w:ascii="Aptos" w:hAnsi="Aptos"/>
                <w:b/>
                <w:sz w:val="16"/>
              </w:rPr>
              <w:t>BBS Telehealth Security Requirement</w:t>
            </w:r>
          </w:p>
        </w:tc>
        <w:tc>
          <w:tcPr>
            <w:tcW w:type="dxa" w:w="5256"/>
            <w:vAlign w:val="top"/>
            <w:shd w:fill="F7F9FA"/>
          </w:tcPr>
          <w:p>
            <w:pPr>
              <w:spacing w:after="0"/>
            </w:pPr>
            <w:r/>
            <w:r>
              <w:rPr>
                <w:rFonts w:ascii="Aptos" w:hAnsi="Aptos"/>
                <w:b w:val="0"/>
                <w:sz w:val="16"/>
              </w:rPr>
              <w:t>Section 1815.5(d)(3) expressly requires compliance with applicable privacy, confidentiality, and security laws and identifies the CMIA and HIPAA security standards.</w:t>
            </w:r>
          </w:p>
        </w:tc>
        <w:tc>
          <w:tcPr>
            <w:tcW w:type="dxa" w:w="2520"/>
            <w:vAlign w:val="top"/>
            <w:shd w:fill="F7F9FA"/>
          </w:tcPr>
          <w:p>
            <w:pPr>
              <w:spacing w:after="0"/>
            </w:pPr>
            <w:r/>
            <w:r>
              <w:rPr>
                <w:rFonts w:ascii="Aptos" w:hAnsi="Aptos"/>
                <w:b w:val="0"/>
                <w:sz w:val="16"/>
              </w:rPr>
              <w:t>Look for the regulation’s actual duty, not an invented product list, guarantee, or repeated authorization.</w:t>
            </w:r>
          </w:p>
        </w:tc>
      </w:tr>
      <w:tr>
        <w:tc>
          <w:tcPr>
            <w:tcW w:type="dxa" w:w="2376"/>
            <w:vAlign w:val="top"/>
          </w:tcPr>
          <w:p>
            <w:pPr>
              <w:spacing w:after="0"/>
            </w:pPr>
            <w:r/>
            <w:r>
              <w:rPr>
                <w:rFonts w:ascii="Aptos" w:hAnsi="Aptos"/>
                <w:b/>
                <w:sz w:val="16"/>
              </w:rPr>
              <w:t>Secure Platform Limitation</w:t>
            </w:r>
          </w:p>
        </w:tc>
        <w:tc>
          <w:tcPr>
            <w:tcW w:type="dxa" w:w="5256"/>
            <w:vAlign w:val="top"/>
          </w:tcPr>
          <w:p>
            <w:pPr>
              <w:spacing w:after="0"/>
            </w:pPr>
            <w:r/>
            <w:r>
              <w:rPr>
                <w:rFonts w:ascii="Aptos" w:hAnsi="Aptos"/>
                <w:b w:val="0"/>
                <w:sz w:val="16"/>
              </w:rPr>
              <w:t>Telehealth privacy requires attention to the physical environment as well as the technology.</w:t>
            </w:r>
          </w:p>
        </w:tc>
        <w:tc>
          <w:tcPr>
            <w:tcW w:type="dxa" w:w="2520"/>
            <w:vAlign w:val="top"/>
          </w:tcPr>
          <w:p>
            <w:pPr>
              <w:spacing w:after="0"/>
            </w:pPr>
            <w:r/>
            <w:r>
              <w:rPr>
                <w:rFonts w:ascii="Aptos" w:hAnsi="Aptos"/>
                <w:b w:val="0"/>
                <w:sz w:val="16"/>
              </w:rPr>
              <w:t>When the facts involve an open room or visible screen, do not let the word “encrypted” distract you.</w:t>
            </w:r>
          </w:p>
        </w:tc>
      </w:tr>
      <w:tr>
        <w:tc>
          <w:tcPr>
            <w:tcW w:type="dxa" w:w="2376"/>
            <w:vAlign w:val="top"/>
            <w:shd w:fill="F7F9FA"/>
          </w:tcPr>
          <w:p>
            <w:pPr>
              <w:spacing w:after="0"/>
            </w:pPr>
            <w:r/>
            <w:r>
              <w:rPr>
                <w:rFonts w:ascii="Aptos" w:hAnsi="Aptos"/>
                <w:b/>
                <w:sz w:val="16"/>
              </w:rPr>
              <w:t>CMIA and Federal HIPAA</w:t>
            </w:r>
          </w:p>
        </w:tc>
        <w:tc>
          <w:tcPr>
            <w:tcW w:type="dxa" w:w="5256"/>
            <w:vAlign w:val="top"/>
            <w:shd w:fill="F7F9FA"/>
          </w:tcPr>
          <w:p>
            <w:pPr>
              <w:spacing w:after="0"/>
            </w:pPr>
            <w:r/>
            <w:r>
              <w:rPr>
                <w:rFonts w:ascii="Aptos" w:hAnsi="Aptos"/>
                <w:b w:val="0"/>
                <w:sz w:val="16"/>
              </w:rPr>
              <w:t>The CMIA is California law, while federal HIPAA directly applies to covered entities and business associates; California BBS telehealth rules also expressly reference both frameworks. This statement accurately distinguishes the frameworks while recognizing the BBS telehealth regulation.</w:t>
            </w:r>
          </w:p>
        </w:tc>
        <w:tc>
          <w:tcPr>
            <w:tcW w:type="dxa" w:w="2520"/>
            <w:vAlign w:val="top"/>
            <w:shd w:fill="F7F9FA"/>
          </w:tcPr>
          <w:p>
            <w:pPr>
              <w:spacing w:after="0"/>
            </w:pPr>
            <w:r/>
            <w:r>
              <w:rPr>
                <w:rFonts w:ascii="Aptos" w:hAnsi="Aptos"/>
                <w:b w:val="0"/>
                <w:sz w:val="16"/>
              </w:rPr>
              <w:t>Avoid the common distractor that treats HIPAA as the only source of confidentiality law.</w:t>
            </w:r>
          </w:p>
        </w:tc>
      </w:tr>
      <w:tr>
        <w:tc>
          <w:tcPr>
            <w:tcW w:type="dxa" w:w="2376"/>
            <w:vAlign w:val="top"/>
          </w:tcPr>
          <w:p>
            <w:pPr>
              <w:spacing w:after="0"/>
            </w:pPr>
            <w:r/>
            <w:r>
              <w:rPr>
                <w:rFonts w:ascii="Aptos" w:hAnsi="Aptos"/>
                <w:b/>
                <w:sz w:val="16"/>
              </w:rPr>
              <w:t>Client Environment</w:t>
            </w:r>
          </w:p>
        </w:tc>
        <w:tc>
          <w:tcPr>
            <w:tcW w:type="dxa" w:w="5256"/>
            <w:vAlign w:val="top"/>
          </w:tcPr>
          <w:p>
            <w:pPr>
              <w:spacing w:after="0"/>
            </w:pPr>
            <w:r/>
            <w:r>
              <w:rPr>
                <w:rFonts w:ascii="Aptos" w:hAnsi="Aptos"/>
                <w:b w:val="0"/>
                <w:sz w:val="16"/>
              </w:rPr>
              <w:t>The therapist should address the active exposure and use clinical judgment to restore privacy or modify the session.</w:t>
            </w:r>
          </w:p>
        </w:tc>
        <w:tc>
          <w:tcPr>
            <w:tcW w:type="dxa" w:w="2520"/>
            <w:vAlign w:val="top"/>
          </w:tcPr>
          <w:p>
            <w:pPr>
              <w:spacing w:after="0"/>
            </w:pPr>
            <w:r/>
            <w:r>
              <w:rPr>
                <w:rFonts w:ascii="Aptos" w:hAnsi="Aptos"/>
                <w:b w:val="0"/>
                <w:sz w:val="16"/>
              </w:rPr>
              <w:t>The best first response to environmental exposure is usually pause, assess, and restore privacy.</w:t>
            </w:r>
          </w:p>
        </w:tc>
      </w:tr>
      <w:tr>
        <w:tc>
          <w:tcPr>
            <w:tcW w:type="dxa" w:w="2376"/>
            <w:vAlign w:val="top"/>
            <w:shd w:fill="F7F9FA"/>
          </w:tcPr>
          <w:p>
            <w:pPr>
              <w:spacing w:after="0"/>
            </w:pPr>
            <w:r/>
            <w:r>
              <w:rPr>
                <w:rFonts w:ascii="Aptos" w:hAnsi="Aptos"/>
                <w:b/>
                <w:sz w:val="16"/>
              </w:rPr>
              <w:t>Therapist Environment</w:t>
            </w:r>
          </w:p>
        </w:tc>
        <w:tc>
          <w:tcPr>
            <w:tcW w:type="dxa" w:w="5256"/>
            <w:vAlign w:val="top"/>
            <w:shd w:fill="F7F9FA"/>
          </w:tcPr>
          <w:p>
            <w:pPr>
              <w:spacing w:after="0"/>
            </w:pPr>
            <w:r/>
            <w:r>
              <w:rPr>
                <w:rFonts w:ascii="Aptos" w:hAnsi="Aptos"/>
                <w:b w:val="0"/>
                <w:sz w:val="16"/>
              </w:rPr>
              <w:t>The therapist should control foreseeable environmental technology risks before continuing.</w:t>
            </w:r>
          </w:p>
        </w:tc>
        <w:tc>
          <w:tcPr>
            <w:tcW w:type="dxa" w:w="2520"/>
            <w:vAlign w:val="top"/>
            <w:shd w:fill="F7F9FA"/>
          </w:tcPr>
          <w:p>
            <w:pPr>
              <w:spacing w:after="0"/>
            </w:pPr>
            <w:r/>
            <w:r>
              <w:rPr>
                <w:rFonts w:ascii="Aptos" w:hAnsi="Aptos"/>
                <w:b w:val="0"/>
                <w:sz w:val="16"/>
              </w:rPr>
              <w:t>Environmental risk includes devices that listen, not only people who are physically present.</w:t>
            </w:r>
          </w:p>
        </w:tc>
      </w:tr>
      <w:tr>
        <w:tc>
          <w:tcPr>
            <w:tcW w:type="dxa" w:w="2376"/>
            <w:vAlign w:val="top"/>
          </w:tcPr>
          <w:p>
            <w:pPr>
              <w:spacing w:after="0"/>
            </w:pPr>
            <w:r/>
            <w:r>
              <w:rPr>
                <w:rFonts w:ascii="Aptos" w:hAnsi="Aptos"/>
                <w:b/>
                <w:sz w:val="16"/>
              </w:rPr>
              <w:t>Unexpected Third Party</w:t>
            </w:r>
          </w:p>
        </w:tc>
        <w:tc>
          <w:tcPr>
            <w:tcW w:type="dxa" w:w="5256"/>
            <w:vAlign w:val="top"/>
          </w:tcPr>
          <w:p>
            <w:pPr>
              <w:spacing w:after="0"/>
            </w:pPr>
            <w:r/>
            <w:r>
              <w:rPr>
                <w:rFonts w:ascii="Aptos" w:hAnsi="Aptos"/>
                <w:b w:val="0"/>
                <w:sz w:val="16"/>
              </w:rPr>
              <w:t>The therapist should determine who is present and whether the client can voluntarily and privately continue.</w:t>
            </w:r>
          </w:p>
        </w:tc>
        <w:tc>
          <w:tcPr>
            <w:tcW w:type="dxa" w:w="2520"/>
            <w:vAlign w:val="top"/>
          </w:tcPr>
          <w:p>
            <w:pPr>
              <w:spacing w:after="0"/>
            </w:pPr>
            <w:r/>
            <w:r>
              <w:rPr>
                <w:rFonts w:ascii="Aptos" w:hAnsi="Aptos"/>
                <w:b w:val="0"/>
                <w:sz w:val="16"/>
              </w:rPr>
              <w:t>Unexpected presence calls for clarification before either continuing or taking an extreme action.</w:t>
            </w:r>
          </w:p>
        </w:tc>
      </w:tr>
      <w:tr>
        <w:tc>
          <w:tcPr>
            <w:tcW w:type="dxa" w:w="2376"/>
            <w:vAlign w:val="top"/>
            <w:shd w:fill="F7F9FA"/>
          </w:tcPr>
          <w:p>
            <w:pPr>
              <w:spacing w:after="0"/>
            </w:pPr>
            <w:r/>
            <w:r>
              <w:rPr>
                <w:rFonts w:ascii="Aptos" w:hAnsi="Aptos"/>
                <w:b/>
                <w:sz w:val="16"/>
              </w:rPr>
              <w:t>Vendor Marketing Claims</w:t>
            </w:r>
          </w:p>
        </w:tc>
        <w:tc>
          <w:tcPr>
            <w:tcW w:type="dxa" w:w="5256"/>
            <w:vAlign w:val="top"/>
            <w:shd w:fill="F7F9FA"/>
          </w:tcPr>
          <w:p>
            <w:pPr>
              <w:spacing w:after="0"/>
            </w:pPr>
            <w:r/>
            <w:r>
              <w:rPr>
                <w:rFonts w:ascii="Aptos" w:hAnsi="Aptos"/>
                <w:b w:val="0"/>
                <w:sz w:val="16"/>
              </w:rPr>
              <w:t>Marketing language must be verified through risk analysis, contractual review, configuration, and other compliance steps.</w:t>
            </w:r>
          </w:p>
        </w:tc>
        <w:tc>
          <w:tcPr>
            <w:tcW w:type="dxa" w:w="2520"/>
            <w:vAlign w:val="top"/>
            <w:shd w:fill="F7F9FA"/>
          </w:tcPr>
          <w:p>
            <w:pPr>
              <w:spacing w:after="0"/>
            </w:pPr>
            <w:r/>
            <w:r>
              <w:rPr>
                <w:rFonts w:ascii="Aptos" w:hAnsi="Aptos"/>
                <w:b w:val="0"/>
                <w:sz w:val="16"/>
              </w:rPr>
              <w:t>“Certified” and “compliant” are marketing clues. Look for independent assessment rather than blind reliance.</w:t>
            </w:r>
          </w:p>
        </w:tc>
      </w:tr>
      <w:tr>
        <w:tc>
          <w:tcPr>
            <w:tcW w:type="dxa" w:w="2376"/>
            <w:vAlign w:val="top"/>
          </w:tcPr>
          <w:p>
            <w:pPr>
              <w:spacing w:after="0"/>
            </w:pPr>
            <w:r/>
            <w:r>
              <w:rPr>
                <w:rFonts w:ascii="Aptos" w:hAnsi="Aptos"/>
                <w:b/>
                <w:sz w:val="16"/>
              </w:rPr>
              <w:t>Workplace Device and Network</w:t>
            </w:r>
          </w:p>
        </w:tc>
        <w:tc>
          <w:tcPr>
            <w:tcW w:type="dxa" w:w="5256"/>
            <w:vAlign w:val="top"/>
          </w:tcPr>
          <w:p>
            <w:pPr>
              <w:spacing w:after="0"/>
            </w:pPr>
            <w:r/>
            <w:r>
              <w:rPr>
                <w:rFonts w:ascii="Aptos" w:hAnsi="Aptos"/>
                <w:b w:val="0"/>
                <w:sz w:val="16"/>
              </w:rPr>
              <w:t>The therapist should educate, explore safeguards, and assess appropriateness.</w:t>
            </w:r>
          </w:p>
        </w:tc>
        <w:tc>
          <w:tcPr>
            <w:tcW w:type="dxa" w:w="2520"/>
            <w:vAlign w:val="top"/>
          </w:tcPr>
          <w:p>
            <w:pPr>
              <w:spacing w:after="0"/>
            </w:pPr>
            <w:r/>
            <w:r>
              <w:rPr>
                <w:rFonts w:ascii="Aptos" w:hAnsi="Aptos"/>
                <w:b w:val="0"/>
                <w:sz w:val="16"/>
              </w:rPr>
              <w:t>A private room can still contain an insecure or monitored device. Evaluate both layers.</w:t>
            </w:r>
          </w:p>
        </w:tc>
      </w:tr>
      <w:tr>
        <w:tc>
          <w:tcPr>
            <w:tcW w:type="dxa" w:w="2376"/>
            <w:vAlign w:val="top"/>
            <w:shd w:fill="F7F9FA"/>
          </w:tcPr>
          <w:p>
            <w:pPr>
              <w:spacing w:after="0"/>
            </w:pPr>
            <w:r/>
            <w:r>
              <w:rPr>
                <w:rFonts w:ascii="Aptos" w:hAnsi="Aptos"/>
                <w:b/>
                <w:sz w:val="16"/>
              </w:rPr>
              <w:t>Business Associate Agreement</w:t>
            </w:r>
          </w:p>
        </w:tc>
        <w:tc>
          <w:tcPr>
            <w:tcW w:type="dxa" w:w="5256"/>
            <w:vAlign w:val="top"/>
            <w:shd w:fill="F7F9FA"/>
          </w:tcPr>
          <w:p>
            <w:pPr>
              <w:spacing w:after="0"/>
            </w:pPr>
            <w:r/>
            <w:r>
              <w:rPr>
                <w:rFonts w:ascii="Aptos" w:hAnsi="Aptos"/>
                <w:b w:val="0"/>
                <w:sz w:val="16"/>
              </w:rPr>
              <w:t>A BAA is generally required for a covered entity’s business associate, but it is only one part of compliance.</w:t>
            </w:r>
          </w:p>
        </w:tc>
        <w:tc>
          <w:tcPr>
            <w:tcW w:type="dxa" w:w="2520"/>
            <w:vAlign w:val="top"/>
            <w:shd w:fill="F7F9FA"/>
          </w:tcPr>
          <w:p>
            <w:pPr>
              <w:spacing w:after="0"/>
            </w:pPr>
            <w:r/>
            <w:r>
              <w:rPr>
                <w:rFonts w:ascii="Aptos" w:hAnsi="Aptos"/>
                <w:b w:val="0"/>
                <w:sz w:val="16"/>
              </w:rPr>
              <w:t>Do not choose an absolute. Analyze covered-entity status, vendor function, contract, and safeguards.</w:t>
            </w:r>
          </w:p>
        </w:tc>
      </w:tr>
      <w:tr>
        <w:tc>
          <w:tcPr>
            <w:tcW w:type="dxa" w:w="2376"/>
            <w:vAlign w:val="top"/>
          </w:tcPr>
          <w:p>
            <w:pPr>
              <w:spacing w:after="0"/>
            </w:pPr>
            <w:r/>
            <w:r>
              <w:rPr>
                <w:rFonts w:ascii="Aptos" w:hAnsi="Aptos"/>
                <w:b/>
                <w:sz w:val="16"/>
              </w:rPr>
              <w:t>Recording and Transcription</w:t>
            </w:r>
          </w:p>
        </w:tc>
        <w:tc>
          <w:tcPr>
            <w:tcW w:type="dxa" w:w="5256"/>
            <w:vAlign w:val="top"/>
          </w:tcPr>
          <w:p>
            <w:pPr>
              <w:spacing w:after="0"/>
            </w:pPr>
            <w:r/>
            <w:r>
              <w:rPr>
                <w:rFonts w:ascii="Aptos" w:hAnsi="Aptos"/>
                <w:b w:val="0"/>
                <w:sz w:val="16"/>
              </w:rPr>
              <w:t>The therapist must separately analyze consent, purpose, security, retention, and vendor handling.</w:t>
            </w:r>
          </w:p>
        </w:tc>
        <w:tc>
          <w:tcPr>
            <w:tcW w:type="dxa" w:w="2520"/>
            <w:vAlign w:val="top"/>
          </w:tcPr>
          <w:p>
            <w:pPr>
              <w:spacing w:after="0"/>
            </w:pPr>
            <w:r/>
            <w:r>
              <w:rPr>
                <w:rFonts w:ascii="Aptos" w:hAnsi="Aptos"/>
                <w:b w:val="0"/>
                <w:sz w:val="16"/>
              </w:rPr>
              <w:t>Treat recording and transcription as separate data-creation events, not ordinary telehealth features.</w:t>
            </w:r>
          </w:p>
        </w:tc>
      </w:tr>
      <w:tr>
        <w:tc>
          <w:tcPr>
            <w:tcW w:type="dxa" w:w="2376"/>
            <w:vAlign w:val="top"/>
            <w:shd w:fill="F7F9FA"/>
          </w:tcPr>
          <w:p>
            <w:pPr>
              <w:spacing w:after="0"/>
            </w:pPr>
            <w:r/>
            <w:r>
              <w:rPr>
                <w:rFonts w:ascii="Aptos" w:hAnsi="Aptos"/>
                <w:b/>
                <w:sz w:val="16"/>
              </w:rPr>
              <w:t>Lost Device Incident Response</w:t>
            </w:r>
          </w:p>
        </w:tc>
        <w:tc>
          <w:tcPr>
            <w:tcW w:type="dxa" w:w="5256"/>
            <w:vAlign w:val="top"/>
            <w:shd w:fill="F7F9FA"/>
          </w:tcPr>
          <w:p>
            <w:pPr>
              <w:spacing w:after="0"/>
            </w:pPr>
            <w:r/>
            <w:r>
              <w:rPr>
                <w:rFonts w:ascii="Aptos" w:hAnsi="Aptos"/>
                <w:b w:val="0"/>
                <w:sz w:val="16"/>
              </w:rPr>
              <w:t>Immediate containment and fact assessment are necessary to determine risk and required next steps.</w:t>
            </w:r>
          </w:p>
        </w:tc>
        <w:tc>
          <w:tcPr>
            <w:tcW w:type="dxa" w:w="2520"/>
            <w:vAlign w:val="top"/>
            <w:shd w:fill="F7F9FA"/>
          </w:tcPr>
          <w:p>
            <w:pPr>
              <w:spacing w:after="0"/>
            </w:pPr>
            <w:r/>
            <w:r>
              <w:rPr>
                <w:rFonts w:ascii="Aptos" w:hAnsi="Aptos"/>
                <w:b w:val="0"/>
                <w:sz w:val="16"/>
              </w:rPr>
              <w:t>Incident first steps are containment and assessment, not waiting, deleting, or making unsupported conclusions.</w:t>
            </w:r>
          </w:p>
        </w:tc>
      </w:tr>
      <w:tr>
        <w:tc>
          <w:tcPr>
            <w:tcW w:type="dxa" w:w="2376"/>
            <w:vAlign w:val="top"/>
          </w:tcPr>
          <w:p>
            <w:pPr>
              <w:spacing w:after="0"/>
            </w:pPr>
            <w:r/>
            <w:r>
              <w:rPr>
                <w:rFonts w:ascii="Aptos" w:hAnsi="Aptos"/>
                <w:b/>
                <w:sz w:val="16"/>
              </w:rPr>
              <w:t>Unauthorized Participant and Exposure Assessment</w:t>
            </w:r>
          </w:p>
        </w:tc>
        <w:tc>
          <w:tcPr>
            <w:tcW w:type="dxa" w:w="5256"/>
            <w:vAlign w:val="top"/>
          </w:tcPr>
          <w:p>
            <w:pPr>
              <w:spacing w:after="0"/>
            </w:pPr>
            <w:r/>
            <w:r>
              <w:rPr>
                <w:rFonts w:ascii="Aptos" w:hAnsi="Aptos"/>
                <w:b w:val="0"/>
                <w:sz w:val="16"/>
              </w:rPr>
              <w:t>The therapist should contain, investigate, document, consult, and notify according to the facts and governing requirements.</w:t>
            </w:r>
          </w:p>
        </w:tc>
        <w:tc>
          <w:tcPr>
            <w:tcW w:type="dxa" w:w="2520"/>
            <w:vAlign w:val="top"/>
          </w:tcPr>
          <w:p>
            <w:pPr>
              <w:spacing w:after="0"/>
            </w:pPr>
            <w:r/>
            <w:r>
              <w:rPr>
                <w:rFonts w:ascii="Aptos" w:hAnsi="Aptos"/>
                <w:b w:val="0"/>
                <w:sz w:val="16"/>
              </w:rPr>
              <w:t>For sophisticated incident questions, choose the complete response that separates containment from legal breach determination.</w:t>
            </w:r>
          </w:p>
        </w:tc>
      </w:tr>
      <w:tr>
        <w:tc>
          <w:tcPr>
            <w:tcW w:type="dxa" w:w="2376"/>
            <w:vAlign w:val="top"/>
            <w:shd w:fill="F7F9FA"/>
          </w:tcPr>
          <w:p>
            <w:pPr>
              <w:spacing w:after="0"/>
            </w:pPr>
            <w:r/>
            <w:r>
              <w:rPr>
                <w:rFonts w:ascii="Aptos" w:hAnsi="Aptos"/>
                <w:b/>
                <w:sz w:val="16"/>
              </w:rPr>
              <w:t>HIPAA Scope and California BBS Duties</w:t>
            </w:r>
          </w:p>
        </w:tc>
        <w:tc>
          <w:tcPr>
            <w:tcW w:type="dxa" w:w="5256"/>
            <w:vAlign w:val="top"/>
            <w:shd w:fill="F7F9FA"/>
          </w:tcPr>
          <w:p>
            <w:pPr>
              <w:spacing w:after="0"/>
            </w:pPr>
            <w:r/>
            <w:r>
              <w:rPr>
                <w:rFonts w:ascii="Aptos" w:hAnsi="Aptos"/>
                <w:b w:val="0"/>
                <w:sz w:val="16"/>
              </w:rPr>
              <w:t>The answer distinguishes direct federal HIPAA scope from California’s own confidentiality and telehealth regulatory requirements.</w:t>
            </w:r>
          </w:p>
        </w:tc>
        <w:tc>
          <w:tcPr>
            <w:tcW w:type="dxa" w:w="2520"/>
            <w:vAlign w:val="top"/>
            <w:shd w:fill="F7F9FA"/>
          </w:tcPr>
          <w:p>
            <w:pPr>
              <w:spacing w:after="0"/>
            </w:pPr>
            <w:r/>
            <w:r>
              <w:rPr>
                <w:rFonts w:ascii="Aptos" w:hAnsi="Aptos"/>
                <w:b w:val="0"/>
                <w:sz w:val="16"/>
              </w:rPr>
              <w:t>This is a dual-framework question. Do not collapse federal HIPAA status and California BBS duties into one issue.</w:t>
            </w:r>
          </w:p>
        </w:tc>
      </w:tr>
      <w:tr>
        <w:tc>
          <w:tcPr>
            <w:tcW w:type="dxa" w:w="2376"/>
            <w:vAlign w:val="top"/>
          </w:tcPr>
          <w:p>
            <w:pPr>
              <w:spacing w:after="0"/>
            </w:pPr>
            <w:r/>
            <w:r>
              <w:rPr>
                <w:rFonts w:ascii="Aptos" w:hAnsi="Aptos"/>
                <w:b/>
                <w:sz w:val="16"/>
              </w:rPr>
              <w:t>Coercion and Hidden Listener</w:t>
            </w:r>
          </w:p>
        </w:tc>
        <w:tc>
          <w:tcPr>
            <w:tcW w:type="dxa" w:w="5256"/>
            <w:vAlign w:val="top"/>
          </w:tcPr>
          <w:p>
            <w:pPr>
              <w:spacing w:after="0"/>
            </w:pPr>
            <w:r/>
            <w:r>
              <w:rPr>
                <w:rFonts w:ascii="Aptos" w:hAnsi="Aptos"/>
                <w:b w:val="0"/>
                <w:sz w:val="16"/>
              </w:rPr>
              <w:t>The therapist should assess privacy and safety carefully without escalating a potentially controlling situation.</w:t>
            </w:r>
          </w:p>
        </w:tc>
        <w:tc>
          <w:tcPr>
            <w:tcW w:type="dxa" w:w="2520"/>
            <w:vAlign w:val="top"/>
          </w:tcPr>
          <w:p>
            <w:pPr>
              <w:spacing w:after="0"/>
            </w:pPr>
            <w:r/>
            <w:r>
              <w:rPr>
                <w:rFonts w:ascii="Aptos" w:hAnsi="Aptos"/>
                <w:b w:val="0"/>
                <w:sz w:val="16"/>
              </w:rPr>
              <w:t>When coercion may be present, privacy assessment is also a safety assessment. Avoid actions that could escalate danger.</w:t>
            </w:r>
          </w:p>
        </w:tc>
      </w:tr>
      <w:tr>
        <w:tc>
          <w:tcPr>
            <w:tcW w:type="dxa" w:w="2376"/>
            <w:vAlign w:val="top"/>
            <w:shd w:fill="F7F9FA"/>
          </w:tcPr>
          <w:p>
            <w:pPr>
              <w:spacing w:after="0"/>
            </w:pPr>
            <w:r/>
            <w:r>
              <w:rPr>
                <w:rFonts w:ascii="Aptos" w:hAnsi="Aptos"/>
                <w:b/>
                <w:sz w:val="16"/>
              </w:rPr>
              <w:t>Encrypted Cloud Storage and BAA</w:t>
            </w:r>
          </w:p>
        </w:tc>
        <w:tc>
          <w:tcPr>
            <w:tcW w:type="dxa" w:w="5256"/>
            <w:vAlign w:val="top"/>
            <w:shd w:fill="F7F9FA"/>
          </w:tcPr>
          <w:p>
            <w:pPr>
              <w:spacing w:after="0"/>
            </w:pPr>
            <w:r/>
            <w:r>
              <w:rPr>
                <w:rFonts w:ascii="Aptos" w:hAnsi="Aptos"/>
                <w:b w:val="0"/>
                <w:sz w:val="16"/>
              </w:rPr>
              <w:t>HHS guidance states that a cloud provider maintaining encrypted ePHI can be a business associate even without the decryption key.</w:t>
            </w:r>
          </w:p>
        </w:tc>
        <w:tc>
          <w:tcPr>
            <w:tcW w:type="dxa" w:w="2520"/>
            <w:vAlign w:val="top"/>
            <w:shd w:fill="F7F9FA"/>
          </w:tcPr>
          <w:p>
            <w:pPr>
              <w:spacing w:after="0"/>
            </w:pPr>
            <w:r/>
            <w:r>
              <w:rPr>
                <w:rFonts w:ascii="Aptos" w:hAnsi="Aptos"/>
                <w:b w:val="0"/>
                <w:sz w:val="16"/>
              </w:rPr>
              <w:t>The key verb is “maintains.” A no-view cloud vendor can still be a business associate.</w:t>
            </w:r>
          </w:p>
        </w:tc>
      </w:tr>
      <w:tr>
        <w:tc>
          <w:tcPr>
            <w:tcW w:type="dxa" w:w="2376"/>
            <w:vAlign w:val="top"/>
          </w:tcPr>
          <w:p>
            <w:pPr>
              <w:spacing w:after="0"/>
            </w:pPr>
            <w:r/>
            <w:r>
              <w:rPr>
                <w:rFonts w:ascii="Aptos" w:hAnsi="Aptos"/>
                <w:b/>
                <w:sz w:val="16"/>
              </w:rPr>
              <w:t>Integrated Privacy and Security Response</w:t>
            </w:r>
          </w:p>
        </w:tc>
        <w:tc>
          <w:tcPr>
            <w:tcW w:type="dxa" w:w="5256"/>
            <w:vAlign w:val="top"/>
          </w:tcPr>
          <w:p>
            <w:pPr>
              <w:spacing w:after="0"/>
            </w:pPr>
            <w:r/>
            <w:r>
              <w:rPr>
                <w:rFonts w:ascii="Aptos" w:hAnsi="Aptos"/>
                <w:b w:val="0"/>
                <w:sz w:val="16"/>
              </w:rPr>
              <w:t>The response addresses the active incident, environmental privacy, recording, vendor compliance, documentation, and legally required follow-up.</w:t>
            </w:r>
          </w:p>
        </w:tc>
        <w:tc>
          <w:tcPr>
            <w:tcW w:type="dxa" w:w="2520"/>
            <w:vAlign w:val="top"/>
          </w:tcPr>
          <w:p>
            <w:pPr>
              <w:spacing w:after="0"/>
            </w:pPr>
            <w:r/>
            <w:r>
              <w:rPr>
                <w:rFonts w:ascii="Aptos" w:hAnsi="Aptos"/>
                <w:b w:val="0"/>
                <w:sz w:val="16"/>
              </w:rPr>
              <w:t>Integrated questions reward the answer that addresses every material problem in a lawful sequence without relying on one document or an extreme reaction.</w:t>
            </w:r>
          </w:p>
        </w:tc>
      </w:tr>
    </w:tbl>
    <w:p>
      <w:pPr>
        <w:pStyle w:val="Heading2"/>
      </w:pPr>
      <w:r>
        <w:t>Exam Reasoning Checklist</w:t>
      </w:r>
    </w:p>
    <w:p>
      <w:pPr>
        <w:pStyle w:val="ListBullet"/>
        <w:spacing w:after="30"/>
      </w:pPr>
      <w:r>
        <w:t>Define the problem before solving it. The exam may use one word while the facts involve all three.</w:t>
      </w:r>
    </w:p>
    <w:p>
      <w:pPr>
        <w:pStyle w:val="ListBullet"/>
        <w:spacing w:after="30"/>
      </w:pPr>
      <w:r>
        <w:t>Look for the regulation’s actual duty, not an invented product list, guarantee, or repeated authorization.</w:t>
      </w:r>
    </w:p>
    <w:p>
      <w:pPr>
        <w:pStyle w:val="ListBullet"/>
        <w:spacing w:after="30"/>
      </w:pPr>
      <w:r>
        <w:t>When the facts involve an open room or visible screen, do not let the word “encrypted” distract you.</w:t>
      </w:r>
    </w:p>
    <w:p>
      <w:pPr>
        <w:pStyle w:val="ListBullet"/>
        <w:spacing w:after="30"/>
      </w:pPr>
      <w:r>
        <w:t>Avoid the common distractor that treats HIPAA as the only source of confidentiality law.</w:t>
      </w:r>
    </w:p>
    <w:p>
      <w:pPr>
        <w:pStyle w:val="ListBullet"/>
        <w:spacing w:after="30"/>
      </w:pPr>
      <w:r>
        <w:t>The best first response to environmental exposure is usually pause, assess, and restore privacy.</w:t>
      </w:r>
    </w:p>
    <w:p>
      <w:pPr>
        <w:pStyle w:val="ListBullet"/>
        <w:spacing w:after="30"/>
      </w:pPr>
      <w:r>
        <w:t>Environmental risk includes devices that listen, not only people who are physically present.</w:t>
      </w:r>
    </w:p>
    <w:p>
      <w:pPr>
        <w:pStyle w:val="ListBullet"/>
        <w:spacing w:after="30"/>
      </w:pPr>
      <w:r>
        <w:t>Unexpected presence calls for clarification before either continuing or taking an extreme action.</w:t>
      </w:r>
    </w:p>
    <w:p>
      <w:pPr>
        <w:pStyle w:val="ListBullet"/>
        <w:spacing w:after="30"/>
      </w:pPr>
      <w:r>
        <w:t>“Certified” and “compliant” are marketing clues. Look for independent assessment rather than blind reliance.</w:t>
      </w:r>
    </w:p>
    <w:p>
      <w:pPr>
        <w:pStyle w:val="Heading2"/>
      </w:pPr>
      <w:r>
        <w:t>Chapter Rapid Review</w:t>
      </w:r>
    </w:p>
    <w:p>
      <w:r>
        <w:rPr>
          <w:b/>
        </w:rPr>
        <w:t xml:space="preserve">Know these concepts: </w:t>
      </w:r>
      <w:r>
        <w:t>Privacy, Confidentiality, and Security; BBS Telehealth Security Requirement; Secure Platform Limitation; CMIA and Federal HIPAA; Client Environment; Therapist Environment; Unexpected Third Party; Vendor Marketing Claims; Workplace Device and Network; Business Associate Agreement; Recording and Transcription; Lost Device Incident Response; Unauthorized Participant and Exposure Assessment; HIPAA Scope and California BBS Duties; Coercion and Hidden Listener; Encrypted Cloud Storage and BAA; Integrated Privacy and Security Response</w:t>
      </w:r>
    </w:p>
    <w:p>
      <w:r>
        <w:br w:type="page"/>
      </w:r>
    </w:p>
    <w:p>
      <w:pPr>
        <w:pStyle w:val="Heading2"/>
      </w:pPr>
      <w:r>
        <w:t>Chapter 4</w:t>
      </w:r>
    </w:p>
    <w:p>
      <w:pPr>
        <w:pStyle w:val="Heading1"/>
      </w:pPr>
      <w:r>
        <w:t>Technology, Electronic Communication, and Professional Responsibilities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California telehealth includes asynchronous delivery of health-care services, and symptom assessment plus treatment guidance is clinical care. The governing principle is reasonable safeguards and protection appropriate to the communication and risk.</w:t>
            </w:r>
          </w:p>
        </w:tc>
      </w:tr>
    </w:tbl>
    <w:p>
      <w:pPr>
        <w:pStyle w:val="Heading2"/>
      </w:pPr>
      <w:r>
        <w:t>What to Learn</w:t>
      </w:r>
    </w:p>
    <w:p>
      <w:pPr>
        <w:pStyle w:val="ListBullet"/>
        <w:spacing w:after="30"/>
      </w:pPr>
      <w:r>
        <w:t>Explain and apply Electronic Communication Categories.</w:t>
      </w:r>
    </w:p>
    <w:p>
      <w:pPr>
        <w:pStyle w:val="ListBullet"/>
        <w:spacing w:after="30"/>
      </w:pPr>
      <w:r>
        <w:t>Explain and apply Email and Reasonable Safeguards.</w:t>
      </w:r>
    </w:p>
    <w:p>
      <w:pPr>
        <w:pStyle w:val="ListBullet"/>
        <w:spacing w:after="30"/>
      </w:pPr>
      <w:r>
        <w:t>Explain and apply Communication Expectations.</w:t>
      </w:r>
    </w:p>
    <w:p>
      <w:pPr>
        <w:pStyle w:val="ListBullet"/>
        <w:spacing w:after="30"/>
      </w:pPr>
      <w:r>
        <w:t>Explain and apply Electronic Health-Service Records.</w:t>
      </w:r>
    </w:p>
    <w:p>
      <w:pPr>
        <w:pStyle w:val="ListBullet"/>
        <w:spacing w:after="30"/>
      </w:pPr>
      <w:r>
        <w:t>Explain and apply Client-Initiated Email.</w:t>
      </w:r>
    </w:p>
    <w:p>
      <w:pPr>
        <w:pStyle w:val="ListBullet"/>
        <w:spacing w:after="30"/>
      </w:pPr>
      <w:r>
        <w:t>Explain and apply Group Messaging Disclosure.</w:t>
      </w:r>
    </w:p>
    <w:p>
      <w:pPr>
        <w:pStyle w:val="ListBullet"/>
        <w:spacing w:after="30"/>
      </w:pPr>
      <w:r>
        <w:t>Explain and apply Unread Crisis Message.</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Electronic Communication Categories</w:t>
            </w:r>
          </w:p>
        </w:tc>
        <w:tc>
          <w:tcPr>
            <w:tcW w:type="dxa" w:w="5256"/>
            <w:vAlign w:val="top"/>
          </w:tcPr>
          <w:p>
            <w:pPr>
              <w:spacing w:after="0"/>
            </w:pPr>
            <w:r/>
            <w:r>
              <w:rPr>
                <w:rFonts w:ascii="Aptos" w:hAnsi="Aptos"/>
                <w:b w:val="0"/>
                <w:sz w:val="16"/>
              </w:rPr>
              <w:t>California telehealth includes asynchronous delivery of health-care services, and symptom assessment plus treatment guidance is clinical care.</w:t>
            </w:r>
          </w:p>
        </w:tc>
        <w:tc>
          <w:tcPr>
            <w:tcW w:type="dxa" w:w="2520"/>
            <w:vAlign w:val="top"/>
          </w:tcPr>
          <w:p>
            <w:pPr>
              <w:spacing w:after="0"/>
            </w:pPr>
            <w:r/>
            <w:r>
              <w:rPr>
                <w:rFonts w:ascii="Aptos" w:hAnsi="Aptos"/>
                <w:b w:val="0"/>
                <w:sz w:val="16"/>
              </w:rPr>
              <w:t>Look at the purpose and content, not merely the fact that technology was used.</w:t>
            </w:r>
          </w:p>
        </w:tc>
      </w:tr>
      <w:tr>
        <w:tc>
          <w:tcPr>
            <w:tcW w:type="dxa" w:w="2376"/>
            <w:vAlign w:val="top"/>
            <w:shd w:fill="F7F9FA"/>
          </w:tcPr>
          <w:p>
            <w:pPr>
              <w:spacing w:after="0"/>
            </w:pPr>
            <w:r/>
            <w:r>
              <w:rPr>
                <w:rFonts w:ascii="Aptos" w:hAnsi="Aptos"/>
                <w:b/>
                <w:sz w:val="16"/>
              </w:rPr>
              <w:t>Email and Reasonable Safeguards</w:t>
            </w:r>
          </w:p>
        </w:tc>
        <w:tc>
          <w:tcPr>
            <w:tcW w:type="dxa" w:w="5256"/>
            <w:vAlign w:val="top"/>
            <w:shd w:fill="F7F9FA"/>
          </w:tcPr>
          <w:p>
            <w:pPr>
              <w:spacing w:after="0"/>
            </w:pPr>
            <w:r/>
            <w:r>
              <w:rPr>
                <w:rFonts w:ascii="Aptos" w:hAnsi="Aptos"/>
                <w:b w:val="0"/>
                <w:sz w:val="16"/>
              </w:rPr>
              <w:t>The governing principle is reasonable safeguards and protection appropriate to the communication and risk.</w:t>
            </w:r>
          </w:p>
        </w:tc>
        <w:tc>
          <w:tcPr>
            <w:tcW w:type="dxa" w:w="2520"/>
            <w:vAlign w:val="top"/>
            <w:shd w:fill="F7F9FA"/>
          </w:tcPr>
          <w:p>
            <w:pPr>
              <w:spacing w:after="0"/>
            </w:pPr>
            <w:r/>
            <w:r>
              <w:rPr>
                <w:rFonts w:ascii="Aptos" w:hAnsi="Aptos"/>
                <w:b w:val="0"/>
                <w:sz w:val="16"/>
              </w:rPr>
              <w:t>Avoid absolute words such as “never,” “only,” and “automatic” when official guidance uses a reasonable-safeguards standard.</w:t>
            </w:r>
          </w:p>
        </w:tc>
      </w:tr>
      <w:tr>
        <w:tc>
          <w:tcPr>
            <w:tcW w:type="dxa" w:w="2376"/>
            <w:vAlign w:val="top"/>
          </w:tcPr>
          <w:p>
            <w:pPr>
              <w:spacing w:after="0"/>
            </w:pPr>
            <w:r/>
            <w:r>
              <w:rPr>
                <w:rFonts w:ascii="Aptos" w:hAnsi="Aptos"/>
                <w:b/>
                <w:sz w:val="16"/>
              </w:rPr>
              <w:t>Communication Expectations</w:t>
            </w:r>
          </w:p>
        </w:tc>
        <w:tc>
          <w:tcPr>
            <w:tcW w:type="dxa" w:w="5256"/>
            <w:vAlign w:val="top"/>
          </w:tcPr>
          <w:p>
            <w:pPr>
              <w:spacing w:after="0"/>
            </w:pPr>
            <w:r/>
            <w:r>
              <w:rPr>
                <w:rFonts w:ascii="Aptos" w:hAnsi="Aptos"/>
                <w:b w:val="0"/>
                <w:sz w:val="16"/>
              </w:rPr>
              <w:t>Clear expectations reduce unsafe assumptions about availability, monitoring, and emergency use.</w:t>
            </w:r>
          </w:p>
        </w:tc>
        <w:tc>
          <w:tcPr>
            <w:tcW w:type="dxa" w:w="2520"/>
            <w:vAlign w:val="top"/>
          </w:tcPr>
          <w:p>
            <w:pPr>
              <w:spacing w:after="0"/>
            </w:pPr>
            <w:r/>
            <w:r>
              <w:rPr>
                <w:rFonts w:ascii="Aptos" w:hAnsi="Aptos"/>
                <w:b w:val="0"/>
                <w:sz w:val="16"/>
              </w:rPr>
              <w:t>Communication policies clarify expectations; they do not erase professional duties.</w:t>
            </w:r>
          </w:p>
        </w:tc>
      </w:tr>
      <w:tr>
        <w:tc>
          <w:tcPr>
            <w:tcW w:type="dxa" w:w="2376"/>
            <w:vAlign w:val="top"/>
            <w:shd w:fill="F7F9FA"/>
          </w:tcPr>
          <w:p>
            <w:pPr>
              <w:spacing w:after="0"/>
            </w:pPr>
            <w:r/>
            <w:r>
              <w:rPr>
                <w:rFonts w:ascii="Aptos" w:hAnsi="Aptos"/>
                <w:b/>
                <w:sz w:val="16"/>
              </w:rPr>
              <w:t>Electronic Health-Service Records</w:t>
            </w:r>
          </w:p>
        </w:tc>
        <w:tc>
          <w:tcPr>
            <w:tcW w:type="dxa" w:w="5256"/>
            <w:vAlign w:val="top"/>
            <w:shd w:fill="F7F9FA"/>
          </w:tcPr>
          <w:p>
            <w:pPr>
              <w:spacing w:after="0"/>
            </w:pPr>
            <w:r/>
            <w:r>
              <w:rPr>
                <w:rFonts w:ascii="Aptos" w:hAnsi="Aptos"/>
                <w:b w:val="0"/>
                <w:sz w:val="16"/>
              </w:rPr>
              <w:t>California permits electronic records, and significant communications should be preserved or incorporated as part of responsible documentation.</w:t>
            </w:r>
          </w:p>
        </w:tc>
        <w:tc>
          <w:tcPr>
            <w:tcW w:type="dxa" w:w="2520"/>
            <w:vAlign w:val="top"/>
            <w:shd w:fill="F7F9FA"/>
          </w:tcPr>
          <w:p>
            <w:pPr>
              <w:spacing w:after="0"/>
            </w:pPr>
            <w:r/>
            <w:r>
              <w:rPr>
                <w:rFonts w:ascii="Aptos" w:hAnsi="Aptos"/>
                <w:b w:val="0"/>
                <w:sz w:val="16"/>
              </w:rPr>
              <w:t>Technology changes the form of the record, not the importance of clinically significant information.</w:t>
            </w:r>
          </w:p>
        </w:tc>
      </w:tr>
      <w:tr>
        <w:tc>
          <w:tcPr>
            <w:tcW w:type="dxa" w:w="2376"/>
            <w:vAlign w:val="top"/>
          </w:tcPr>
          <w:p>
            <w:pPr>
              <w:spacing w:after="0"/>
            </w:pPr>
            <w:r/>
            <w:r>
              <w:rPr>
                <w:rFonts w:ascii="Aptos" w:hAnsi="Aptos"/>
                <w:b/>
                <w:sz w:val="16"/>
              </w:rPr>
              <w:t>Client-Initiated Email</w:t>
            </w:r>
          </w:p>
        </w:tc>
        <w:tc>
          <w:tcPr>
            <w:tcW w:type="dxa" w:w="5256"/>
            <w:vAlign w:val="top"/>
          </w:tcPr>
          <w:p>
            <w:pPr>
              <w:spacing w:after="0"/>
            </w:pPr>
            <w:r/>
            <w:r>
              <w:rPr>
                <w:rFonts w:ascii="Aptos" w:hAnsi="Aptos"/>
                <w:b w:val="0"/>
                <w:sz w:val="16"/>
              </w:rPr>
              <w:t>HHS guidance permits a limited inference of acceptability while preserving the provider’s responsibility to address risks and safeguards.</w:t>
            </w:r>
          </w:p>
        </w:tc>
        <w:tc>
          <w:tcPr>
            <w:tcW w:type="dxa" w:w="2520"/>
            <w:vAlign w:val="top"/>
          </w:tcPr>
          <w:p>
            <w:pPr>
              <w:spacing w:after="0"/>
            </w:pPr>
            <w:r/>
            <w:r>
              <w:rPr>
                <w:rFonts w:ascii="Aptos" w:hAnsi="Aptos"/>
                <w:b w:val="0"/>
                <w:sz w:val="16"/>
              </w:rPr>
              <w:t>Client choice informs the analysis but does not transfer professional responsibility.</w:t>
            </w:r>
          </w:p>
        </w:tc>
      </w:tr>
      <w:tr>
        <w:tc>
          <w:tcPr>
            <w:tcW w:type="dxa" w:w="2376"/>
            <w:vAlign w:val="top"/>
            <w:shd w:fill="F7F9FA"/>
          </w:tcPr>
          <w:p>
            <w:pPr>
              <w:spacing w:after="0"/>
            </w:pPr>
            <w:r/>
            <w:r>
              <w:rPr>
                <w:rFonts w:ascii="Aptos" w:hAnsi="Aptos"/>
                <w:b/>
                <w:sz w:val="16"/>
              </w:rPr>
              <w:t>Group Messaging Disclosure</w:t>
            </w:r>
          </w:p>
        </w:tc>
        <w:tc>
          <w:tcPr>
            <w:tcW w:type="dxa" w:w="5256"/>
            <w:vAlign w:val="top"/>
            <w:shd w:fill="F7F9FA"/>
          </w:tcPr>
          <w:p>
            <w:pPr>
              <w:spacing w:after="0"/>
            </w:pPr>
            <w:r/>
            <w:r>
              <w:rPr>
                <w:rFonts w:ascii="Aptos" w:hAnsi="Aptos"/>
                <w:b w:val="0"/>
                <w:sz w:val="16"/>
              </w:rPr>
              <w:t>Visible recipients may reveal identifying information and a treatment relationship, creating a confidentiality concern.</w:t>
            </w:r>
          </w:p>
        </w:tc>
        <w:tc>
          <w:tcPr>
            <w:tcW w:type="dxa" w:w="2520"/>
            <w:vAlign w:val="top"/>
            <w:shd w:fill="F7F9FA"/>
          </w:tcPr>
          <w:p>
            <w:pPr>
              <w:spacing w:after="0"/>
            </w:pPr>
            <w:r/>
            <w:r>
              <w:rPr>
                <w:rFonts w:ascii="Aptos" w:hAnsi="Aptos"/>
                <w:b w:val="0"/>
                <w:sz w:val="16"/>
              </w:rPr>
              <w:t>“No diagnosis was included” does not eliminate the risk of revealing who receives services.</w:t>
            </w:r>
          </w:p>
        </w:tc>
      </w:tr>
      <w:tr>
        <w:tc>
          <w:tcPr>
            <w:tcW w:type="dxa" w:w="2376"/>
            <w:vAlign w:val="top"/>
          </w:tcPr>
          <w:p>
            <w:pPr>
              <w:spacing w:after="0"/>
            </w:pPr>
            <w:r/>
            <w:r>
              <w:rPr>
                <w:rFonts w:ascii="Aptos" w:hAnsi="Aptos"/>
                <w:b/>
                <w:sz w:val="16"/>
              </w:rPr>
              <w:t>Unread Crisis Message</w:t>
            </w:r>
          </w:p>
        </w:tc>
        <w:tc>
          <w:tcPr>
            <w:tcW w:type="dxa" w:w="5256"/>
            <w:vAlign w:val="top"/>
          </w:tcPr>
          <w:p>
            <w:pPr>
              <w:spacing w:after="0"/>
            </w:pPr>
            <w:r/>
            <w:r>
              <w:rPr>
                <w:rFonts w:ascii="Aptos" w:hAnsi="Aptos"/>
                <w:b w:val="0"/>
                <w:sz w:val="16"/>
              </w:rPr>
              <w:t>The policy helps define monitoring expectations, but once the therapist becomes aware of a suicidal communication, the therapist should assess and respond appropriately.</w:t>
            </w:r>
          </w:p>
        </w:tc>
        <w:tc>
          <w:tcPr>
            <w:tcW w:type="dxa" w:w="2520"/>
            <w:vAlign w:val="top"/>
          </w:tcPr>
          <w:p>
            <w:pPr>
              <w:spacing w:after="0"/>
            </w:pPr>
            <w:r/>
            <w:r>
              <w:rPr>
                <w:rFonts w:ascii="Aptos" w:hAnsi="Aptos"/>
                <w:b w:val="0"/>
                <w:sz w:val="16"/>
              </w:rPr>
              <w:t>Distinguish not seeing a message from seeing it and choosing not to act.</w:t>
            </w:r>
          </w:p>
        </w:tc>
      </w:tr>
      <w:tr>
        <w:tc>
          <w:tcPr>
            <w:tcW w:type="dxa" w:w="2376"/>
            <w:vAlign w:val="top"/>
            <w:shd w:fill="F7F9FA"/>
          </w:tcPr>
          <w:p>
            <w:pPr>
              <w:spacing w:after="0"/>
            </w:pPr>
            <w:r/>
            <w:r>
              <w:rPr>
                <w:rFonts w:ascii="Aptos" w:hAnsi="Aptos"/>
                <w:b/>
                <w:sz w:val="16"/>
              </w:rPr>
              <w:t>Clinical Documentation</w:t>
            </w:r>
          </w:p>
        </w:tc>
        <w:tc>
          <w:tcPr>
            <w:tcW w:type="dxa" w:w="5256"/>
            <w:vAlign w:val="top"/>
            <w:shd w:fill="F7F9FA"/>
          </w:tcPr>
          <w:p>
            <w:pPr>
              <w:spacing w:after="0"/>
            </w:pPr>
            <w:r/>
            <w:r>
              <w:rPr>
                <w:rFonts w:ascii="Aptos" w:hAnsi="Aptos"/>
                <w:b w:val="0"/>
                <w:sz w:val="16"/>
              </w:rPr>
              <w:t>The message materially affected assessment and treatment and should be documented accordingly.</w:t>
            </w:r>
          </w:p>
        </w:tc>
        <w:tc>
          <w:tcPr>
            <w:tcW w:type="dxa" w:w="2520"/>
            <w:vAlign w:val="top"/>
            <w:shd w:fill="F7F9FA"/>
          </w:tcPr>
          <w:p>
            <w:pPr>
              <w:spacing w:after="0"/>
            </w:pPr>
            <w:r/>
            <w:r>
              <w:rPr>
                <w:rFonts w:ascii="Aptos" w:hAnsi="Aptos"/>
                <w:b w:val="0"/>
                <w:sz w:val="16"/>
              </w:rPr>
              <w:t>Ask whether the message changed assessment, treatment, risk, or follow-up.</w:t>
            </w:r>
          </w:p>
        </w:tc>
      </w:tr>
      <w:tr>
        <w:tc>
          <w:tcPr>
            <w:tcW w:type="dxa" w:w="2376"/>
            <w:vAlign w:val="top"/>
          </w:tcPr>
          <w:p>
            <w:pPr>
              <w:spacing w:after="0"/>
            </w:pPr>
            <w:r/>
            <w:r>
              <w:rPr>
                <w:rFonts w:ascii="Aptos" w:hAnsi="Aptos"/>
                <w:b/>
                <w:sz w:val="16"/>
              </w:rPr>
              <w:t>Client Preference for Unencrypted Email</w:t>
            </w:r>
          </w:p>
        </w:tc>
        <w:tc>
          <w:tcPr>
            <w:tcW w:type="dxa" w:w="5256"/>
            <w:vAlign w:val="top"/>
          </w:tcPr>
          <w:p>
            <w:pPr>
              <w:spacing w:after="0"/>
            </w:pPr>
            <w:r/>
            <w:r>
              <w:rPr>
                <w:rFonts w:ascii="Aptos" w:hAnsi="Aptos"/>
                <w:b w:val="0"/>
                <w:sz w:val="16"/>
              </w:rPr>
              <w:t>Discuss the material risks and alternatives, determine whether the method can be used with reasonable safeguards for the proposed content, honor reasonable communication preferences when lawful, and document significant decisions. This response respects access needs while preserving legal, security, and professional judgment.</w:t>
            </w:r>
          </w:p>
        </w:tc>
        <w:tc>
          <w:tcPr>
            <w:tcW w:type="dxa" w:w="2520"/>
            <w:vAlign w:val="top"/>
          </w:tcPr>
          <w:p>
            <w:pPr>
              <w:spacing w:after="0"/>
            </w:pPr>
            <w:r/>
            <w:r>
              <w:rPr>
                <w:rFonts w:ascii="Aptos" w:hAnsi="Aptos"/>
                <w:b w:val="0"/>
                <w:sz w:val="16"/>
              </w:rPr>
              <w:t>The strongest answer balances access, client preference, risk, and safeguards rather than choosing an absolute.</w:t>
            </w:r>
          </w:p>
        </w:tc>
      </w:tr>
      <w:tr>
        <w:tc>
          <w:tcPr>
            <w:tcW w:type="dxa" w:w="2376"/>
            <w:vAlign w:val="top"/>
            <w:shd w:fill="F7F9FA"/>
          </w:tcPr>
          <w:p>
            <w:pPr>
              <w:spacing w:after="0"/>
            </w:pPr>
            <w:r/>
            <w:r>
              <w:rPr>
                <w:rFonts w:ascii="Aptos" w:hAnsi="Aptos"/>
                <w:b/>
                <w:sz w:val="16"/>
              </w:rPr>
              <w:t>Response Boundaries</w:t>
            </w:r>
          </w:p>
        </w:tc>
        <w:tc>
          <w:tcPr>
            <w:tcW w:type="dxa" w:w="5256"/>
            <w:vAlign w:val="top"/>
            <w:shd w:fill="F7F9FA"/>
          </w:tcPr>
          <w:p>
            <w:pPr>
              <w:spacing w:after="0"/>
            </w:pPr>
            <w:r/>
            <w:r>
              <w:rPr>
                <w:rFonts w:ascii="Aptos" w:hAnsi="Aptos"/>
                <w:b w:val="0"/>
                <w:sz w:val="16"/>
              </w:rPr>
              <w:t>The therapist should clarify expectations and explore the clinical meaning and treatment impact of the messaging pattern.</w:t>
            </w:r>
          </w:p>
        </w:tc>
        <w:tc>
          <w:tcPr>
            <w:tcW w:type="dxa" w:w="2520"/>
            <w:vAlign w:val="top"/>
            <w:shd w:fill="F7F9FA"/>
          </w:tcPr>
          <w:p>
            <w:pPr>
              <w:spacing w:after="0"/>
            </w:pPr>
            <w:r/>
            <w:r>
              <w:rPr>
                <w:rFonts w:ascii="Aptos" w:hAnsi="Aptos"/>
                <w:b w:val="0"/>
                <w:sz w:val="16"/>
              </w:rPr>
              <w:t>For nonemergency boundary concerns, the exam usually favors clarification and clinical discussion before an extreme action.</w:t>
            </w:r>
          </w:p>
        </w:tc>
      </w:tr>
      <w:tr>
        <w:tc>
          <w:tcPr>
            <w:tcW w:type="dxa" w:w="2376"/>
            <w:vAlign w:val="top"/>
          </w:tcPr>
          <w:p>
            <w:pPr>
              <w:spacing w:after="0"/>
            </w:pPr>
            <w:r/>
            <w:r>
              <w:rPr>
                <w:rFonts w:ascii="Aptos" w:hAnsi="Aptos"/>
                <w:b/>
                <w:sz w:val="16"/>
              </w:rPr>
              <w:t>Recipient Verification</w:t>
            </w:r>
          </w:p>
        </w:tc>
        <w:tc>
          <w:tcPr>
            <w:tcW w:type="dxa" w:w="5256"/>
            <w:vAlign w:val="top"/>
          </w:tcPr>
          <w:p>
            <w:pPr>
              <w:spacing w:after="0"/>
            </w:pPr>
            <w:r/>
            <w:r>
              <w:rPr>
                <w:rFonts w:ascii="Aptos" w:hAnsi="Aptos"/>
                <w:b w:val="0"/>
                <w:sz w:val="16"/>
              </w:rPr>
              <w:t>Verifying authority, recipient, attachment, and method is a reasonable safeguard.</w:t>
            </w:r>
          </w:p>
        </w:tc>
        <w:tc>
          <w:tcPr>
            <w:tcW w:type="dxa" w:w="2520"/>
            <w:vAlign w:val="top"/>
          </w:tcPr>
          <w:p>
            <w:pPr>
              <w:spacing w:after="0"/>
            </w:pPr>
            <w:r/>
            <w:r>
              <w:rPr>
                <w:rFonts w:ascii="Aptos" w:hAnsi="Aptos"/>
                <w:b w:val="0"/>
                <w:sz w:val="16"/>
              </w:rPr>
              <w:t>The exam favors verification before transmission rather than repair after a preventable error.</w:t>
            </w:r>
          </w:p>
        </w:tc>
      </w:tr>
      <w:tr>
        <w:tc>
          <w:tcPr>
            <w:tcW w:type="dxa" w:w="2376"/>
            <w:vAlign w:val="top"/>
            <w:shd w:fill="F7F9FA"/>
          </w:tcPr>
          <w:p>
            <w:pPr>
              <w:spacing w:after="0"/>
            </w:pPr>
            <w:r/>
            <w:r>
              <w:rPr>
                <w:rFonts w:ascii="Aptos" w:hAnsi="Aptos"/>
                <w:b/>
                <w:sz w:val="16"/>
              </w:rPr>
              <w:t>Asynchronous Clinical Care</w:t>
            </w:r>
          </w:p>
        </w:tc>
        <w:tc>
          <w:tcPr>
            <w:tcW w:type="dxa" w:w="5256"/>
            <w:vAlign w:val="top"/>
            <w:shd w:fill="F7F9FA"/>
          </w:tcPr>
          <w:p>
            <w:pPr>
              <w:spacing w:after="0"/>
            </w:pPr>
            <w:r/>
            <w:r>
              <w:rPr>
                <w:rFonts w:ascii="Aptos" w:hAnsi="Aptos"/>
                <w:b w:val="0"/>
                <w:sz w:val="16"/>
              </w:rPr>
              <w:t>California’s telehealth definition includes asynchronous delivery of health-care services, and individualized clinical guidance may fall within that definition.</w:t>
            </w:r>
          </w:p>
        </w:tc>
        <w:tc>
          <w:tcPr>
            <w:tcW w:type="dxa" w:w="2520"/>
            <w:vAlign w:val="top"/>
            <w:shd w:fill="F7F9FA"/>
          </w:tcPr>
          <w:p>
            <w:pPr>
              <w:spacing w:after="0"/>
            </w:pPr>
            <w:r/>
            <w:r>
              <w:rPr>
                <w:rFonts w:ascii="Aptos" w:hAnsi="Aptos"/>
                <w:b w:val="0"/>
                <w:sz w:val="16"/>
              </w:rPr>
              <w:t>When the therapist assesses or treats through technology, think beyond video and consider asynchronous telehealth.</w:t>
            </w:r>
          </w:p>
        </w:tc>
      </w:tr>
      <w:tr>
        <w:tc>
          <w:tcPr>
            <w:tcW w:type="dxa" w:w="2376"/>
            <w:vAlign w:val="top"/>
          </w:tcPr>
          <w:p>
            <w:pPr>
              <w:spacing w:after="0"/>
            </w:pPr>
            <w:r/>
            <w:r>
              <w:rPr>
                <w:rFonts w:ascii="Aptos" w:hAnsi="Aptos"/>
                <w:b/>
                <w:sz w:val="16"/>
              </w:rPr>
              <w:t>Preserving Risk Communication</w:t>
            </w:r>
          </w:p>
        </w:tc>
        <w:tc>
          <w:tcPr>
            <w:tcW w:type="dxa" w:w="5256"/>
            <w:vAlign w:val="top"/>
          </w:tcPr>
          <w:p>
            <w:pPr>
              <w:spacing w:after="0"/>
            </w:pPr>
            <w:r/>
            <w:r>
              <w:rPr>
                <w:rFonts w:ascii="Aptos" w:hAnsi="Aptos"/>
                <w:b w:val="0"/>
                <w:sz w:val="16"/>
              </w:rPr>
              <w:t>The therapist must address the imminent clinical concern and create an appropriate record of the message, assessment, actions, consultation, and follow-up.</w:t>
            </w:r>
          </w:p>
        </w:tc>
        <w:tc>
          <w:tcPr>
            <w:tcW w:type="dxa" w:w="2520"/>
            <w:vAlign w:val="top"/>
          </w:tcPr>
          <w:p>
            <w:pPr>
              <w:spacing w:after="0"/>
            </w:pPr>
            <w:r/>
            <w:r>
              <w:rPr>
                <w:rFonts w:ascii="Aptos" w:hAnsi="Aptos"/>
                <w:b w:val="0"/>
                <w:sz w:val="16"/>
              </w:rPr>
              <w:t>A request for secrecy does not remove risk-management and documentation responsibilities.</w:t>
            </w:r>
          </w:p>
        </w:tc>
      </w:tr>
      <w:tr>
        <w:tc>
          <w:tcPr>
            <w:tcW w:type="dxa" w:w="2376"/>
            <w:vAlign w:val="top"/>
            <w:shd w:fill="F7F9FA"/>
          </w:tcPr>
          <w:p>
            <w:pPr>
              <w:spacing w:after="0"/>
            </w:pPr>
            <w:r/>
            <w:r>
              <w:rPr>
                <w:rFonts w:ascii="Aptos" w:hAnsi="Aptos"/>
                <w:b/>
                <w:sz w:val="16"/>
              </w:rPr>
              <w:t>Personal Device Use</w:t>
            </w:r>
          </w:p>
        </w:tc>
        <w:tc>
          <w:tcPr>
            <w:tcW w:type="dxa" w:w="5256"/>
            <w:vAlign w:val="top"/>
            <w:shd w:fill="F7F9FA"/>
          </w:tcPr>
          <w:p>
            <w:pPr>
              <w:spacing w:after="0"/>
            </w:pPr>
            <w:r/>
            <w:r>
              <w:rPr>
                <w:rFonts w:ascii="Aptos" w:hAnsi="Aptos"/>
                <w:b w:val="0"/>
                <w:sz w:val="16"/>
              </w:rPr>
              <w:t>The appropriate response is a fact-specific assessment and reasonable safeguards, which may require changing settings, access, workflow, or device use.</w:t>
            </w:r>
          </w:p>
        </w:tc>
        <w:tc>
          <w:tcPr>
            <w:tcW w:type="dxa" w:w="2520"/>
            <w:vAlign w:val="top"/>
            <w:shd w:fill="F7F9FA"/>
          </w:tcPr>
          <w:p>
            <w:pPr>
              <w:spacing w:after="0"/>
            </w:pPr>
            <w:r/>
            <w:r>
              <w:rPr>
                <w:rFonts w:ascii="Aptos" w:hAnsi="Aptos"/>
                <w:b w:val="0"/>
                <w:sz w:val="16"/>
              </w:rPr>
              <w:t>When the facts show manageable risks, choose assessment and correction rather than an unsupported automatic conclusion.</w:t>
            </w:r>
          </w:p>
        </w:tc>
      </w:tr>
      <w:tr>
        <w:tc>
          <w:tcPr>
            <w:tcW w:type="dxa" w:w="2376"/>
            <w:vAlign w:val="top"/>
          </w:tcPr>
          <w:p>
            <w:pPr>
              <w:spacing w:after="0"/>
            </w:pPr>
            <w:r/>
            <w:r>
              <w:rPr>
                <w:rFonts w:ascii="Aptos" w:hAnsi="Aptos"/>
                <w:b/>
                <w:sz w:val="16"/>
              </w:rPr>
              <w:t>Couples Messaging and Confidentiality</w:t>
            </w:r>
          </w:p>
        </w:tc>
        <w:tc>
          <w:tcPr>
            <w:tcW w:type="dxa" w:w="5256"/>
            <w:vAlign w:val="top"/>
          </w:tcPr>
          <w:p>
            <w:pPr>
              <w:spacing w:after="0"/>
            </w:pPr>
            <w:r/>
            <w:r>
              <w:rPr>
                <w:rFonts w:ascii="Aptos" w:hAnsi="Aptos"/>
                <w:b w:val="0"/>
                <w:sz w:val="16"/>
              </w:rPr>
              <w:t>The scenario requires careful application of the treatment unit, consent, confidentiality policy, safety, and clinical judgment rather than an automatic promise or disclosure.</w:t>
            </w:r>
          </w:p>
        </w:tc>
        <w:tc>
          <w:tcPr>
            <w:tcW w:type="dxa" w:w="2520"/>
            <w:vAlign w:val="top"/>
          </w:tcPr>
          <w:p>
            <w:pPr>
              <w:spacing w:after="0"/>
            </w:pPr>
            <w:r/>
            <w:r>
              <w:rPr>
                <w:rFonts w:ascii="Aptos" w:hAnsi="Aptos"/>
                <w:b w:val="0"/>
                <w:sz w:val="16"/>
              </w:rPr>
              <w:t>Complex electronic communication does not replace the underlying informed-consent and confidentiality analysis.</w:t>
            </w:r>
          </w:p>
        </w:tc>
      </w:tr>
      <w:tr>
        <w:tc>
          <w:tcPr>
            <w:tcW w:type="dxa" w:w="2376"/>
            <w:vAlign w:val="top"/>
            <w:shd w:fill="F7F9FA"/>
          </w:tcPr>
          <w:p>
            <w:pPr>
              <w:spacing w:after="0"/>
            </w:pPr>
            <w:r/>
            <w:r>
              <w:rPr>
                <w:rFonts w:ascii="Aptos" w:hAnsi="Aptos"/>
                <w:b/>
                <w:sz w:val="16"/>
              </w:rPr>
              <w:t>Actually Received Emergency Message</w:t>
            </w:r>
          </w:p>
        </w:tc>
        <w:tc>
          <w:tcPr>
            <w:tcW w:type="dxa" w:w="5256"/>
            <w:vAlign w:val="top"/>
            <w:shd w:fill="F7F9FA"/>
          </w:tcPr>
          <w:p>
            <w:pPr>
              <w:spacing w:after="0"/>
            </w:pPr>
            <w:r/>
            <w:r>
              <w:rPr>
                <w:rFonts w:ascii="Aptos" w:hAnsi="Aptos"/>
                <w:b w:val="0"/>
                <w:sz w:val="16"/>
              </w:rPr>
              <w:t>The therapist has actual knowledge of a potentially lethal overdose and should respond promptly; the automated warning does not end the duty to act on known risk.</w:t>
            </w:r>
          </w:p>
        </w:tc>
        <w:tc>
          <w:tcPr>
            <w:tcW w:type="dxa" w:w="2520"/>
            <w:vAlign w:val="top"/>
            <w:shd w:fill="F7F9FA"/>
          </w:tcPr>
          <w:p>
            <w:pPr>
              <w:spacing w:after="0"/>
            </w:pPr>
            <w:r/>
            <w:r>
              <w:rPr>
                <w:rFonts w:ascii="Aptos" w:hAnsi="Aptos"/>
                <w:b w:val="0"/>
                <w:sz w:val="16"/>
              </w:rPr>
              <w:t>A disclaimer is preventive guidance, not a substitute for action after actual notice of danger.</w:t>
            </w:r>
          </w:p>
        </w:tc>
      </w:tr>
      <w:tr>
        <w:tc>
          <w:tcPr>
            <w:tcW w:type="dxa" w:w="2376"/>
            <w:vAlign w:val="top"/>
          </w:tcPr>
          <w:p>
            <w:pPr>
              <w:spacing w:after="0"/>
            </w:pPr>
            <w:r/>
            <w:r>
              <w:rPr>
                <w:rFonts w:ascii="Aptos" w:hAnsi="Aptos"/>
                <w:b/>
                <w:sz w:val="16"/>
              </w:rPr>
              <w:t>Integrated Electronic Communication Responsibilities</w:t>
            </w:r>
          </w:p>
        </w:tc>
        <w:tc>
          <w:tcPr>
            <w:tcW w:type="dxa" w:w="5256"/>
            <w:vAlign w:val="top"/>
          </w:tcPr>
          <w:p>
            <w:pPr>
              <w:spacing w:after="0"/>
            </w:pPr>
            <w:r/>
            <w:r>
              <w:rPr>
                <w:rFonts w:ascii="Aptos" w:hAnsi="Aptos"/>
                <w:b w:val="0"/>
                <w:sz w:val="16"/>
              </w:rPr>
              <w:t>Reevaluate the communication system; establish clear purposes, boundaries, response times, and emergency procedures; use appropriate safeguards and approved channels; incorporate clinically significant content into the record; and seek consultation when needed. This response addresses communication design, informed expectations, confidentiality, boundaries, emergencies, documentation, and professional judgment.</w:t>
            </w:r>
          </w:p>
        </w:tc>
        <w:tc>
          <w:tcPr>
            <w:tcW w:type="dxa" w:w="2520"/>
            <w:vAlign w:val="top"/>
          </w:tcPr>
          <w:p>
            <w:pPr>
              <w:spacing w:after="0"/>
            </w:pPr>
            <w:r/>
            <w:r>
              <w:rPr>
                <w:rFonts w:ascii="Aptos" w:hAnsi="Aptos"/>
                <w:b w:val="0"/>
                <w:sz w:val="16"/>
              </w:rPr>
              <w:t>In an integrated question, select the answer that repairs the entire system rather than relying on preference, prohibition, or a disclaimer.</w:t>
            </w:r>
          </w:p>
        </w:tc>
      </w:tr>
    </w:tbl>
    <w:p>
      <w:pPr>
        <w:pStyle w:val="Heading2"/>
      </w:pPr>
      <w:r>
        <w:t>Exam Reasoning Checklist</w:t>
      </w:r>
    </w:p>
    <w:p>
      <w:pPr>
        <w:pStyle w:val="ListBullet"/>
        <w:spacing w:after="30"/>
      </w:pPr>
      <w:r>
        <w:t>Look at the purpose and content, not merely the fact that technology was used.</w:t>
      </w:r>
    </w:p>
    <w:p>
      <w:pPr>
        <w:pStyle w:val="ListBullet"/>
        <w:spacing w:after="30"/>
      </w:pPr>
      <w:r>
        <w:t>Avoid absolute words such as “never,” “only,” and “automatic” when official guidance uses a reasonable-safeguards standard.</w:t>
      </w:r>
    </w:p>
    <w:p>
      <w:pPr>
        <w:pStyle w:val="ListBullet"/>
        <w:spacing w:after="30"/>
      </w:pPr>
      <w:r>
        <w:t>Communication policies clarify expectations; they do not erase professional duties.</w:t>
      </w:r>
    </w:p>
    <w:p>
      <w:pPr>
        <w:pStyle w:val="ListBullet"/>
        <w:spacing w:after="30"/>
      </w:pPr>
      <w:r>
        <w:t>Technology changes the form of the record, not the importance of clinically significant information.</w:t>
      </w:r>
    </w:p>
    <w:p>
      <w:pPr>
        <w:pStyle w:val="ListBullet"/>
        <w:spacing w:after="30"/>
      </w:pPr>
      <w:r>
        <w:t>Client choice informs the analysis but does not transfer professional responsibility.</w:t>
      </w:r>
    </w:p>
    <w:p>
      <w:pPr>
        <w:pStyle w:val="ListBullet"/>
        <w:spacing w:after="30"/>
      </w:pPr>
      <w:r>
        <w:t>“No diagnosis was included” does not eliminate the risk of revealing who receives services.</w:t>
      </w:r>
    </w:p>
    <w:p>
      <w:pPr>
        <w:pStyle w:val="ListBullet"/>
        <w:spacing w:after="30"/>
      </w:pPr>
      <w:r>
        <w:t>Distinguish not seeing a message from seeing it and choosing not to act.</w:t>
      </w:r>
    </w:p>
    <w:p>
      <w:pPr>
        <w:pStyle w:val="ListBullet"/>
        <w:spacing w:after="30"/>
      </w:pPr>
      <w:r>
        <w:t>Ask whether the message changed assessment, treatment, risk, or follow-up.</w:t>
      </w:r>
    </w:p>
    <w:p>
      <w:pPr>
        <w:pStyle w:val="Heading2"/>
      </w:pPr>
      <w:r>
        <w:t>Chapter Rapid Review</w:t>
      </w:r>
    </w:p>
    <w:p>
      <w:r>
        <w:rPr>
          <w:b/>
        </w:rPr>
        <w:t xml:space="preserve">Know these concepts: </w:t>
      </w:r>
      <w:r>
        <w:t>Electronic Communication Categories; Email and Reasonable Safeguards; Communication Expectations; Electronic Health-Service Records; Client-Initiated Email; Group Messaging Disclosure; Unread Crisis Message; Clinical Documentation; Client Preference for Unencrypted Email; Response Boundaries; Recipient Verification; Asynchronous Clinical Care; Preserving Risk Communication; Personal Device Use; Couples Messaging and Confidentiality; Actually Received Emergency Message; Integrated Electronic Communication Responsibilities</w:t>
      </w:r>
    </w:p>
    <w:p>
      <w:r>
        <w:br w:type="page"/>
      </w:r>
    </w:p>
    <w:p>
      <w:pPr>
        <w:pStyle w:val="Heading2"/>
      </w:pPr>
      <w:r>
        <w:t>Chapter 5</w:t>
      </w:r>
    </w:p>
    <w:p>
      <w:pPr>
        <w:pStyle w:val="Heading1"/>
      </w:pPr>
      <w:r>
        <w:t>Social Media, Boundaries, and Digital Ethics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Associate advertising must accurately state associate status and include the required employer/entity and supervision information; it must not imply independent licensure. Social media changes visibility and communication methods but does not eliminate the underlying professional standards.</w:t>
            </w:r>
          </w:p>
        </w:tc>
      </w:tr>
    </w:tbl>
    <w:p>
      <w:pPr>
        <w:pStyle w:val="Heading2"/>
      </w:pPr>
      <w:r>
        <w:t>What to Learn</w:t>
      </w:r>
    </w:p>
    <w:p>
      <w:pPr>
        <w:pStyle w:val="ListBullet"/>
        <w:spacing w:after="30"/>
      </w:pPr>
      <w:r>
        <w:t>Explain and apply Associate Advertising.</w:t>
      </w:r>
    </w:p>
    <w:p>
      <w:pPr>
        <w:pStyle w:val="ListBullet"/>
        <w:spacing w:after="30"/>
      </w:pPr>
      <w:r>
        <w:t>Explain and apply Digital Professional Boundaries.</w:t>
      </w:r>
    </w:p>
    <w:p>
      <w:pPr>
        <w:pStyle w:val="ListBullet"/>
        <w:spacing w:after="30"/>
      </w:pPr>
      <w:r>
        <w:t>Explain and apply Social Media Advertising Requirements.</w:t>
      </w:r>
    </w:p>
    <w:p>
      <w:pPr>
        <w:pStyle w:val="ListBullet"/>
        <w:spacing w:after="30"/>
      </w:pPr>
      <w:r>
        <w:t>Explain and apply Online Reviews and Confidentiality.</w:t>
      </w:r>
    </w:p>
    <w:p>
      <w:pPr>
        <w:pStyle w:val="ListBullet"/>
        <w:spacing w:after="30"/>
      </w:pPr>
      <w:r>
        <w:t>Explain and apply Using Public Client Information.</w:t>
      </w:r>
    </w:p>
    <w:p>
      <w:pPr>
        <w:pStyle w:val="ListBullet"/>
        <w:spacing w:after="30"/>
      </w:pPr>
      <w:r>
        <w:t>Explain and apply Separate Accounts.</w:t>
      </w:r>
    </w:p>
    <w:p>
      <w:pPr>
        <w:pStyle w:val="ListBullet"/>
        <w:spacing w:after="30"/>
      </w:pPr>
      <w:r>
        <w:t>Explain and apply Friend Request from Current Client.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Associate Advertising</w:t>
            </w:r>
          </w:p>
        </w:tc>
        <w:tc>
          <w:tcPr>
            <w:tcW w:type="dxa" w:w="5256"/>
            <w:vAlign w:val="top"/>
          </w:tcPr>
          <w:p>
            <w:pPr>
              <w:spacing w:after="0"/>
            </w:pPr>
            <w:r/>
            <w:r>
              <w:rPr>
                <w:rFonts w:ascii="Aptos" w:hAnsi="Aptos"/>
                <w:b w:val="0"/>
                <w:sz w:val="16"/>
              </w:rPr>
              <w:t>Associate advertising must accurately state associate status and include the required employer/entity and supervision information; it must not imply independent licensure.</w:t>
            </w:r>
          </w:p>
        </w:tc>
        <w:tc>
          <w:tcPr>
            <w:tcW w:type="dxa" w:w="2520"/>
            <w:vAlign w:val="top"/>
          </w:tcPr>
          <w:p>
            <w:pPr>
              <w:spacing w:after="0"/>
            </w:pPr>
            <w:r/>
            <w:r>
              <w:rPr>
                <w:rFonts w:ascii="Aptos" w:hAnsi="Aptos"/>
                <w:b w:val="0"/>
                <w:sz w:val="16"/>
              </w:rPr>
              <w:t>For associate ads, look for status, number, employer/entity, and supervision - not merely a credential number.</w:t>
            </w:r>
          </w:p>
        </w:tc>
      </w:tr>
      <w:tr>
        <w:tc>
          <w:tcPr>
            <w:tcW w:type="dxa" w:w="2376"/>
            <w:vAlign w:val="top"/>
            <w:shd w:fill="F7F9FA"/>
          </w:tcPr>
          <w:p>
            <w:pPr>
              <w:spacing w:after="0"/>
            </w:pPr>
            <w:r/>
            <w:r>
              <w:rPr>
                <w:rFonts w:ascii="Aptos" w:hAnsi="Aptos"/>
                <w:b/>
                <w:sz w:val="16"/>
              </w:rPr>
              <w:t>Digital Professional Boundaries</w:t>
            </w:r>
          </w:p>
        </w:tc>
        <w:tc>
          <w:tcPr>
            <w:tcW w:type="dxa" w:w="5256"/>
            <w:vAlign w:val="top"/>
            <w:shd w:fill="F7F9FA"/>
          </w:tcPr>
          <w:p>
            <w:pPr>
              <w:spacing w:after="0"/>
            </w:pPr>
            <w:r/>
            <w:r>
              <w:rPr>
                <w:rFonts w:ascii="Aptos" w:hAnsi="Aptos"/>
                <w:b w:val="0"/>
                <w:sz w:val="16"/>
              </w:rPr>
              <w:t>Social media changes visibility and communication methods but does not eliminate the underlying professional standards.</w:t>
            </w:r>
          </w:p>
        </w:tc>
        <w:tc>
          <w:tcPr>
            <w:tcW w:type="dxa" w:w="2520"/>
            <w:vAlign w:val="top"/>
            <w:shd w:fill="F7F9FA"/>
          </w:tcPr>
          <w:p>
            <w:pPr>
              <w:spacing w:after="0"/>
            </w:pPr>
            <w:r/>
            <w:r>
              <w:rPr>
                <w:rFonts w:ascii="Aptos" w:hAnsi="Aptos"/>
                <w:b w:val="0"/>
                <w:sz w:val="16"/>
              </w:rPr>
              <w:t>Choose the answer that applies existing professional principles rather than treating social media as a separate legal universe.</w:t>
            </w:r>
          </w:p>
        </w:tc>
      </w:tr>
      <w:tr>
        <w:tc>
          <w:tcPr>
            <w:tcW w:type="dxa" w:w="2376"/>
            <w:vAlign w:val="top"/>
          </w:tcPr>
          <w:p>
            <w:pPr>
              <w:spacing w:after="0"/>
            </w:pPr>
            <w:r/>
            <w:r>
              <w:rPr>
                <w:rFonts w:ascii="Aptos" w:hAnsi="Aptos"/>
                <w:b/>
                <w:sz w:val="16"/>
              </w:rPr>
              <w:t>Social Media Advertising Requirements</w:t>
            </w:r>
          </w:p>
        </w:tc>
        <w:tc>
          <w:tcPr>
            <w:tcW w:type="dxa" w:w="5256"/>
            <w:vAlign w:val="top"/>
          </w:tcPr>
          <w:p>
            <w:pPr>
              <w:spacing w:after="0"/>
            </w:pPr>
            <w:r/>
            <w:r>
              <w:rPr>
                <w:rFonts w:ascii="Aptos" w:hAnsi="Aptos"/>
                <w:b w:val="0"/>
                <w:sz w:val="16"/>
              </w:rPr>
              <w:t>These are the minimum content requirements for a BBS licensee’s advertising, including social media.</w:t>
            </w:r>
          </w:p>
        </w:tc>
        <w:tc>
          <w:tcPr>
            <w:tcW w:type="dxa" w:w="2520"/>
            <w:vAlign w:val="top"/>
          </w:tcPr>
          <w:p>
            <w:pPr>
              <w:spacing w:after="0"/>
            </w:pPr>
            <w:r/>
            <w:r>
              <w:rPr>
                <w:rFonts w:ascii="Aptos" w:hAnsi="Aptos"/>
                <w:b w:val="0"/>
                <w:sz w:val="16"/>
              </w:rPr>
              <w:t>Social media is advertising. Look for name, license type, and license number.</w:t>
            </w:r>
          </w:p>
        </w:tc>
      </w:tr>
      <w:tr>
        <w:tc>
          <w:tcPr>
            <w:tcW w:type="dxa" w:w="2376"/>
            <w:vAlign w:val="top"/>
            <w:shd w:fill="F7F9FA"/>
          </w:tcPr>
          <w:p>
            <w:pPr>
              <w:spacing w:after="0"/>
            </w:pPr>
            <w:r/>
            <w:r>
              <w:rPr>
                <w:rFonts w:ascii="Aptos" w:hAnsi="Aptos"/>
                <w:b/>
                <w:sz w:val="16"/>
              </w:rPr>
              <w:t>Online Reviews and Confidentiality</w:t>
            </w:r>
          </w:p>
        </w:tc>
        <w:tc>
          <w:tcPr>
            <w:tcW w:type="dxa" w:w="5256"/>
            <w:vAlign w:val="top"/>
            <w:shd w:fill="F7F9FA"/>
          </w:tcPr>
          <w:p>
            <w:pPr>
              <w:spacing w:after="0"/>
            </w:pPr>
            <w:r/>
            <w:r>
              <w:rPr>
                <w:rFonts w:ascii="Aptos" w:hAnsi="Aptos"/>
                <w:b w:val="0"/>
                <w:sz w:val="16"/>
              </w:rPr>
              <w:t>A client’s self-disclosure does not create authorization for the therapist to confirm, expand, or disclose protected information.</w:t>
            </w:r>
          </w:p>
        </w:tc>
        <w:tc>
          <w:tcPr>
            <w:tcW w:type="dxa" w:w="2520"/>
            <w:vAlign w:val="top"/>
            <w:shd w:fill="F7F9FA"/>
          </w:tcPr>
          <w:p>
            <w:pPr>
              <w:spacing w:after="0"/>
            </w:pPr>
            <w:r/>
            <w:r>
              <w:rPr>
                <w:rFonts w:ascii="Aptos" w:hAnsi="Aptos"/>
                <w:b w:val="0"/>
                <w:sz w:val="16"/>
              </w:rPr>
              <w:t>The client controls the client’s own speech; the therapist remains bound by confidentiality.</w:t>
            </w:r>
          </w:p>
        </w:tc>
      </w:tr>
      <w:tr>
        <w:tc>
          <w:tcPr>
            <w:tcW w:type="dxa" w:w="2376"/>
            <w:vAlign w:val="top"/>
          </w:tcPr>
          <w:p>
            <w:pPr>
              <w:spacing w:after="0"/>
            </w:pPr>
            <w:r/>
            <w:r>
              <w:rPr>
                <w:rFonts w:ascii="Aptos" w:hAnsi="Aptos"/>
                <w:b/>
                <w:sz w:val="16"/>
              </w:rPr>
              <w:t>Using Public Client Information</w:t>
            </w:r>
          </w:p>
        </w:tc>
        <w:tc>
          <w:tcPr>
            <w:tcW w:type="dxa" w:w="5256"/>
            <w:vAlign w:val="top"/>
          </w:tcPr>
          <w:p>
            <w:pPr>
              <w:spacing w:after="0"/>
            </w:pPr>
            <w:r/>
            <w:r>
              <w:rPr>
                <w:rFonts w:ascii="Aptos" w:hAnsi="Aptos"/>
                <w:b w:val="0"/>
                <w:sz w:val="16"/>
              </w:rPr>
              <w:t>Public availability is only one fact; professional judgment still governs whether and how the information is used.</w:t>
            </w:r>
          </w:p>
        </w:tc>
        <w:tc>
          <w:tcPr>
            <w:tcW w:type="dxa" w:w="2520"/>
            <w:vAlign w:val="top"/>
          </w:tcPr>
          <w:p>
            <w:pPr>
              <w:spacing w:after="0"/>
            </w:pPr>
            <w:r/>
            <w:r>
              <w:rPr>
                <w:rFonts w:ascii="Aptos" w:hAnsi="Aptos"/>
                <w:b w:val="0"/>
                <w:sz w:val="16"/>
              </w:rPr>
              <w:t>Avoid both extremes: “public means free to use” and “public information can never matter.”</w:t>
            </w:r>
          </w:p>
        </w:tc>
      </w:tr>
      <w:tr>
        <w:tc>
          <w:tcPr>
            <w:tcW w:type="dxa" w:w="2376"/>
            <w:vAlign w:val="top"/>
            <w:shd w:fill="F7F9FA"/>
          </w:tcPr>
          <w:p>
            <w:pPr>
              <w:spacing w:after="0"/>
            </w:pPr>
            <w:r/>
            <w:r>
              <w:rPr>
                <w:rFonts w:ascii="Aptos" w:hAnsi="Aptos"/>
                <w:b/>
                <w:sz w:val="16"/>
              </w:rPr>
              <w:t>Separate Accounts</w:t>
            </w:r>
          </w:p>
        </w:tc>
        <w:tc>
          <w:tcPr>
            <w:tcW w:type="dxa" w:w="5256"/>
            <w:vAlign w:val="top"/>
            <w:shd w:fill="F7F9FA"/>
          </w:tcPr>
          <w:p>
            <w:pPr>
              <w:spacing w:after="0"/>
            </w:pPr>
            <w:r/>
            <w:r>
              <w:rPr>
                <w:rFonts w:ascii="Aptos" w:hAnsi="Aptos"/>
                <w:b w:val="0"/>
                <w:sz w:val="16"/>
              </w:rPr>
              <w:t>Separate accounts are a risk-reduction measure, not a complete solution.</w:t>
            </w:r>
          </w:p>
        </w:tc>
        <w:tc>
          <w:tcPr>
            <w:tcW w:type="dxa" w:w="2520"/>
            <w:vAlign w:val="top"/>
            <w:shd w:fill="F7F9FA"/>
          </w:tcPr>
          <w:p>
            <w:pPr>
              <w:spacing w:after="0"/>
            </w:pPr>
            <w:r/>
            <w:r>
              <w:rPr>
                <w:rFonts w:ascii="Aptos" w:hAnsi="Aptos"/>
                <w:b w:val="0"/>
                <w:sz w:val="16"/>
              </w:rPr>
              <w:t>When an option promises that a technology choice “guarantees” privacy or removes duties, eliminate it.</w:t>
            </w:r>
          </w:p>
        </w:tc>
      </w:tr>
      <w:tr>
        <w:tc>
          <w:tcPr>
            <w:tcW w:type="dxa" w:w="2376"/>
            <w:vAlign w:val="top"/>
          </w:tcPr>
          <w:p>
            <w:pPr>
              <w:spacing w:after="0"/>
            </w:pPr>
            <w:r/>
            <w:r>
              <w:rPr>
                <w:rFonts w:ascii="Aptos" w:hAnsi="Aptos"/>
                <w:b/>
                <w:sz w:val="16"/>
              </w:rPr>
              <w:t>Friend Request from Current Client</w:t>
            </w:r>
          </w:p>
        </w:tc>
        <w:tc>
          <w:tcPr>
            <w:tcW w:type="dxa" w:w="5256"/>
            <w:vAlign w:val="top"/>
          </w:tcPr>
          <w:p>
            <w:pPr>
              <w:spacing w:after="0"/>
            </w:pPr>
            <w:r/>
            <w:r>
              <w:rPr>
                <w:rFonts w:ascii="Aptos" w:hAnsi="Aptos"/>
                <w:b w:val="0"/>
                <w:sz w:val="16"/>
              </w:rPr>
              <w:t>There is no one automatic legal answer; the therapist should assess the request and respond according to policy, treatment needs, and client welfare.</w:t>
            </w:r>
          </w:p>
        </w:tc>
        <w:tc>
          <w:tcPr>
            <w:tcW w:type="dxa" w:w="2520"/>
            <w:vAlign w:val="top"/>
          </w:tcPr>
          <w:p>
            <w:pPr>
              <w:spacing w:after="0"/>
            </w:pPr>
            <w:r/>
            <w:r>
              <w:rPr>
                <w:rFonts w:ascii="Aptos" w:hAnsi="Aptos"/>
                <w:b w:val="0"/>
                <w:sz w:val="16"/>
              </w:rPr>
              <w:t>California-style questions usually favor thoughtful boundary assessment over an automatic click, block, or termination.</w:t>
            </w:r>
          </w:p>
        </w:tc>
      </w:tr>
      <w:tr>
        <w:tc>
          <w:tcPr>
            <w:tcW w:type="dxa" w:w="2376"/>
            <w:vAlign w:val="top"/>
            <w:shd w:fill="F7F9FA"/>
          </w:tcPr>
          <w:p>
            <w:pPr>
              <w:spacing w:after="0"/>
            </w:pPr>
            <w:r/>
            <w:r>
              <w:rPr>
                <w:rFonts w:ascii="Aptos" w:hAnsi="Aptos"/>
                <w:b/>
                <w:sz w:val="16"/>
              </w:rPr>
              <w:t>Defensive Review Response</w:t>
            </w:r>
          </w:p>
        </w:tc>
        <w:tc>
          <w:tcPr>
            <w:tcW w:type="dxa" w:w="5256"/>
            <w:vAlign w:val="top"/>
            <w:shd w:fill="F7F9FA"/>
          </w:tcPr>
          <w:p>
            <w:pPr>
              <w:spacing w:after="0"/>
            </w:pPr>
            <w:r/>
            <w:r>
              <w:rPr>
                <w:rFonts w:ascii="Aptos" w:hAnsi="Aptos"/>
                <w:b w:val="0"/>
                <w:sz w:val="16"/>
              </w:rPr>
              <w:t>The response confirms client status and discloses multiple categories of confidential information.</w:t>
            </w:r>
          </w:p>
        </w:tc>
        <w:tc>
          <w:tcPr>
            <w:tcW w:type="dxa" w:w="2520"/>
            <w:vAlign w:val="top"/>
            <w:shd w:fill="F7F9FA"/>
          </w:tcPr>
          <w:p>
            <w:pPr>
              <w:spacing w:after="0"/>
            </w:pPr>
            <w:r/>
            <w:r>
              <w:rPr>
                <w:rFonts w:ascii="Aptos" w:hAnsi="Aptos"/>
                <w:b w:val="0"/>
                <w:sz w:val="16"/>
              </w:rPr>
              <w:t>A defensive response is not an exception to confidentiality.</w:t>
            </w:r>
          </w:p>
        </w:tc>
      </w:tr>
      <w:tr>
        <w:tc>
          <w:tcPr>
            <w:tcW w:type="dxa" w:w="2376"/>
            <w:vAlign w:val="top"/>
          </w:tcPr>
          <w:p>
            <w:pPr>
              <w:spacing w:after="0"/>
            </w:pPr>
            <w:r/>
            <w:r>
              <w:rPr>
                <w:rFonts w:ascii="Aptos" w:hAnsi="Aptos"/>
                <w:b/>
                <w:sz w:val="16"/>
              </w:rPr>
              <w:t>Online Case Discussion</w:t>
            </w:r>
          </w:p>
        </w:tc>
        <w:tc>
          <w:tcPr>
            <w:tcW w:type="dxa" w:w="5256"/>
            <w:vAlign w:val="top"/>
          </w:tcPr>
          <w:p>
            <w:pPr>
              <w:spacing w:after="0"/>
            </w:pPr>
            <w:r/>
            <w:r>
              <w:rPr>
                <w:rFonts w:ascii="Aptos" w:hAnsi="Aptos"/>
                <w:b w:val="0"/>
                <w:sz w:val="16"/>
              </w:rPr>
              <w:t>The therapist should use an appropriate consultation method and disclose only what is reasonably necessary.</w:t>
            </w:r>
          </w:p>
        </w:tc>
        <w:tc>
          <w:tcPr>
            <w:tcW w:type="dxa" w:w="2520"/>
            <w:vAlign w:val="top"/>
          </w:tcPr>
          <w:p>
            <w:pPr>
              <w:spacing w:after="0"/>
            </w:pPr>
            <w:r/>
            <w:r>
              <w:rPr>
                <w:rFonts w:ascii="Aptos" w:hAnsi="Aptos"/>
                <w:b w:val="0"/>
                <w:sz w:val="16"/>
              </w:rPr>
              <w:t>No name is not enough. Ask whether the audience and combined details create identification risk.</w:t>
            </w:r>
          </w:p>
        </w:tc>
      </w:tr>
      <w:tr>
        <w:tc>
          <w:tcPr>
            <w:tcW w:type="dxa" w:w="2376"/>
            <w:vAlign w:val="top"/>
            <w:shd w:fill="F7F9FA"/>
          </w:tcPr>
          <w:p>
            <w:pPr>
              <w:spacing w:after="0"/>
            </w:pPr>
            <w:r/>
            <w:r>
              <w:rPr>
                <w:rFonts w:ascii="Aptos" w:hAnsi="Aptos"/>
                <w:b/>
                <w:sz w:val="16"/>
              </w:rPr>
              <w:t>Searching from Curiosity</w:t>
            </w:r>
          </w:p>
        </w:tc>
        <w:tc>
          <w:tcPr>
            <w:tcW w:type="dxa" w:w="5256"/>
            <w:vAlign w:val="top"/>
            <w:shd w:fill="F7F9FA"/>
          </w:tcPr>
          <w:p>
            <w:pPr>
              <w:spacing w:after="0"/>
            </w:pPr>
            <w:r/>
            <w:r>
              <w:rPr>
                <w:rFonts w:ascii="Aptos" w:hAnsi="Aptos"/>
                <w:b w:val="0"/>
                <w:sz w:val="16"/>
              </w:rPr>
              <w:t>Curiosity alone is a weak justification for potentially intrusive information gathering.</w:t>
            </w:r>
          </w:p>
        </w:tc>
        <w:tc>
          <w:tcPr>
            <w:tcW w:type="dxa" w:w="2520"/>
            <w:vAlign w:val="top"/>
            <w:shd w:fill="F7F9FA"/>
          </w:tcPr>
          <w:p>
            <w:pPr>
              <w:spacing w:after="0"/>
            </w:pPr>
            <w:r/>
            <w:r>
              <w:rPr>
                <w:rFonts w:ascii="Aptos" w:hAnsi="Aptos"/>
                <w:b w:val="0"/>
                <w:sz w:val="16"/>
              </w:rPr>
              <w:t>Purpose before curiosity is the key clue.</w:t>
            </w:r>
          </w:p>
        </w:tc>
      </w:tr>
      <w:tr>
        <w:tc>
          <w:tcPr>
            <w:tcW w:type="dxa" w:w="2376"/>
            <w:vAlign w:val="top"/>
          </w:tcPr>
          <w:p>
            <w:pPr>
              <w:spacing w:after="0"/>
            </w:pPr>
            <w:r/>
            <w:r>
              <w:rPr>
                <w:rFonts w:ascii="Aptos" w:hAnsi="Aptos"/>
                <w:b/>
                <w:sz w:val="16"/>
              </w:rPr>
              <w:t>Online Safety Information</w:t>
            </w:r>
          </w:p>
        </w:tc>
        <w:tc>
          <w:tcPr>
            <w:tcW w:type="dxa" w:w="5256"/>
            <w:vAlign w:val="top"/>
          </w:tcPr>
          <w:p>
            <w:pPr>
              <w:spacing w:after="0"/>
            </w:pPr>
            <w:r/>
            <w:r>
              <w:rPr>
                <w:rFonts w:ascii="Aptos" w:hAnsi="Aptos"/>
                <w:b w:val="0"/>
                <w:sz w:val="16"/>
              </w:rPr>
              <w:t>The content presents a potentially serious and imminent safety concern requiring prompt assessment and proportionate action.</w:t>
            </w:r>
          </w:p>
        </w:tc>
        <w:tc>
          <w:tcPr>
            <w:tcW w:type="dxa" w:w="2520"/>
            <w:vAlign w:val="top"/>
          </w:tcPr>
          <w:p>
            <w:pPr>
              <w:spacing w:after="0"/>
            </w:pPr>
            <w:r/>
            <w:r>
              <w:rPr>
                <w:rFonts w:ascii="Aptos" w:hAnsi="Aptos"/>
                <w:b w:val="0"/>
                <w:sz w:val="16"/>
              </w:rPr>
              <w:t>In a safety question, verify and assess promptly; do not ignore or overreact publicly.</w:t>
            </w:r>
          </w:p>
        </w:tc>
      </w:tr>
      <w:tr>
        <w:tc>
          <w:tcPr>
            <w:tcW w:type="dxa" w:w="2376"/>
            <w:vAlign w:val="top"/>
            <w:shd w:fill="F7F9FA"/>
          </w:tcPr>
          <w:p>
            <w:pPr>
              <w:spacing w:after="0"/>
            </w:pPr>
            <w:r/>
            <w:r>
              <w:rPr>
                <w:rFonts w:ascii="Aptos" w:hAnsi="Aptos"/>
                <w:b/>
                <w:sz w:val="16"/>
              </w:rPr>
              <w:t>Direct Message to Personal Account</w:t>
            </w:r>
          </w:p>
        </w:tc>
        <w:tc>
          <w:tcPr>
            <w:tcW w:type="dxa" w:w="5256"/>
            <w:vAlign w:val="top"/>
            <w:shd w:fill="F7F9FA"/>
          </w:tcPr>
          <w:p>
            <w:pPr>
              <w:spacing w:after="0"/>
            </w:pPr>
            <w:r/>
            <w:r>
              <w:rPr>
                <w:rFonts w:ascii="Aptos" w:hAnsi="Aptos"/>
                <w:b w:val="0"/>
                <w:sz w:val="16"/>
              </w:rPr>
              <w:t>Immediate safety comes first, followed by documentation and boundary repair.</w:t>
            </w:r>
          </w:p>
        </w:tc>
        <w:tc>
          <w:tcPr>
            <w:tcW w:type="dxa" w:w="2520"/>
            <w:vAlign w:val="top"/>
            <w:shd w:fill="F7F9FA"/>
          </w:tcPr>
          <w:p>
            <w:pPr>
              <w:spacing w:after="0"/>
            </w:pPr>
            <w:r/>
            <w:r>
              <w:rPr>
                <w:rFonts w:ascii="Aptos" w:hAnsi="Aptos"/>
                <w:b w:val="0"/>
                <w:sz w:val="16"/>
              </w:rPr>
              <w:t>Policies prevent confusion; actual knowledge of risk still requires clinical action.</w:t>
            </w:r>
          </w:p>
        </w:tc>
      </w:tr>
      <w:tr>
        <w:tc>
          <w:tcPr>
            <w:tcW w:type="dxa" w:w="2376"/>
            <w:vAlign w:val="top"/>
          </w:tcPr>
          <w:p>
            <w:pPr>
              <w:spacing w:after="0"/>
            </w:pPr>
            <w:r/>
            <w:r>
              <w:rPr>
                <w:rFonts w:ascii="Aptos" w:hAnsi="Aptos"/>
                <w:b/>
                <w:sz w:val="16"/>
              </w:rPr>
              <w:t>Public Like and Implied Relationship</w:t>
            </w:r>
          </w:p>
        </w:tc>
        <w:tc>
          <w:tcPr>
            <w:tcW w:type="dxa" w:w="5256"/>
            <w:vAlign w:val="top"/>
          </w:tcPr>
          <w:p>
            <w:pPr>
              <w:spacing w:after="0"/>
            </w:pPr>
            <w:r/>
            <w:r>
              <w:rPr>
                <w:rFonts w:ascii="Aptos" w:hAnsi="Aptos"/>
                <w:b w:val="0"/>
                <w:sz w:val="16"/>
              </w:rPr>
              <w:t>The analysis turns on implied identification, boundary effects, and the specific therapeutic context.</w:t>
            </w:r>
          </w:p>
        </w:tc>
        <w:tc>
          <w:tcPr>
            <w:tcW w:type="dxa" w:w="2520"/>
            <w:vAlign w:val="top"/>
          </w:tcPr>
          <w:p>
            <w:pPr>
              <w:spacing w:after="0"/>
            </w:pPr>
            <w:r/>
            <w:r>
              <w:rPr>
                <w:rFonts w:ascii="Aptos" w:hAnsi="Aptos"/>
                <w:b w:val="0"/>
                <w:sz w:val="16"/>
              </w:rPr>
              <w:t>Online signals such as likes, follows, and tags can disclose by association.</w:t>
            </w:r>
          </w:p>
        </w:tc>
      </w:tr>
      <w:tr>
        <w:tc>
          <w:tcPr>
            <w:tcW w:type="dxa" w:w="2376"/>
            <w:vAlign w:val="top"/>
            <w:shd w:fill="F7F9FA"/>
          </w:tcPr>
          <w:p>
            <w:pPr>
              <w:spacing w:after="0"/>
            </w:pPr>
            <w:r/>
            <w:r>
              <w:rPr>
                <w:rFonts w:ascii="Aptos" w:hAnsi="Aptos"/>
                <w:b/>
                <w:sz w:val="16"/>
              </w:rPr>
              <w:t>Former Client Boundary</w:t>
            </w:r>
          </w:p>
        </w:tc>
        <w:tc>
          <w:tcPr>
            <w:tcW w:type="dxa" w:w="5256"/>
            <w:vAlign w:val="top"/>
            <w:shd w:fill="F7F9FA"/>
          </w:tcPr>
          <w:p>
            <w:pPr>
              <w:spacing w:after="0"/>
            </w:pPr>
            <w:r/>
            <w:r>
              <w:rPr>
                <w:rFonts w:ascii="Aptos" w:hAnsi="Aptos"/>
                <w:b w:val="0"/>
                <w:sz w:val="16"/>
              </w:rPr>
              <w:t>The timing, former treatment, client vulnerability, potential future care, and public association may remain relevant.</w:t>
            </w:r>
          </w:p>
        </w:tc>
        <w:tc>
          <w:tcPr>
            <w:tcW w:type="dxa" w:w="2520"/>
            <w:vAlign w:val="top"/>
            <w:shd w:fill="F7F9FA"/>
          </w:tcPr>
          <w:p>
            <w:pPr>
              <w:spacing w:after="0"/>
            </w:pPr>
            <w:r/>
            <w:r>
              <w:rPr>
                <w:rFonts w:ascii="Aptos" w:hAnsi="Aptos"/>
                <w:b w:val="0"/>
                <w:sz w:val="16"/>
              </w:rPr>
              <w:t>Former does not mean ordinary. Confidentiality survives termination.</w:t>
            </w:r>
          </w:p>
        </w:tc>
      </w:tr>
      <w:tr>
        <w:tc>
          <w:tcPr>
            <w:tcW w:type="dxa" w:w="2376"/>
            <w:vAlign w:val="top"/>
          </w:tcPr>
          <w:p>
            <w:pPr>
              <w:spacing w:after="0"/>
            </w:pPr>
            <w:r/>
            <w:r>
              <w:rPr>
                <w:rFonts w:ascii="Aptos" w:hAnsi="Aptos"/>
                <w:b/>
                <w:sz w:val="16"/>
              </w:rPr>
              <w:t>Soliciting Testimonials</w:t>
            </w:r>
          </w:p>
        </w:tc>
        <w:tc>
          <w:tcPr>
            <w:tcW w:type="dxa" w:w="5256"/>
            <w:vAlign w:val="top"/>
          </w:tcPr>
          <w:p>
            <w:pPr>
              <w:spacing w:after="0"/>
            </w:pPr>
            <w:r/>
            <w:r>
              <w:rPr>
                <w:rFonts w:ascii="Aptos" w:hAnsi="Aptos"/>
                <w:b w:val="0"/>
                <w:sz w:val="16"/>
              </w:rPr>
              <w:t>Current clients may feel pressure, and the marketing use may exploit vulnerability, reveal treatment, and create unjustified expectations.</w:t>
            </w:r>
          </w:p>
        </w:tc>
        <w:tc>
          <w:tcPr>
            <w:tcW w:type="dxa" w:w="2520"/>
            <w:vAlign w:val="top"/>
          </w:tcPr>
          <w:p>
            <w:pPr>
              <w:spacing w:after="0"/>
            </w:pPr>
            <w:r/>
            <w:r>
              <w:rPr>
                <w:rFonts w:ascii="Aptos" w:hAnsi="Aptos"/>
                <w:b w:val="0"/>
                <w:sz w:val="16"/>
              </w:rPr>
              <w:t>When a current client is used for marketing, examine power, influence, confidentiality, and misleading outcomes - not only the form of consent.</w:t>
            </w:r>
          </w:p>
        </w:tc>
      </w:tr>
      <w:tr>
        <w:tc>
          <w:tcPr>
            <w:tcW w:type="dxa" w:w="2376"/>
            <w:vAlign w:val="top"/>
            <w:shd w:fill="F7F9FA"/>
          </w:tcPr>
          <w:p>
            <w:pPr>
              <w:spacing w:after="0"/>
            </w:pPr>
            <w:r/>
            <w:r>
              <w:rPr>
                <w:rFonts w:ascii="Aptos" w:hAnsi="Aptos"/>
                <w:b/>
                <w:sz w:val="16"/>
              </w:rPr>
              <w:t>Misleading Digital Advertising</w:t>
            </w:r>
          </w:p>
        </w:tc>
        <w:tc>
          <w:tcPr>
            <w:tcW w:type="dxa" w:w="5256"/>
            <w:vAlign w:val="top"/>
            <w:shd w:fill="F7F9FA"/>
          </w:tcPr>
          <w:p>
            <w:pPr>
              <w:spacing w:after="0"/>
            </w:pPr>
            <w:r/>
            <w:r>
              <w:rPr>
                <w:rFonts w:ascii="Aptos" w:hAnsi="Aptos"/>
                <w:b w:val="0"/>
                <w:sz w:val="16"/>
              </w:rPr>
              <w:t>The profile violates multiple advertising principles: accurate status, truthful titles and qualifications, no misleading guarantee, and required associate disclosures.</w:t>
            </w:r>
          </w:p>
        </w:tc>
        <w:tc>
          <w:tcPr>
            <w:tcW w:type="dxa" w:w="2520"/>
            <w:vAlign w:val="top"/>
            <w:shd w:fill="F7F9FA"/>
          </w:tcPr>
          <w:p>
            <w:pPr>
              <w:spacing w:after="0"/>
            </w:pPr>
            <w:r/>
            <w:r>
              <w:rPr>
                <w:rFonts w:ascii="Aptos" w:hAnsi="Aptos"/>
                <w:b w:val="0"/>
                <w:sz w:val="16"/>
              </w:rPr>
              <w:t>In advertising questions, evaluate every representation from the consumer’s perspective.</w:t>
            </w:r>
          </w:p>
        </w:tc>
      </w:tr>
      <w:tr>
        <w:tc>
          <w:tcPr>
            <w:tcW w:type="dxa" w:w="2376"/>
            <w:vAlign w:val="top"/>
          </w:tcPr>
          <w:p>
            <w:pPr>
              <w:spacing w:after="0"/>
            </w:pPr>
            <w:r/>
            <w:r>
              <w:rPr>
                <w:rFonts w:ascii="Aptos" w:hAnsi="Aptos"/>
                <w:b/>
                <w:sz w:val="16"/>
              </w:rPr>
              <w:t>Integrated Social Media Responsibilities</w:t>
            </w:r>
          </w:p>
        </w:tc>
        <w:tc>
          <w:tcPr>
            <w:tcW w:type="dxa" w:w="5256"/>
            <w:vAlign w:val="top"/>
          </w:tcPr>
          <w:p>
            <w:pPr>
              <w:spacing w:after="0"/>
            </w:pPr>
            <w:r/>
            <w:r>
              <w:rPr>
                <w:rFonts w:ascii="Aptos" w:hAnsi="Aptos"/>
                <w:b w:val="0"/>
                <w:sz w:val="16"/>
              </w:rPr>
              <w:t>Correct the advertising to include required and truthful information; stop unauthorized client disclosures; reassess friend-request and search practices; protect confidentiality in reviews and case discussion; document or consult regarding significant incidents; and establish clear, lawful social-media boundaries. This response addresses the entire system: advertising, confidentiality, boundaries, information gathering, public responses, documentation, and consultation.</w:t>
            </w:r>
          </w:p>
        </w:tc>
        <w:tc>
          <w:tcPr>
            <w:tcW w:type="dxa" w:w="2520"/>
            <w:vAlign w:val="top"/>
          </w:tcPr>
          <w:p>
            <w:pPr>
              <w:spacing w:after="0"/>
            </w:pPr>
            <w:r/>
            <w:r>
              <w:rPr>
                <w:rFonts w:ascii="Aptos" w:hAnsi="Aptos"/>
                <w:b w:val="0"/>
                <w:sz w:val="16"/>
              </w:rPr>
              <w:t>For an integrated challenge, choose the answer that corrects every material problem rather than relying on publicity, deletion of one post, or a blanket waiver.</w:t>
            </w:r>
          </w:p>
        </w:tc>
      </w:tr>
    </w:tbl>
    <w:p>
      <w:pPr>
        <w:pStyle w:val="Heading2"/>
      </w:pPr>
      <w:r>
        <w:t>Exam Reasoning Checklist</w:t>
      </w:r>
    </w:p>
    <w:p>
      <w:pPr>
        <w:pStyle w:val="ListBullet"/>
        <w:spacing w:after="30"/>
      </w:pPr>
      <w:r>
        <w:t>For associate ads, look for status, number, employer/entity, and supervision - not merely a credential number.</w:t>
      </w:r>
    </w:p>
    <w:p>
      <w:pPr>
        <w:pStyle w:val="ListBullet"/>
        <w:spacing w:after="30"/>
      </w:pPr>
      <w:r>
        <w:t>Choose the answer that applies existing professional principles rather than treating social media as a separate legal universe.</w:t>
      </w:r>
    </w:p>
    <w:p>
      <w:pPr>
        <w:pStyle w:val="ListBullet"/>
        <w:spacing w:after="30"/>
      </w:pPr>
      <w:r>
        <w:t>Social media is advertising. Look for name, license type, and license number.</w:t>
      </w:r>
    </w:p>
    <w:p>
      <w:pPr>
        <w:pStyle w:val="ListBullet"/>
        <w:spacing w:after="30"/>
      </w:pPr>
      <w:r>
        <w:t>The client controls the client’s own speech; the therapist remains bound by confidentiality.</w:t>
      </w:r>
    </w:p>
    <w:p>
      <w:pPr>
        <w:pStyle w:val="ListBullet"/>
        <w:spacing w:after="30"/>
      </w:pPr>
      <w:r>
        <w:t>Avoid both extremes: “public means free to use” and “public information can never matter.”</w:t>
      </w:r>
    </w:p>
    <w:p>
      <w:pPr>
        <w:pStyle w:val="ListBullet"/>
        <w:spacing w:after="30"/>
      </w:pPr>
      <w:r>
        <w:t>When an option promises that a technology choice “guarantees” privacy or removes duties, eliminate it.</w:t>
      </w:r>
    </w:p>
    <w:p>
      <w:pPr>
        <w:pStyle w:val="ListBullet"/>
        <w:spacing w:after="30"/>
      </w:pPr>
      <w:r>
        <w:t>California-style questions usually favor thoughtful boundary assessment over an automatic click, block, or termination.</w:t>
      </w:r>
    </w:p>
    <w:p>
      <w:pPr>
        <w:pStyle w:val="ListBullet"/>
        <w:spacing w:after="30"/>
      </w:pPr>
      <w:r>
        <w:t>A defensive response is not an exception to confidentiality.</w:t>
      </w:r>
    </w:p>
    <w:p>
      <w:pPr>
        <w:pStyle w:val="Heading2"/>
      </w:pPr>
      <w:r>
        <w:t>Chapter Rapid Review</w:t>
      </w:r>
    </w:p>
    <w:p>
      <w:r>
        <w:rPr>
          <w:b/>
        </w:rPr>
        <w:t xml:space="preserve">Know these concepts: </w:t>
      </w:r>
      <w:r>
        <w:t>Associate Advertising; Digital Professional Boundaries; Social Media Advertising Requirements; Online Reviews and Confidentiality; Using Public Client Information; Separate Accounts; Friend Request from Current Client; Defensive Review Response; Online Case Discussion; Searching from Curiosity; Online Safety Information; Direct Message to Personal Account; Public Like and Implied Relationship; Former Client Boundary; Soliciting Testimonials; Misleading Digital Advertising; Integrated Social Media Responsibilities</w:t>
      </w:r>
    </w:p>
    <w:p>
      <w:r>
        <w:br w:type="page"/>
      </w:r>
    </w:p>
    <w:p>
      <w:pPr>
        <w:pStyle w:val="Heading2"/>
      </w:pPr>
      <w:r>
        <w:t>Chapter 6</w:t>
      </w:r>
    </w:p>
    <w:p>
      <w:pPr>
        <w:pStyle w:val="Heading1"/>
      </w:pPr>
      <w:r>
        <w:t>Technology Risk Management and Compliance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Risk analysis determines what could threaten electronic information and how serious the risk may be; risk management reduces and monitors the identified risk. Availability means authorized users can access needed information and systems when required.</w:t>
            </w:r>
          </w:p>
        </w:tc>
      </w:tr>
    </w:tbl>
    <w:p>
      <w:pPr>
        <w:pStyle w:val="Heading2"/>
      </w:pPr>
      <w:r>
        <w:t>What to Learn</w:t>
      </w:r>
    </w:p>
    <w:p>
      <w:pPr>
        <w:pStyle w:val="ListBullet"/>
        <w:spacing w:after="30"/>
      </w:pPr>
      <w:r>
        <w:t>Explain and apply Risk Analysis vs. Risk Management.</w:t>
      </w:r>
    </w:p>
    <w:p>
      <w:pPr>
        <w:pStyle w:val="ListBullet"/>
        <w:spacing w:after="30"/>
      </w:pPr>
      <w:r>
        <w:t>Explain and apply Confidentiality, Integrity, and Availability.</w:t>
      </w:r>
    </w:p>
    <w:p>
      <w:pPr>
        <w:pStyle w:val="ListBullet"/>
        <w:spacing w:after="30"/>
      </w:pPr>
      <w:r>
        <w:t>Explain and apply Incident vs. Breach.</w:t>
      </w:r>
    </w:p>
    <w:p>
      <w:pPr>
        <w:pStyle w:val="ListBullet"/>
        <w:spacing w:after="30"/>
      </w:pPr>
      <w:r>
        <w:t>Explain and apply Safeguard Categories.</w:t>
      </w:r>
    </w:p>
    <w:p>
      <w:pPr>
        <w:pStyle w:val="ListBullet"/>
        <w:spacing w:after="30"/>
      </w:pPr>
      <w:r>
        <w:t>Explain and apply California Telehealth Security Standard.</w:t>
      </w:r>
    </w:p>
    <w:p>
      <w:pPr>
        <w:pStyle w:val="ListBullet"/>
        <w:spacing w:after="30"/>
      </w:pPr>
      <w:r>
        <w:t>Explain and apply Access Control and Accountability.</w:t>
      </w:r>
    </w:p>
    <w:p>
      <w:pPr>
        <w:pStyle w:val="ListBullet"/>
        <w:spacing w:after="30"/>
      </w:pPr>
      <w:r>
        <w:t>Explain and apply Business Associate Agreements.</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Risk Analysis vs. Risk Management</w:t>
            </w:r>
          </w:p>
        </w:tc>
        <w:tc>
          <w:tcPr>
            <w:tcW w:type="dxa" w:w="5256"/>
            <w:vAlign w:val="top"/>
          </w:tcPr>
          <w:p>
            <w:pPr>
              <w:spacing w:after="0"/>
            </w:pPr>
            <w:r/>
            <w:r>
              <w:rPr>
                <w:rFonts w:ascii="Aptos" w:hAnsi="Aptos"/>
                <w:b w:val="0"/>
                <w:sz w:val="16"/>
              </w:rPr>
              <w:t>Risk analysis determines what could threaten electronic information and how serious the risk may be; risk management reduces and monitors the identified risk.</w:t>
            </w:r>
          </w:p>
        </w:tc>
        <w:tc>
          <w:tcPr>
            <w:tcW w:type="dxa" w:w="2520"/>
            <w:vAlign w:val="top"/>
          </w:tcPr>
          <w:p>
            <w:pPr>
              <w:spacing w:after="0"/>
            </w:pPr>
            <w:r/>
            <w:r>
              <w:rPr>
                <w:rFonts w:ascii="Aptos" w:hAnsi="Aptos"/>
                <w:b w:val="0"/>
                <w:sz w:val="16"/>
              </w:rPr>
              <w:t>When the question asks for the distinction, look for “identify and evaluate” versus “reduce and monitor.”</w:t>
            </w:r>
          </w:p>
        </w:tc>
      </w:tr>
      <w:tr>
        <w:tc>
          <w:tcPr>
            <w:tcW w:type="dxa" w:w="2376"/>
            <w:vAlign w:val="top"/>
            <w:shd w:fill="F7F9FA"/>
          </w:tcPr>
          <w:p>
            <w:pPr>
              <w:spacing w:after="0"/>
            </w:pPr>
            <w:r/>
            <w:r>
              <w:rPr>
                <w:rFonts w:ascii="Aptos" w:hAnsi="Aptos"/>
                <w:b/>
                <w:sz w:val="16"/>
              </w:rPr>
              <w:t>Confidentiality, Integrity, and Availability</w:t>
            </w:r>
          </w:p>
        </w:tc>
        <w:tc>
          <w:tcPr>
            <w:tcW w:type="dxa" w:w="5256"/>
            <w:vAlign w:val="top"/>
            <w:shd w:fill="F7F9FA"/>
          </w:tcPr>
          <w:p>
            <w:pPr>
              <w:spacing w:after="0"/>
            </w:pPr>
            <w:r/>
            <w:r>
              <w:rPr>
                <w:rFonts w:ascii="Aptos" w:hAnsi="Aptos"/>
                <w:b w:val="0"/>
                <w:sz w:val="16"/>
              </w:rPr>
              <w:t>Availability means authorized users can access needed information and systems when required.</w:t>
            </w:r>
          </w:p>
        </w:tc>
        <w:tc>
          <w:tcPr>
            <w:tcW w:type="dxa" w:w="2520"/>
            <w:vAlign w:val="top"/>
            <w:shd w:fill="F7F9FA"/>
          </w:tcPr>
          <w:p>
            <w:pPr>
              <w:spacing w:after="0"/>
            </w:pPr>
            <w:r/>
            <w:r>
              <w:rPr>
                <w:rFonts w:ascii="Aptos" w:hAnsi="Aptos"/>
                <w:b w:val="0"/>
                <w:sz w:val="16"/>
              </w:rPr>
              <w:t>Security is not only secrecy. Lost or inaccessible records point to availability.</w:t>
            </w:r>
          </w:p>
        </w:tc>
      </w:tr>
      <w:tr>
        <w:tc>
          <w:tcPr>
            <w:tcW w:type="dxa" w:w="2376"/>
            <w:vAlign w:val="top"/>
          </w:tcPr>
          <w:p>
            <w:pPr>
              <w:spacing w:after="0"/>
            </w:pPr>
            <w:r/>
            <w:r>
              <w:rPr>
                <w:rFonts w:ascii="Aptos" w:hAnsi="Aptos"/>
                <w:b/>
                <w:sz w:val="16"/>
              </w:rPr>
              <w:t>Incident vs. Breach</w:t>
            </w:r>
          </w:p>
        </w:tc>
        <w:tc>
          <w:tcPr>
            <w:tcW w:type="dxa" w:w="5256"/>
            <w:vAlign w:val="top"/>
          </w:tcPr>
          <w:p>
            <w:pPr>
              <w:spacing w:after="0"/>
            </w:pPr>
            <w:r/>
            <w:r>
              <w:rPr>
                <w:rFonts w:ascii="Aptos" w:hAnsi="Aptos"/>
                <w:b w:val="0"/>
                <w:sz w:val="16"/>
              </w:rPr>
              <w:t>An incident triggers prompt containment and investigation; notification depends on the applicable legal definition and the facts.</w:t>
            </w:r>
          </w:p>
        </w:tc>
        <w:tc>
          <w:tcPr>
            <w:tcW w:type="dxa" w:w="2520"/>
            <w:vAlign w:val="top"/>
          </w:tcPr>
          <w:p>
            <w:pPr>
              <w:spacing w:after="0"/>
            </w:pPr>
            <w:r/>
            <w:r>
              <w:rPr>
                <w:rFonts w:ascii="Aptos" w:hAnsi="Aptos"/>
                <w:b w:val="0"/>
                <w:sz w:val="16"/>
              </w:rPr>
              <w:t>Do not confuse “respond immediately” with “automatically report to every authority.”</w:t>
            </w:r>
          </w:p>
        </w:tc>
      </w:tr>
      <w:tr>
        <w:tc>
          <w:tcPr>
            <w:tcW w:type="dxa" w:w="2376"/>
            <w:vAlign w:val="top"/>
            <w:shd w:fill="F7F9FA"/>
          </w:tcPr>
          <w:p>
            <w:pPr>
              <w:spacing w:after="0"/>
            </w:pPr>
            <w:r/>
            <w:r>
              <w:rPr>
                <w:rFonts w:ascii="Aptos" w:hAnsi="Aptos"/>
                <w:b/>
                <w:sz w:val="16"/>
              </w:rPr>
              <w:t>Safeguard Categories</w:t>
            </w:r>
          </w:p>
        </w:tc>
        <w:tc>
          <w:tcPr>
            <w:tcW w:type="dxa" w:w="5256"/>
            <w:vAlign w:val="top"/>
            <w:shd w:fill="F7F9FA"/>
          </w:tcPr>
          <w:p>
            <w:pPr>
              <w:spacing w:after="0"/>
            </w:pPr>
            <w:r/>
            <w:r>
              <w:rPr>
                <w:rFonts w:ascii="Aptos" w:hAnsi="Aptos"/>
                <w:b w:val="0"/>
                <w:sz w:val="16"/>
              </w:rPr>
              <w:t>Risk analysis, policy, governance, and workforce training are administrative safeguards.</w:t>
            </w:r>
          </w:p>
        </w:tc>
        <w:tc>
          <w:tcPr>
            <w:tcW w:type="dxa" w:w="2520"/>
            <w:vAlign w:val="top"/>
            <w:shd w:fill="F7F9FA"/>
          </w:tcPr>
          <w:p>
            <w:pPr>
              <w:spacing w:after="0"/>
            </w:pPr>
            <w:r/>
            <w:r>
              <w:rPr>
                <w:rFonts w:ascii="Aptos" w:hAnsi="Aptos"/>
                <w:b w:val="0"/>
                <w:sz w:val="16"/>
              </w:rPr>
              <w:t>Administrative safeguards organize people and processes; physical safeguards protect spaces and devices; technical safeguards control systems and data.</w:t>
            </w:r>
          </w:p>
        </w:tc>
      </w:tr>
      <w:tr>
        <w:tc>
          <w:tcPr>
            <w:tcW w:type="dxa" w:w="2376"/>
            <w:vAlign w:val="top"/>
          </w:tcPr>
          <w:p>
            <w:pPr>
              <w:spacing w:after="0"/>
            </w:pPr>
            <w:r/>
            <w:r>
              <w:rPr>
                <w:rFonts w:ascii="Aptos" w:hAnsi="Aptos"/>
                <w:b/>
                <w:sz w:val="16"/>
              </w:rPr>
              <w:t>California Telehealth Security Standard</w:t>
            </w:r>
          </w:p>
        </w:tc>
        <w:tc>
          <w:tcPr>
            <w:tcW w:type="dxa" w:w="5256"/>
            <w:vAlign w:val="top"/>
          </w:tcPr>
          <w:p>
            <w:pPr>
              <w:spacing w:after="0"/>
            </w:pPr>
            <w:r/>
            <w:r>
              <w:rPr>
                <w:rFonts w:ascii="Aptos" w:hAnsi="Aptos"/>
                <w:b w:val="0"/>
                <w:sz w:val="16"/>
              </w:rPr>
              <w:t>Section 1815.5(d)(3) expressly requires compliance with applicable law and references the CMIA and HIPAA Security standards.</w:t>
            </w:r>
          </w:p>
        </w:tc>
        <w:tc>
          <w:tcPr>
            <w:tcW w:type="dxa" w:w="2520"/>
            <w:vAlign w:val="top"/>
          </w:tcPr>
          <w:p>
            <w:pPr>
              <w:spacing w:after="0"/>
            </w:pPr>
            <w:r/>
            <w:r>
              <w:rPr>
                <w:rFonts w:ascii="Aptos" w:hAnsi="Aptos"/>
                <w:b w:val="0"/>
                <w:sz w:val="16"/>
              </w:rPr>
              <w:t>A waiver, product label, or practice size does not replace the BBS telehealth standard.</w:t>
            </w:r>
          </w:p>
        </w:tc>
      </w:tr>
      <w:tr>
        <w:tc>
          <w:tcPr>
            <w:tcW w:type="dxa" w:w="2376"/>
            <w:vAlign w:val="top"/>
            <w:shd w:fill="F7F9FA"/>
          </w:tcPr>
          <w:p>
            <w:pPr>
              <w:spacing w:after="0"/>
            </w:pPr>
            <w:r/>
            <w:r>
              <w:rPr>
                <w:rFonts w:ascii="Aptos" w:hAnsi="Aptos"/>
                <w:b/>
                <w:sz w:val="16"/>
              </w:rPr>
              <w:t>Access Control and Accountability</w:t>
            </w:r>
          </w:p>
        </w:tc>
        <w:tc>
          <w:tcPr>
            <w:tcW w:type="dxa" w:w="5256"/>
            <w:vAlign w:val="top"/>
            <w:shd w:fill="F7F9FA"/>
          </w:tcPr>
          <w:p>
            <w:pPr>
              <w:spacing w:after="0"/>
            </w:pPr>
            <w:r/>
            <w:r>
              <w:rPr>
                <w:rFonts w:ascii="Aptos" w:hAnsi="Aptos"/>
                <w:b w:val="0"/>
                <w:sz w:val="16"/>
              </w:rPr>
              <w:t>Unique user identification and role-based access help establish who accessed information and what each person is authorized to do.</w:t>
            </w:r>
          </w:p>
        </w:tc>
        <w:tc>
          <w:tcPr>
            <w:tcW w:type="dxa" w:w="2520"/>
            <w:vAlign w:val="top"/>
            <w:shd w:fill="F7F9FA"/>
          </w:tcPr>
          <w:p>
            <w:pPr>
              <w:spacing w:after="0"/>
            </w:pPr>
            <w:r/>
            <w:r>
              <w:rPr>
                <w:rFonts w:ascii="Aptos" w:hAnsi="Aptos"/>
                <w:b w:val="0"/>
                <w:sz w:val="16"/>
              </w:rPr>
              <w:t>Shared credentials usually signal authentication, auditability, and least-privilege problems.</w:t>
            </w:r>
          </w:p>
        </w:tc>
      </w:tr>
      <w:tr>
        <w:tc>
          <w:tcPr>
            <w:tcW w:type="dxa" w:w="2376"/>
            <w:vAlign w:val="top"/>
          </w:tcPr>
          <w:p>
            <w:pPr>
              <w:spacing w:after="0"/>
            </w:pPr>
            <w:r/>
            <w:r>
              <w:rPr>
                <w:rFonts w:ascii="Aptos" w:hAnsi="Aptos"/>
                <w:b/>
                <w:sz w:val="16"/>
              </w:rPr>
              <w:t>Business Associate Agreements</w:t>
            </w:r>
          </w:p>
        </w:tc>
        <w:tc>
          <w:tcPr>
            <w:tcW w:type="dxa" w:w="5256"/>
            <w:vAlign w:val="top"/>
          </w:tcPr>
          <w:p>
            <w:pPr>
              <w:spacing w:after="0"/>
            </w:pPr>
            <w:r/>
            <w:r>
              <w:rPr>
                <w:rFonts w:ascii="Aptos" w:hAnsi="Aptos"/>
                <w:b w:val="0"/>
                <w:sz w:val="16"/>
              </w:rPr>
              <w:t>A vendor that maintains ePHI on behalf of a covered entity is generally a business associate; the BAA is required but does not replace risk analysis and due diligence.</w:t>
            </w:r>
          </w:p>
        </w:tc>
        <w:tc>
          <w:tcPr>
            <w:tcW w:type="dxa" w:w="2520"/>
            <w:vAlign w:val="top"/>
          </w:tcPr>
          <w:p>
            <w:pPr>
              <w:spacing w:after="0"/>
            </w:pPr>
            <w:r/>
            <w:r>
              <w:rPr>
                <w:rFonts w:ascii="Aptos" w:hAnsi="Aptos"/>
                <w:b w:val="0"/>
                <w:sz w:val="16"/>
              </w:rPr>
              <w:t>“Stores PHI on behalf of the practice” is a strong business-associate clue.</w:t>
            </w:r>
          </w:p>
        </w:tc>
      </w:tr>
      <w:tr>
        <w:tc>
          <w:tcPr>
            <w:tcW w:type="dxa" w:w="2376"/>
            <w:vAlign w:val="top"/>
            <w:shd w:fill="F7F9FA"/>
          </w:tcPr>
          <w:p>
            <w:pPr>
              <w:spacing w:after="0"/>
            </w:pPr>
            <w:r/>
            <w:r>
              <w:rPr>
                <w:rFonts w:ascii="Aptos" w:hAnsi="Aptos"/>
                <w:b/>
                <w:sz w:val="16"/>
              </w:rPr>
              <w:t>Lost Encrypted Device</w:t>
            </w:r>
          </w:p>
        </w:tc>
        <w:tc>
          <w:tcPr>
            <w:tcW w:type="dxa" w:w="5256"/>
            <w:vAlign w:val="top"/>
            <w:shd w:fill="F7F9FA"/>
          </w:tcPr>
          <w:p>
            <w:pPr>
              <w:spacing w:after="0"/>
            </w:pPr>
            <w:r/>
            <w:r>
              <w:rPr>
                <w:rFonts w:ascii="Aptos" w:hAnsi="Aptos"/>
                <w:b w:val="0"/>
                <w:sz w:val="16"/>
              </w:rPr>
              <w:t>Containment and factual assessment come first; encryption status is a major factor in determining whether information was unsecured or compromised.</w:t>
            </w:r>
          </w:p>
        </w:tc>
        <w:tc>
          <w:tcPr>
            <w:tcW w:type="dxa" w:w="2520"/>
            <w:vAlign w:val="top"/>
            <w:shd w:fill="F7F9FA"/>
          </w:tcPr>
          <w:p>
            <w:pPr>
              <w:spacing w:after="0"/>
            </w:pPr>
            <w:r/>
            <w:r>
              <w:rPr>
                <w:rFonts w:ascii="Aptos" w:hAnsi="Aptos"/>
                <w:b w:val="0"/>
                <w:sz w:val="16"/>
              </w:rPr>
              <w:t>Encryption is important evidence, not permission to ignore a lost device.</w:t>
            </w:r>
          </w:p>
        </w:tc>
      </w:tr>
      <w:tr>
        <w:tc>
          <w:tcPr>
            <w:tcW w:type="dxa" w:w="2376"/>
            <w:vAlign w:val="top"/>
          </w:tcPr>
          <w:p>
            <w:pPr>
              <w:spacing w:after="0"/>
            </w:pPr>
            <w:r/>
            <w:r>
              <w:rPr>
                <w:rFonts w:ascii="Aptos" w:hAnsi="Aptos"/>
                <w:b/>
                <w:sz w:val="16"/>
              </w:rPr>
              <w:t>Wrong Recipient Incident</w:t>
            </w:r>
          </w:p>
        </w:tc>
        <w:tc>
          <w:tcPr>
            <w:tcW w:type="dxa" w:w="5256"/>
            <w:vAlign w:val="top"/>
          </w:tcPr>
          <w:p>
            <w:pPr>
              <w:spacing w:after="0"/>
            </w:pPr>
            <w:r/>
            <w:r>
              <w:rPr>
                <w:rFonts w:ascii="Aptos" w:hAnsi="Aptos"/>
                <w:b w:val="0"/>
                <w:sz w:val="16"/>
              </w:rPr>
              <w:t>Prompt containment, evidence preservation, scope assessment, mitigation, consultation, and notification analysis are appropriate.</w:t>
            </w:r>
          </w:p>
        </w:tc>
        <w:tc>
          <w:tcPr>
            <w:tcW w:type="dxa" w:w="2520"/>
            <w:vAlign w:val="top"/>
          </w:tcPr>
          <w:p>
            <w:pPr>
              <w:spacing w:after="0"/>
            </w:pPr>
            <w:r/>
            <w:r>
              <w:rPr>
                <w:rFonts w:ascii="Aptos" w:hAnsi="Aptos"/>
                <w:b w:val="0"/>
                <w:sz w:val="16"/>
              </w:rPr>
              <w:t>Wrong-recipient questions favor containment and assessment, not waiting, concealment, or additional disclosure.</w:t>
            </w:r>
          </w:p>
        </w:tc>
      </w:tr>
      <w:tr>
        <w:tc>
          <w:tcPr>
            <w:tcW w:type="dxa" w:w="2376"/>
            <w:vAlign w:val="top"/>
            <w:shd w:fill="F7F9FA"/>
          </w:tcPr>
          <w:p>
            <w:pPr>
              <w:spacing w:after="0"/>
            </w:pPr>
            <w:r/>
            <w:r>
              <w:rPr>
                <w:rFonts w:ascii="Aptos" w:hAnsi="Aptos"/>
                <w:b/>
                <w:sz w:val="16"/>
              </w:rPr>
              <w:t>Addressable Security Specifications</w:t>
            </w:r>
          </w:p>
        </w:tc>
        <w:tc>
          <w:tcPr>
            <w:tcW w:type="dxa" w:w="5256"/>
            <w:vAlign w:val="top"/>
            <w:shd w:fill="F7F9FA"/>
          </w:tcPr>
          <w:p>
            <w:pPr>
              <w:spacing w:after="0"/>
            </w:pPr>
            <w:r/>
            <w:r>
              <w:rPr>
                <w:rFonts w:ascii="Aptos" w:hAnsi="Aptos"/>
                <w:b w:val="0"/>
                <w:sz w:val="16"/>
              </w:rPr>
              <w:t>Addressable requires a documented, context-specific determination and an appropriate safeguard or equivalent measure.</w:t>
            </w:r>
          </w:p>
        </w:tc>
        <w:tc>
          <w:tcPr>
            <w:tcW w:type="dxa" w:w="2520"/>
            <w:vAlign w:val="top"/>
            <w:shd w:fill="F7F9FA"/>
          </w:tcPr>
          <w:p>
            <w:pPr>
              <w:spacing w:after="0"/>
            </w:pPr>
            <w:r/>
            <w:r>
              <w:rPr>
                <w:rFonts w:ascii="Aptos" w:hAnsi="Aptos"/>
                <w:b w:val="0"/>
                <w:sz w:val="16"/>
              </w:rPr>
              <w:t>On the exam, translate “addressable” as “evaluate, implement or use an equivalent, and document” - not “optional.”</w:t>
            </w:r>
          </w:p>
        </w:tc>
      </w:tr>
      <w:tr>
        <w:tc>
          <w:tcPr>
            <w:tcW w:type="dxa" w:w="2376"/>
            <w:vAlign w:val="top"/>
          </w:tcPr>
          <w:p>
            <w:pPr>
              <w:spacing w:after="0"/>
            </w:pPr>
            <w:r/>
            <w:r>
              <w:rPr>
                <w:rFonts w:ascii="Aptos" w:hAnsi="Aptos"/>
                <w:b/>
                <w:sz w:val="16"/>
              </w:rPr>
              <w:t>Backup and Recovery</w:t>
            </w:r>
          </w:p>
        </w:tc>
        <w:tc>
          <w:tcPr>
            <w:tcW w:type="dxa" w:w="5256"/>
            <w:vAlign w:val="top"/>
          </w:tcPr>
          <w:p>
            <w:pPr>
              <w:spacing w:after="0"/>
            </w:pPr>
            <w:r/>
            <w:r>
              <w:rPr>
                <w:rFonts w:ascii="Aptos" w:hAnsi="Aptos"/>
                <w:b w:val="0"/>
                <w:sz w:val="16"/>
              </w:rPr>
              <w:t>Recovery testing is necessary to determine whether the contingency plan actually supports availability and continuity.</w:t>
            </w:r>
          </w:p>
        </w:tc>
        <w:tc>
          <w:tcPr>
            <w:tcW w:type="dxa" w:w="2520"/>
            <w:vAlign w:val="top"/>
          </w:tcPr>
          <w:p>
            <w:pPr>
              <w:spacing w:after="0"/>
            </w:pPr>
            <w:r/>
            <w:r>
              <w:rPr>
                <w:rFonts w:ascii="Aptos" w:hAnsi="Aptos"/>
                <w:b w:val="0"/>
                <w:sz w:val="16"/>
              </w:rPr>
              <w:t>A backup is only useful when it can be restored.</w:t>
            </w:r>
          </w:p>
        </w:tc>
      </w:tr>
      <w:tr>
        <w:tc>
          <w:tcPr>
            <w:tcW w:type="dxa" w:w="2376"/>
            <w:vAlign w:val="top"/>
            <w:shd w:fill="F7F9FA"/>
          </w:tcPr>
          <w:p>
            <w:pPr>
              <w:spacing w:after="0"/>
            </w:pPr>
            <w:r/>
            <w:r>
              <w:rPr>
                <w:rFonts w:ascii="Aptos" w:hAnsi="Aptos"/>
                <w:b/>
                <w:sz w:val="16"/>
              </w:rPr>
              <w:t>Vulnerability and Change Management</w:t>
            </w:r>
          </w:p>
        </w:tc>
        <w:tc>
          <w:tcPr>
            <w:tcW w:type="dxa" w:w="5256"/>
            <w:vAlign w:val="top"/>
            <w:shd w:fill="F7F9FA"/>
          </w:tcPr>
          <w:p>
            <w:pPr>
              <w:spacing w:after="0"/>
            </w:pPr>
            <w:r/>
            <w:r>
              <w:rPr>
                <w:rFonts w:ascii="Aptos" w:hAnsi="Aptos"/>
                <w:b w:val="0"/>
                <w:sz w:val="16"/>
              </w:rPr>
              <w:t>A vulnerability should be assessed and corrected even before confirmed unauthorized access; documentation and monitoring support accountability.</w:t>
            </w:r>
          </w:p>
        </w:tc>
        <w:tc>
          <w:tcPr>
            <w:tcW w:type="dxa" w:w="2520"/>
            <w:vAlign w:val="top"/>
            <w:shd w:fill="F7F9FA"/>
          </w:tcPr>
          <w:p>
            <w:pPr>
              <w:spacing w:after="0"/>
            </w:pPr>
            <w:r/>
            <w:r>
              <w:rPr>
                <w:rFonts w:ascii="Aptos" w:hAnsi="Aptos"/>
                <w:b w:val="0"/>
                <w:sz w:val="16"/>
              </w:rPr>
              <w:t>Distinguish a vulnerability from a confirmed breach: correct the risk promptly without inventing facts.</w:t>
            </w:r>
          </w:p>
        </w:tc>
      </w:tr>
      <w:tr>
        <w:tc>
          <w:tcPr>
            <w:tcW w:type="dxa" w:w="2376"/>
            <w:vAlign w:val="top"/>
          </w:tcPr>
          <w:p>
            <w:pPr>
              <w:spacing w:after="0"/>
            </w:pPr>
            <w:r/>
            <w:r>
              <w:rPr>
                <w:rFonts w:ascii="Aptos" w:hAnsi="Aptos"/>
                <w:b/>
                <w:sz w:val="16"/>
              </w:rPr>
              <w:t>HIPAA Breach Risk Assessment</w:t>
            </w:r>
          </w:p>
        </w:tc>
        <w:tc>
          <w:tcPr>
            <w:tcW w:type="dxa" w:w="5256"/>
            <w:vAlign w:val="top"/>
          </w:tcPr>
          <w:p>
            <w:pPr>
              <w:spacing w:after="0"/>
            </w:pPr>
            <w:r/>
            <w:r>
              <w:rPr>
                <w:rFonts w:ascii="Aptos" w:hAnsi="Aptos"/>
                <w:b w:val="0"/>
                <w:sz w:val="16"/>
              </w:rPr>
              <w:t>These are the four factors required by the HIPAA Breach Notification Rule’s compromise analysis.</w:t>
            </w:r>
          </w:p>
        </w:tc>
        <w:tc>
          <w:tcPr>
            <w:tcW w:type="dxa" w:w="2520"/>
            <w:vAlign w:val="top"/>
          </w:tcPr>
          <w:p>
            <w:pPr>
              <w:spacing w:after="0"/>
            </w:pPr>
            <w:r/>
            <w:r>
              <w:rPr>
                <w:rFonts w:ascii="Aptos" w:hAnsi="Aptos"/>
                <w:b w:val="0"/>
                <w:sz w:val="16"/>
              </w:rPr>
              <w:t>Memorize the four factors: information, recipient, acquisition/viewing, mitigation.</w:t>
            </w:r>
          </w:p>
        </w:tc>
      </w:tr>
      <w:tr>
        <w:tc>
          <w:tcPr>
            <w:tcW w:type="dxa" w:w="2376"/>
            <w:vAlign w:val="top"/>
            <w:shd w:fill="F7F9FA"/>
          </w:tcPr>
          <w:p>
            <w:pPr>
              <w:spacing w:after="0"/>
            </w:pPr>
            <w:r/>
            <w:r>
              <w:rPr>
                <w:rFonts w:ascii="Aptos" w:hAnsi="Aptos"/>
                <w:b/>
                <w:sz w:val="16"/>
              </w:rPr>
              <w:t>BBS Incorporation of Security Standards</w:t>
            </w:r>
          </w:p>
        </w:tc>
        <w:tc>
          <w:tcPr>
            <w:tcW w:type="dxa" w:w="5256"/>
            <w:vAlign w:val="top"/>
            <w:shd w:fill="F7F9FA"/>
          </w:tcPr>
          <w:p>
            <w:pPr>
              <w:spacing w:after="0"/>
            </w:pPr>
            <w:r/>
            <w:r>
              <w:rPr>
                <w:rFonts w:ascii="Aptos" w:hAnsi="Aptos"/>
                <w:b w:val="0"/>
                <w:sz w:val="16"/>
              </w:rPr>
              <w:t>The BBS regulation expressly incorporates the CMIA and HIPAA Security standards into the telehealth practice requirements.</w:t>
            </w:r>
          </w:p>
        </w:tc>
        <w:tc>
          <w:tcPr>
            <w:tcW w:type="dxa" w:w="2520"/>
            <w:vAlign w:val="top"/>
            <w:shd w:fill="F7F9FA"/>
          </w:tcPr>
          <w:p>
            <w:pPr>
              <w:spacing w:after="0"/>
            </w:pPr>
            <w:r/>
            <w:r>
              <w:rPr>
                <w:rFonts w:ascii="Aptos" w:hAnsi="Aptos"/>
                <w:b w:val="0"/>
                <w:sz w:val="16"/>
              </w:rPr>
              <w:t>This question separates federal HIPAA status from the independent California BBS telehealth requirement.</w:t>
            </w:r>
          </w:p>
        </w:tc>
      </w:tr>
      <w:tr>
        <w:tc>
          <w:tcPr>
            <w:tcW w:type="dxa" w:w="2376"/>
            <w:vAlign w:val="top"/>
          </w:tcPr>
          <w:p>
            <w:pPr>
              <w:spacing w:after="0"/>
            </w:pPr>
            <w:r/>
            <w:r>
              <w:rPr>
                <w:rFonts w:ascii="Aptos" w:hAnsi="Aptos"/>
                <w:b/>
                <w:sz w:val="16"/>
              </w:rPr>
              <w:t>AI Vendor Risk Management</w:t>
            </w:r>
          </w:p>
        </w:tc>
        <w:tc>
          <w:tcPr>
            <w:tcW w:type="dxa" w:w="5256"/>
            <w:vAlign w:val="top"/>
          </w:tcPr>
          <w:p>
            <w:pPr>
              <w:spacing w:after="0"/>
            </w:pPr>
            <w:r/>
            <w:r>
              <w:rPr>
                <w:rFonts w:ascii="Aptos" w:hAnsi="Aptos"/>
                <w:b w:val="0"/>
                <w:sz w:val="16"/>
              </w:rPr>
              <w:t>The tool performs multiple high-risk functions and requires a complete legal, vendor, clinical, and security analysis before use.</w:t>
            </w:r>
          </w:p>
        </w:tc>
        <w:tc>
          <w:tcPr>
            <w:tcW w:type="dxa" w:w="2520"/>
            <w:vAlign w:val="top"/>
          </w:tcPr>
          <w:p>
            <w:pPr>
              <w:spacing w:after="0"/>
            </w:pPr>
            <w:r/>
            <w:r>
              <w:rPr>
                <w:rFonts w:ascii="Aptos" w:hAnsi="Aptos"/>
                <w:b w:val="0"/>
                <w:sz w:val="16"/>
              </w:rPr>
              <w:t>When a tool records, stores, analyzes, and trains on data, analyze every function rather than the product label.</w:t>
            </w:r>
          </w:p>
        </w:tc>
      </w:tr>
      <w:tr>
        <w:tc>
          <w:tcPr>
            <w:tcW w:type="dxa" w:w="2376"/>
            <w:vAlign w:val="top"/>
            <w:shd w:fill="F7F9FA"/>
          </w:tcPr>
          <w:p>
            <w:pPr>
              <w:spacing w:after="0"/>
            </w:pPr>
            <w:r/>
            <w:r>
              <w:rPr>
                <w:rFonts w:ascii="Aptos" w:hAnsi="Aptos"/>
                <w:b/>
                <w:sz w:val="16"/>
              </w:rPr>
              <w:t>Ransomware and Continuity</w:t>
            </w:r>
          </w:p>
        </w:tc>
        <w:tc>
          <w:tcPr>
            <w:tcW w:type="dxa" w:w="5256"/>
            <w:vAlign w:val="top"/>
            <w:shd w:fill="F7F9FA"/>
          </w:tcPr>
          <w:p>
            <w:pPr>
              <w:spacing w:after="0"/>
            </w:pPr>
            <w:r/>
            <w:r>
              <w:rPr>
                <w:rFonts w:ascii="Aptos" w:hAnsi="Aptos"/>
                <w:b w:val="0"/>
                <w:sz w:val="16"/>
              </w:rPr>
              <w:t>Ransomware may affect confidentiality, integrity, and availability; coordinated containment, recovery, forensic assessment, consultation, and notification analysis are necessary.</w:t>
            </w:r>
          </w:p>
        </w:tc>
        <w:tc>
          <w:tcPr>
            <w:tcW w:type="dxa" w:w="2520"/>
            <w:vAlign w:val="top"/>
            <w:shd w:fill="F7F9FA"/>
          </w:tcPr>
          <w:p>
            <w:pPr>
              <w:spacing w:after="0"/>
            </w:pPr>
            <w:r/>
            <w:r>
              <w:rPr>
                <w:rFonts w:ascii="Aptos" w:hAnsi="Aptos"/>
                <w:b w:val="0"/>
                <w:sz w:val="16"/>
              </w:rPr>
              <w:t>Ransomware is an integrated CIA problem: contain, preserve, recover safely, and assess exfiltration.</w:t>
            </w:r>
          </w:p>
        </w:tc>
      </w:tr>
      <w:tr>
        <w:tc>
          <w:tcPr>
            <w:tcW w:type="dxa" w:w="2376"/>
            <w:vAlign w:val="top"/>
          </w:tcPr>
          <w:p>
            <w:pPr>
              <w:spacing w:after="0"/>
            </w:pPr>
            <w:r/>
            <w:r>
              <w:rPr>
                <w:rFonts w:ascii="Aptos" w:hAnsi="Aptos"/>
                <w:b/>
                <w:sz w:val="16"/>
              </w:rPr>
              <w:t>Technology Risk Management and Compliance</w:t>
            </w:r>
          </w:p>
        </w:tc>
        <w:tc>
          <w:tcPr>
            <w:tcW w:type="dxa" w:w="5256"/>
            <w:vAlign w:val="top"/>
          </w:tcPr>
          <w:p>
            <w:pPr>
              <w:spacing w:after="0"/>
            </w:pPr>
            <w:r/>
            <w:r>
              <w:rPr>
                <w:rFonts w:ascii="Aptos" w:hAnsi="Aptos"/>
                <w:b w:val="0"/>
                <w:sz w:val="16"/>
              </w:rPr>
              <w:t>Contain and preserve the incident evidence, assess access and information involved, correct account and device controls, review the vendor and any required BAA, test continuity measures, determine notification duties under applicable law, document the response, and update policies and training. This answer integrates incident response, risk analysis, access control, vendor compliance, continuity, notification analysis, documentation, and corrective action.</w:t>
            </w:r>
          </w:p>
        </w:tc>
        <w:tc>
          <w:tcPr>
            <w:tcW w:type="dxa" w:w="2520"/>
            <w:vAlign w:val="top"/>
          </w:tcPr>
          <w:p>
            <w:pPr>
              <w:spacing w:after="0"/>
            </w:pPr>
            <w:r/>
            <w:r>
              <w:rPr>
                <w:rFonts w:ascii="Aptos" w:hAnsi="Aptos"/>
                <w:b w:val="0"/>
                <w:sz w:val="16"/>
              </w:rPr>
              <w:t>Integrated questions require a complete, proportional response - not one product fix, automatic reporting, or delay.</w:t>
            </w:r>
          </w:p>
        </w:tc>
      </w:tr>
    </w:tbl>
    <w:p>
      <w:pPr>
        <w:pStyle w:val="Heading2"/>
      </w:pPr>
      <w:r>
        <w:t>Exam Reasoning Checklist</w:t>
      </w:r>
    </w:p>
    <w:p>
      <w:pPr>
        <w:pStyle w:val="ListBullet"/>
        <w:spacing w:after="30"/>
      </w:pPr>
      <w:r>
        <w:t>When the question asks for the distinction, look for “identify and evaluate” versus “reduce and monitor.”</w:t>
      </w:r>
    </w:p>
    <w:p>
      <w:pPr>
        <w:pStyle w:val="ListBullet"/>
        <w:spacing w:after="30"/>
      </w:pPr>
      <w:r>
        <w:t>Security is not only secrecy. Lost or inaccessible records point to availability.</w:t>
      </w:r>
    </w:p>
    <w:p>
      <w:pPr>
        <w:pStyle w:val="ListBullet"/>
        <w:spacing w:after="30"/>
      </w:pPr>
      <w:r>
        <w:t>Do not confuse “respond immediately” with “automatically report to every authority.”</w:t>
      </w:r>
    </w:p>
    <w:p>
      <w:pPr>
        <w:pStyle w:val="ListBullet"/>
        <w:spacing w:after="30"/>
      </w:pPr>
      <w:r>
        <w:t>Administrative safeguards organize people and processes; physical safeguards protect spaces and devices; technical safeguards control systems and data.</w:t>
      </w:r>
    </w:p>
    <w:p>
      <w:pPr>
        <w:pStyle w:val="ListBullet"/>
        <w:spacing w:after="30"/>
      </w:pPr>
      <w:r>
        <w:t>A waiver, product label, or practice size does not replace the BBS telehealth standard.</w:t>
      </w:r>
    </w:p>
    <w:p>
      <w:pPr>
        <w:pStyle w:val="ListBullet"/>
        <w:spacing w:after="30"/>
      </w:pPr>
      <w:r>
        <w:t>Shared credentials usually signal authentication, auditability, and least-privilege problems.</w:t>
      </w:r>
    </w:p>
    <w:p>
      <w:pPr>
        <w:pStyle w:val="ListBullet"/>
        <w:spacing w:after="30"/>
      </w:pPr>
      <w:r>
        <w:t>“Stores PHI on behalf of the practice” is a strong business-associate clue.</w:t>
      </w:r>
    </w:p>
    <w:p>
      <w:pPr>
        <w:pStyle w:val="ListBullet"/>
        <w:spacing w:after="30"/>
      </w:pPr>
      <w:r>
        <w:t>Encryption is important evidence, not permission to ignore a lost device.</w:t>
      </w:r>
    </w:p>
    <w:p>
      <w:pPr>
        <w:pStyle w:val="Heading2"/>
      </w:pPr>
      <w:r>
        <w:t>Chapter Rapid Review</w:t>
      </w:r>
    </w:p>
    <w:p>
      <w:r>
        <w:rPr>
          <w:b/>
        </w:rPr>
        <w:t xml:space="preserve">Know these concepts: </w:t>
      </w:r>
      <w:r>
        <w:t>Risk Analysis vs. Risk Management; Confidentiality, Integrity, and Availability; Incident vs. Breach; Safeguard Categories; California Telehealth Security Standard; Access Control and Accountability; Business Associate Agreements; Lost Encrypted Device; Wrong Recipient Incident; Addressable Security Specifications; Backup and Recovery; Vulnerability and Change Management; HIPAA Breach Risk Assessment; BBS Incorporation of Security Standards; AI Vendor Risk Management; Ransomware and Continuity; Technology Risk Management and Compliance</w:t>
      </w:r>
    </w:p>
    <w:p>
      <w:r>
        <w:br w:type="page"/>
      </w:r>
    </w:p>
    <w:p>
      <w:pPr>
        <w:pStyle w:val="Heading1"/>
      </w:pPr>
      <w:r>
        <w:t>Workbook Close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Workbook 2 complete. Use the online chapter tests, the programwide rapid-review guide, and the 807-card Study Center to identify weak areas. A strong study answer applies the correct rule to the correct actor, role, timing, and client-protection need.</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Workbook 2 | LPCC Candidate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