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743200" cy="1886857"/>
            <wp:docPr id="1" name="Picture 1"/>
            <wp:cNvGraphicFramePr>
              <a:graphicFrameLocks noChangeAspect="1"/>
            </wp:cNvGraphicFramePr>
            <a:graphic>
              <a:graphicData uri="http://schemas.openxmlformats.org/drawingml/2006/picture">
                <pic:pic>
                  <pic:nvPicPr>
                    <pic:cNvPr id="0" name="Primary Horizontal Logo.png"/>
                    <pic:cNvPicPr/>
                  </pic:nvPicPr>
                  <pic:blipFill>
                    <a:blip r:embed="rId9"/>
                    <a:stretch>
                      <a:fillRect/>
                    </a:stretch>
                  </pic:blipFill>
                  <pic:spPr>
                    <a:xfrm>
                      <a:off x="0" y="0"/>
                      <a:ext cx="2743200" cy="1886857"/>
                    </a:xfrm>
                    <a:prstGeom prst="rect"/>
                  </pic:spPr>
                </pic:pic>
              </a:graphicData>
            </a:graphic>
          </wp:inline>
        </w:drawing>
      </w:r>
    </w:p>
    <w:p>
      <w:pPr>
        <w:pStyle w:val="Title"/>
        <w:jc w:val="center"/>
      </w:pPr>
      <w:r>
        <w:t>LPCC Law &amp; Ethics Study Guide</w:t>
      </w:r>
    </w:p>
    <w:p>
      <w:pPr>
        <w:jc w:val="center"/>
      </w:pPr>
      <w:r>
        <w:rPr>
          <w:b/>
          <w:color w:val="179B95"/>
          <w:sz w:val="26"/>
        </w:rPr>
        <w:t>Workbook 3: Professional Competence | LPCC Candidate Edition</w:t>
      </w:r>
    </w:p>
    <w:p>
      <w:pPr>
        <w:jc w:val="center"/>
      </w:pPr>
      <w:r>
        <w:rPr>
          <w:color w:val="5F5F5F"/>
          <w:sz w:val="18"/>
        </w:rPr>
        <w:t>CTA-EP-003 | Version 1.0 | August 7, 2026</w:t>
      </w:r>
    </w:p>
    <w:tbl>
      <w:tblPr>
        <w:tblStyle w:val="TableGrid"/>
        <w:tblW w:type="auto" w:w="0"/>
        <w:jc w:val="center"/>
        <w:tblLook w:firstColumn="1" w:firstRow="1" w:lastColumn="0" w:lastRow="0" w:noHBand="0" w:noVBand="1" w:val="04A0"/>
      </w:tblPr>
      <w:tblGrid>
        <w:gridCol w:w="10368"/>
      </w:tblGrid>
      <w:tr>
        <w:tc>
          <w:tcPr>
            <w:tcW w:type="dxa" w:w="10368"/>
            <w:shd w:fill="FFF4D6"/>
            <w:vAlign w:val="top"/>
          </w:tcPr>
          <w:p>
            <w:pPr>
              <w:spacing w:after="0"/>
            </w:pPr>
            <w:r/>
            <w:r>
              <w:rPr>
                <w:rFonts w:ascii="Aptos" w:hAnsi="Aptos"/>
                <w:b/>
                <w:sz w:val="18"/>
              </w:rPr>
              <w:t>EXAM PREPARATION ONLY. No CE credit or certificate. Educational material - not legal advice, an eligibility decision, or a guarantee of examination success.</w:t>
            </w:r>
          </w:p>
        </w:tc>
      </w:tr>
    </w:tbl>
    <w:p>
      <w:pPr>
        <w:pStyle w:val="Heading1"/>
      </w:pPr>
      <w:r>
        <w:t>Publication Notice</w:t>
      </w:r>
    </w:p>
    <w:p>
      <w:r>
        <w:t>This LPCC Candidate Edition is a final learner-facing reconstruction built from the approved LPCC/APCC Study Center and completed LPCC production controls. It is profession-specific to the California LPCC Law and Ethics Examination. The guide teaches study principles and reasoning frameworks; candidates should consult current official BBS and examination materials for current administrative requirements.</w:t>
      </w:r>
    </w:p>
    <w:p>
      <w:r>
        <w:t>CTA is independent and is not affiliated with, sponsored by, or endorsed by the California Board of Behavioral Sciences, Pearson VUE, ACA, NBCC, or CCE.</w:t>
      </w:r>
    </w:p>
    <w:p>
      <w:pPr>
        <w:pStyle w:val="Heading1"/>
      </w:pPr>
      <w:r>
        <w:t>How to Use This Workbook</w:t>
      </w:r>
    </w:p>
    <w:p>
      <w:pPr>
        <w:pStyle w:val="ListBullet"/>
        <w:spacing w:after="30"/>
      </w:pPr>
      <w:r>
        <w:t>Study each core chapter in order or use the chapters selectively for remediation.</w:t>
      </w:r>
    </w:p>
    <w:p>
      <w:pPr>
        <w:pStyle w:val="ListBullet"/>
        <w:spacing w:after="30"/>
      </w:pPr>
      <w:r>
        <w:t>For each concept, learn the controlling rule first, then use the memory cue to recognize common exam distinctions.</w:t>
      </w:r>
    </w:p>
    <w:p>
      <w:pPr>
        <w:pStyle w:val="ListBullet"/>
        <w:spacing w:after="30"/>
      </w:pPr>
      <w:r>
        <w:t>Complete the corresponding online chapter test after study; chapter tests are separate from this learner guide.</w:t>
      </w:r>
    </w:p>
    <w:p>
      <w:pPr>
        <w:pStyle w:val="ListBullet"/>
        <w:spacing w:after="30"/>
      </w:pPr>
      <w:r>
        <w:t>Use the 807-card Study Center for spaced review and targeted remediation.</w:t>
      </w:r>
    </w:p>
    <w:p>
      <w:pPr>
        <w:pStyle w:val="ListBullet"/>
        <w:spacing w:after="30"/>
      </w:pPr>
      <w:r>
        <w:t>When a current legal, regulatory, or ethics source changes, follow CTA's posted update notice.</w:t>
      </w:r>
    </w:p>
    <w:p>
      <w:pPr>
        <w:pStyle w:val="Heading1"/>
      </w:pPr>
      <w:r>
        <w:t>Chapter Map</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007"/>
            <w:vAlign w:val="top"/>
            <w:shd w:fill="17365D"/>
          </w:tcPr>
          <w:p>
            <w:pPr>
              <w:spacing w:after="0"/>
            </w:pPr>
            <w:r/>
            <w:r>
              <w:rPr>
                <w:rFonts w:ascii="Aptos" w:hAnsi="Aptos"/>
                <w:b/>
                <w:color w:val="FFFFFF"/>
                <w:sz w:val="18"/>
              </w:rPr>
              <w:t>Chapter</w:t>
            </w:r>
          </w:p>
        </w:tc>
        <w:tc>
          <w:tcPr>
            <w:tcW w:type="dxa" w:w="8063"/>
            <w:vAlign w:val="top"/>
            <w:shd w:fill="17365D"/>
          </w:tcPr>
          <w:p>
            <w:pPr>
              <w:spacing w:after="0"/>
            </w:pPr>
            <w:r/>
            <w:r>
              <w:rPr>
                <w:rFonts w:ascii="Aptos" w:hAnsi="Aptos"/>
                <w:b/>
                <w:color w:val="FFFFFF"/>
                <w:sz w:val="18"/>
              </w:rPr>
              <w:t>Title</w:t>
            </w:r>
          </w:p>
        </w:tc>
        <w:tc>
          <w:tcPr>
            <w:tcW w:type="dxa" w:w="1296"/>
            <w:vAlign w:val="top"/>
            <w:shd w:fill="17365D"/>
          </w:tcPr>
          <w:p>
            <w:pPr>
              <w:spacing w:after="0"/>
            </w:pPr>
            <w:r/>
            <w:r>
              <w:rPr>
                <w:rFonts w:ascii="Aptos" w:hAnsi="Aptos"/>
                <w:b/>
                <w:color w:val="FFFFFF"/>
                <w:sz w:val="18"/>
              </w:rPr>
              <w:t>Study Cards</w:t>
            </w:r>
          </w:p>
        </w:tc>
      </w:tr>
      <w:tr>
        <w:tc>
          <w:tcPr>
            <w:tcW w:type="dxa" w:w="1007"/>
            <w:vAlign w:val="top"/>
          </w:tcPr>
          <w:p>
            <w:pPr>
              <w:spacing w:after="0"/>
            </w:pPr>
            <w:r/>
            <w:r>
              <w:rPr>
                <w:rFonts w:ascii="Aptos" w:hAnsi="Aptos"/>
                <w:b w:val="0"/>
                <w:sz w:val="17"/>
              </w:rPr>
              <w:t>1</w:t>
            </w:r>
          </w:p>
        </w:tc>
        <w:tc>
          <w:tcPr>
            <w:tcW w:type="dxa" w:w="8063"/>
            <w:vAlign w:val="top"/>
          </w:tcPr>
          <w:p>
            <w:pPr>
              <w:spacing w:after="0"/>
            </w:pPr>
            <w:r/>
            <w:r>
              <w:rPr>
                <w:rFonts w:ascii="Aptos" w:hAnsi="Aptos"/>
                <w:b w:val="0"/>
                <w:sz w:val="17"/>
              </w:rPr>
              <w:t>Professional Competence Foundations</w:t>
            </w:r>
          </w:p>
        </w:tc>
        <w:tc>
          <w:tcPr>
            <w:tcW w:type="dxa" w:w="1296"/>
            <w:vAlign w:val="top"/>
          </w:tcPr>
          <w:p>
            <w:pPr>
              <w:spacing w:after="0"/>
            </w:pPr>
            <w:r/>
            <w:r>
              <w:rPr>
                <w:rFonts w:ascii="Aptos" w:hAnsi="Aptos"/>
                <w:b w:val="0"/>
                <w:sz w:val="17"/>
              </w:rPr>
              <w:t>16</w:t>
            </w:r>
          </w:p>
        </w:tc>
      </w:tr>
      <w:tr>
        <w:tc>
          <w:tcPr>
            <w:tcW w:type="dxa" w:w="1007"/>
            <w:vAlign w:val="top"/>
            <w:shd w:fill="F2F4F7"/>
          </w:tcPr>
          <w:p>
            <w:pPr>
              <w:spacing w:after="0"/>
            </w:pPr>
            <w:r/>
            <w:r>
              <w:rPr>
                <w:rFonts w:ascii="Aptos" w:hAnsi="Aptos"/>
                <w:b w:val="0"/>
                <w:sz w:val="17"/>
              </w:rPr>
              <w:t>2</w:t>
            </w:r>
          </w:p>
        </w:tc>
        <w:tc>
          <w:tcPr>
            <w:tcW w:type="dxa" w:w="8063"/>
            <w:vAlign w:val="top"/>
            <w:shd w:fill="F2F4F7"/>
          </w:tcPr>
          <w:p>
            <w:pPr>
              <w:spacing w:after="0"/>
            </w:pPr>
            <w:r/>
            <w:r>
              <w:rPr>
                <w:rFonts w:ascii="Aptos" w:hAnsi="Aptos"/>
                <w:b w:val="0"/>
                <w:sz w:val="17"/>
              </w:rPr>
              <w:t>Scope of Practice vs. Scope of Competence</w:t>
            </w:r>
          </w:p>
        </w:tc>
        <w:tc>
          <w:tcPr>
            <w:tcW w:type="dxa" w:w="1296"/>
            <w:vAlign w:val="top"/>
            <w:shd w:fill="F2F4F7"/>
          </w:tcPr>
          <w:p>
            <w:pPr>
              <w:spacing w:after="0"/>
            </w:pPr>
            <w:r/>
            <w:r>
              <w:rPr>
                <w:rFonts w:ascii="Aptos" w:hAnsi="Aptos"/>
                <w:b w:val="0"/>
                <w:sz w:val="17"/>
              </w:rPr>
              <w:t>16</w:t>
            </w:r>
          </w:p>
        </w:tc>
      </w:tr>
      <w:tr>
        <w:tc>
          <w:tcPr>
            <w:tcW w:type="dxa" w:w="1007"/>
            <w:vAlign w:val="top"/>
          </w:tcPr>
          <w:p>
            <w:pPr>
              <w:spacing w:after="0"/>
            </w:pPr>
            <w:r/>
            <w:r>
              <w:rPr>
                <w:rFonts w:ascii="Aptos" w:hAnsi="Aptos"/>
                <w:b w:val="0"/>
                <w:sz w:val="17"/>
              </w:rPr>
              <w:t>3</w:t>
            </w:r>
          </w:p>
        </w:tc>
        <w:tc>
          <w:tcPr>
            <w:tcW w:type="dxa" w:w="8063"/>
            <w:vAlign w:val="top"/>
          </w:tcPr>
          <w:p>
            <w:pPr>
              <w:spacing w:after="0"/>
            </w:pPr>
            <w:r/>
            <w:r>
              <w:rPr>
                <w:rFonts w:ascii="Aptos" w:hAnsi="Aptos"/>
                <w:b w:val="0"/>
                <w:sz w:val="17"/>
              </w:rPr>
              <w:t>Maintaining Professional Competence</w:t>
            </w:r>
          </w:p>
        </w:tc>
        <w:tc>
          <w:tcPr>
            <w:tcW w:type="dxa" w:w="1296"/>
            <w:vAlign w:val="top"/>
          </w:tcPr>
          <w:p>
            <w:pPr>
              <w:spacing w:after="0"/>
            </w:pPr>
            <w:r/>
            <w:r>
              <w:rPr>
                <w:rFonts w:ascii="Aptos" w:hAnsi="Aptos"/>
                <w:b w:val="0"/>
                <w:sz w:val="17"/>
              </w:rPr>
              <w:t>16</w:t>
            </w:r>
          </w:p>
        </w:tc>
      </w:tr>
      <w:tr>
        <w:tc>
          <w:tcPr>
            <w:tcW w:type="dxa" w:w="1007"/>
            <w:vAlign w:val="top"/>
            <w:shd w:fill="F2F4F7"/>
          </w:tcPr>
          <w:p>
            <w:pPr>
              <w:spacing w:after="0"/>
            </w:pPr>
            <w:r/>
            <w:r>
              <w:rPr>
                <w:rFonts w:ascii="Aptos" w:hAnsi="Aptos"/>
                <w:b w:val="0"/>
                <w:sz w:val="17"/>
              </w:rPr>
              <w:t>4</w:t>
            </w:r>
          </w:p>
        </w:tc>
        <w:tc>
          <w:tcPr>
            <w:tcW w:type="dxa" w:w="8063"/>
            <w:vAlign w:val="top"/>
            <w:shd w:fill="F2F4F7"/>
          </w:tcPr>
          <w:p>
            <w:pPr>
              <w:spacing w:after="0"/>
            </w:pPr>
            <w:r/>
            <w:r>
              <w:rPr>
                <w:rFonts w:ascii="Aptos" w:hAnsi="Aptos"/>
                <w:b w:val="0"/>
                <w:sz w:val="17"/>
              </w:rPr>
              <w:t>Consultation and Seeking Professional Assistance</w:t>
            </w:r>
          </w:p>
        </w:tc>
        <w:tc>
          <w:tcPr>
            <w:tcW w:type="dxa" w:w="1296"/>
            <w:vAlign w:val="top"/>
            <w:shd w:fill="F2F4F7"/>
          </w:tcPr>
          <w:p>
            <w:pPr>
              <w:spacing w:after="0"/>
            </w:pPr>
            <w:r/>
            <w:r>
              <w:rPr>
                <w:rFonts w:ascii="Aptos" w:hAnsi="Aptos"/>
                <w:b w:val="0"/>
                <w:sz w:val="17"/>
              </w:rPr>
              <w:t>17</w:t>
            </w:r>
          </w:p>
        </w:tc>
      </w:tr>
      <w:tr>
        <w:tc>
          <w:tcPr>
            <w:tcW w:type="dxa" w:w="1007"/>
            <w:vAlign w:val="top"/>
          </w:tcPr>
          <w:p>
            <w:pPr>
              <w:spacing w:after="0"/>
            </w:pPr>
            <w:r/>
            <w:r>
              <w:rPr>
                <w:rFonts w:ascii="Aptos" w:hAnsi="Aptos"/>
                <w:b w:val="0"/>
                <w:sz w:val="17"/>
              </w:rPr>
              <w:t>5</w:t>
            </w:r>
          </w:p>
        </w:tc>
        <w:tc>
          <w:tcPr>
            <w:tcW w:type="dxa" w:w="8063"/>
            <w:vAlign w:val="top"/>
          </w:tcPr>
          <w:p>
            <w:pPr>
              <w:spacing w:after="0"/>
            </w:pPr>
            <w:r/>
            <w:r>
              <w:rPr>
                <w:rFonts w:ascii="Aptos" w:hAnsi="Aptos"/>
                <w:b w:val="0"/>
                <w:sz w:val="17"/>
              </w:rPr>
              <w:t>Clinical Supervision, Feedback, and Accountability</w:t>
            </w:r>
          </w:p>
        </w:tc>
        <w:tc>
          <w:tcPr>
            <w:tcW w:type="dxa" w:w="1296"/>
            <w:vAlign w:val="top"/>
          </w:tcPr>
          <w:p>
            <w:pPr>
              <w:spacing w:after="0"/>
            </w:pPr>
            <w:r/>
            <w:r>
              <w:rPr>
                <w:rFonts w:ascii="Aptos" w:hAnsi="Aptos"/>
                <w:b w:val="0"/>
                <w:sz w:val="17"/>
              </w:rPr>
              <w:t>17</w:t>
            </w:r>
          </w:p>
        </w:tc>
      </w:tr>
      <w:tr>
        <w:tc>
          <w:tcPr>
            <w:tcW w:type="dxa" w:w="1007"/>
            <w:vAlign w:val="top"/>
            <w:shd w:fill="F2F4F7"/>
          </w:tcPr>
          <w:p>
            <w:pPr>
              <w:spacing w:after="0"/>
            </w:pPr>
            <w:r/>
            <w:r>
              <w:rPr>
                <w:rFonts w:ascii="Aptos" w:hAnsi="Aptos"/>
                <w:b w:val="0"/>
                <w:sz w:val="17"/>
              </w:rPr>
              <w:t>6</w:t>
            </w:r>
          </w:p>
        </w:tc>
        <w:tc>
          <w:tcPr>
            <w:tcW w:type="dxa" w:w="8063"/>
            <w:vAlign w:val="top"/>
            <w:shd w:fill="F2F4F7"/>
          </w:tcPr>
          <w:p>
            <w:pPr>
              <w:spacing w:after="0"/>
            </w:pPr>
            <w:r/>
            <w:r>
              <w:rPr>
                <w:rFonts w:ascii="Aptos" w:hAnsi="Aptos"/>
                <w:b w:val="0"/>
                <w:sz w:val="17"/>
              </w:rPr>
              <w:t>Professional Roles and Role Clarification</w:t>
            </w:r>
          </w:p>
        </w:tc>
        <w:tc>
          <w:tcPr>
            <w:tcW w:type="dxa" w:w="1296"/>
            <w:vAlign w:val="top"/>
            <w:shd w:fill="F2F4F7"/>
          </w:tcPr>
          <w:p>
            <w:pPr>
              <w:spacing w:after="0"/>
            </w:pPr>
            <w:r/>
            <w:r>
              <w:rPr>
                <w:rFonts w:ascii="Aptos" w:hAnsi="Aptos"/>
                <w:b w:val="0"/>
                <w:sz w:val="17"/>
              </w:rPr>
              <w:t>17</w:t>
            </w:r>
          </w:p>
        </w:tc>
      </w:tr>
    </w:tbl>
    <w:p>
      <w:r>
        <w:br w:type="page"/>
      </w:r>
    </w:p>
    <w:p>
      <w:pPr>
        <w:pStyle w:val="Heading2"/>
      </w:pPr>
      <w:r>
        <w:t>Chapter 1</w:t>
      </w:r>
    </w:p>
    <w:p>
      <w:pPr>
        <w:pStyle w:val="Heading1"/>
      </w:pPr>
      <w:r>
        <w:t>Professional Competence Foundations</w:t>
      </w:r>
    </w:p>
    <w:tbl>
      <w:tblPr>
        <w:tblStyle w:val="TableGrid"/>
        <w:tblW w:type="auto" w:w="0"/>
        <w:jc w:val="center"/>
        <w:tblLook w:firstColumn="1" w:firstRow="1" w:lastColumn="0" w:lastRow="0" w:noHBand="0" w:noVBand="1" w:val="04A0"/>
      </w:tblPr>
      <w:tblGrid>
        <w:gridCol w:w="10368"/>
      </w:tblGrid>
      <w:tr>
        <w:tc>
          <w:tcPr>
            <w:tcW w:type="dxa" w:w="10368"/>
            <w:shd w:fill="E9F7F6"/>
            <w:vAlign w:val="top"/>
          </w:tcPr>
          <w:p>
            <w:pPr>
              <w:spacing w:after="0"/>
            </w:pPr>
            <w:r/>
            <w:r>
              <w:rPr>
                <w:rFonts w:ascii="Aptos" w:hAnsi="Aptos"/>
                <w:b/>
                <w:sz w:val="18"/>
              </w:rPr>
              <w:t>BIG IDEA | The present ability to provide a specific service safely, ethically, and effectively under the actual circumstances The license establishes legal professional status but does not prove competence for every client, population, or service</w:t>
            </w:r>
          </w:p>
        </w:tc>
      </w:tr>
    </w:tbl>
    <w:p>
      <w:pPr>
        <w:pStyle w:val="Heading2"/>
      </w:pPr>
      <w:r>
        <w:t>What to Learn</w:t>
      </w:r>
    </w:p>
    <w:p>
      <w:pPr>
        <w:pStyle w:val="ListBullet"/>
        <w:spacing w:after="30"/>
      </w:pPr>
      <w:r>
        <w:t>Explain and apply Definition of Professional Competence.</w:t>
      </w:r>
    </w:p>
    <w:p>
      <w:pPr>
        <w:pStyle w:val="ListBullet"/>
        <w:spacing w:after="30"/>
      </w:pPr>
      <w:r>
        <w:t>Explain and apply Licensure vs. Competence.</w:t>
      </w:r>
    </w:p>
    <w:p>
      <w:pPr>
        <w:pStyle w:val="ListBullet"/>
        <w:spacing w:after="30"/>
      </w:pPr>
      <w:r>
        <w:t>Explain and apply Purpose of Competence Standards.</w:t>
      </w:r>
    </w:p>
    <w:p>
      <w:pPr>
        <w:pStyle w:val="ListBullet"/>
        <w:spacing w:after="30"/>
      </w:pPr>
      <w:r>
        <w:t>Explain and apply Components of Competence.</w:t>
      </w:r>
    </w:p>
    <w:p>
      <w:pPr>
        <w:pStyle w:val="ListBullet"/>
        <w:spacing w:after="30"/>
      </w:pPr>
      <w:r>
        <w:t>Explain and apply Initial Response to a Competence Concern.</w:t>
      </w:r>
    </w:p>
    <w:p>
      <w:pPr>
        <w:pStyle w:val="ListBullet"/>
        <w:spacing w:after="30"/>
      </w:pPr>
      <w:r>
        <w:t>Explain and apply Confidence Without Preparation.</w:t>
      </w:r>
    </w:p>
    <w:p>
      <w:pPr>
        <w:pStyle w:val="ListBullet"/>
        <w:spacing w:after="30"/>
      </w:pPr>
      <w:r>
        <w:t>Explain and apply Population-Specific Competence.</w:t>
      </w:r>
    </w:p>
    <w:p>
      <w:pPr>
        <w:pStyle w:val="Heading2"/>
      </w:pPr>
      <w:r>
        <w:t>Core Study Rules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76"/>
            <w:vAlign w:val="top"/>
            <w:shd w:fill="17365D"/>
          </w:tcPr>
          <w:p>
            <w:pPr>
              <w:spacing w:after="0"/>
            </w:pPr>
            <w:r/>
            <w:r>
              <w:rPr>
                <w:rFonts w:ascii="Aptos" w:hAnsi="Aptos"/>
                <w:b/>
                <w:color w:val="FFFFFF"/>
                <w:sz w:val="17"/>
              </w:rPr>
              <w:t>Concept</w:t>
            </w:r>
          </w:p>
        </w:tc>
        <w:tc>
          <w:tcPr>
            <w:tcW w:type="dxa" w:w="5256"/>
            <w:vAlign w:val="top"/>
            <w:shd w:fill="17365D"/>
          </w:tcPr>
          <w:p>
            <w:pPr>
              <w:spacing w:after="0"/>
            </w:pPr>
            <w:r/>
            <w:r>
              <w:rPr>
                <w:rFonts w:ascii="Aptos" w:hAnsi="Aptos"/>
                <w:b/>
                <w:color w:val="FFFFFF"/>
                <w:sz w:val="17"/>
              </w:rPr>
              <w:t>Controlling Study Rule</w:t>
            </w:r>
          </w:p>
        </w:tc>
        <w:tc>
          <w:tcPr>
            <w:tcW w:type="dxa" w:w="2520"/>
            <w:vAlign w:val="top"/>
            <w:shd w:fill="17365D"/>
          </w:tcPr>
          <w:p>
            <w:pPr>
              <w:spacing w:after="0"/>
            </w:pPr>
            <w:r/>
            <w:r>
              <w:rPr>
                <w:rFonts w:ascii="Aptos" w:hAnsi="Aptos"/>
                <w:b/>
                <w:color w:val="FFFFFF"/>
                <w:sz w:val="17"/>
              </w:rPr>
              <w:t>Memory Cue</w:t>
            </w:r>
          </w:p>
        </w:tc>
      </w:tr>
      <w:tr>
        <w:tc>
          <w:tcPr>
            <w:tcW w:type="dxa" w:w="2376"/>
            <w:vAlign w:val="top"/>
          </w:tcPr>
          <w:p>
            <w:pPr>
              <w:spacing w:after="0"/>
            </w:pPr>
            <w:r/>
            <w:r>
              <w:rPr>
                <w:rFonts w:ascii="Aptos" w:hAnsi="Aptos"/>
                <w:b/>
                <w:sz w:val="16"/>
              </w:rPr>
              <w:t>Definition of Professional Competence</w:t>
            </w:r>
          </w:p>
        </w:tc>
        <w:tc>
          <w:tcPr>
            <w:tcW w:type="dxa" w:w="5256"/>
            <w:vAlign w:val="top"/>
          </w:tcPr>
          <w:p>
            <w:pPr>
              <w:spacing w:after="0"/>
            </w:pPr>
            <w:r/>
            <w:r>
              <w:rPr>
                <w:rFonts w:ascii="Aptos" w:hAnsi="Aptos"/>
                <w:b w:val="0"/>
                <w:sz w:val="16"/>
              </w:rPr>
              <w:t>The present ability to provide a specific service safely, ethically, and effectively under the actual circumstances</w:t>
            </w:r>
          </w:p>
        </w:tc>
        <w:tc>
          <w:tcPr>
            <w:tcW w:type="dxa" w:w="2520"/>
            <w:vAlign w:val="top"/>
          </w:tcPr>
          <w:p>
            <w:pPr>
              <w:spacing w:after="0"/>
            </w:pPr>
            <w:r/>
            <w:r>
              <w:rPr>
                <w:rFonts w:ascii="Aptos" w:hAnsi="Aptos"/>
                <w:b w:val="0"/>
                <w:sz w:val="16"/>
              </w:rPr>
              <w:t>When the question asks for the definition, choose the answer that connects actual preparation and performance to the specific service and circumstances.</w:t>
            </w:r>
          </w:p>
        </w:tc>
      </w:tr>
      <w:tr>
        <w:tc>
          <w:tcPr>
            <w:tcW w:type="dxa" w:w="2376"/>
            <w:vAlign w:val="top"/>
            <w:shd w:fill="F7F9FA"/>
          </w:tcPr>
          <w:p>
            <w:pPr>
              <w:spacing w:after="0"/>
            </w:pPr>
            <w:r/>
            <w:r>
              <w:rPr>
                <w:rFonts w:ascii="Aptos" w:hAnsi="Aptos"/>
                <w:b/>
                <w:sz w:val="16"/>
              </w:rPr>
              <w:t>Licensure vs. Competence</w:t>
            </w:r>
          </w:p>
        </w:tc>
        <w:tc>
          <w:tcPr>
            <w:tcW w:type="dxa" w:w="5256"/>
            <w:vAlign w:val="top"/>
            <w:shd w:fill="F7F9FA"/>
          </w:tcPr>
          <w:p>
            <w:pPr>
              <w:spacing w:after="0"/>
            </w:pPr>
            <w:r/>
            <w:r>
              <w:rPr>
                <w:rFonts w:ascii="Aptos" w:hAnsi="Aptos"/>
                <w:b w:val="0"/>
                <w:sz w:val="16"/>
              </w:rPr>
              <w:t>The license establishes legal professional status but does not prove competence for every client, population, or service</w:t>
            </w:r>
          </w:p>
        </w:tc>
        <w:tc>
          <w:tcPr>
            <w:tcW w:type="dxa" w:w="2520"/>
            <w:vAlign w:val="top"/>
            <w:shd w:fill="F7F9FA"/>
          </w:tcPr>
          <w:p>
            <w:pPr>
              <w:spacing w:after="0"/>
            </w:pPr>
            <w:r/>
            <w:r>
              <w:rPr>
                <w:rFonts w:ascii="Aptos" w:hAnsi="Aptos"/>
                <w:b w:val="0"/>
                <w:sz w:val="16"/>
              </w:rPr>
              <w:t>On California questions, treat “licensed” as evidence of legal status—not as proof of specialized competence.</w:t>
            </w:r>
          </w:p>
        </w:tc>
      </w:tr>
      <w:tr>
        <w:tc>
          <w:tcPr>
            <w:tcW w:type="dxa" w:w="2376"/>
            <w:vAlign w:val="top"/>
          </w:tcPr>
          <w:p>
            <w:pPr>
              <w:spacing w:after="0"/>
            </w:pPr>
            <w:r/>
            <w:r>
              <w:rPr>
                <w:rFonts w:ascii="Aptos" w:hAnsi="Aptos"/>
                <w:b/>
                <w:sz w:val="16"/>
              </w:rPr>
              <w:t>Purpose of Competence Standards</w:t>
            </w:r>
          </w:p>
        </w:tc>
        <w:tc>
          <w:tcPr>
            <w:tcW w:type="dxa" w:w="5256"/>
            <w:vAlign w:val="top"/>
          </w:tcPr>
          <w:p>
            <w:pPr>
              <w:spacing w:after="0"/>
            </w:pPr>
            <w:r/>
            <w:r>
              <w:rPr>
                <w:rFonts w:ascii="Aptos" w:hAnsi="Aptos"/>
                <w:b w:val="0"/>
                <w:sz w:val="16"/>
              </w:rPr>
              <w:t>To protect client welfare by promoting safe, ethical, and effective professional services</w:t>
            </w:r>
          </w:p>
        </w:tc>
        <w:tc>
          <w:tcPr>
            <w:tcW w:type="dxa" w:w="2520"/>
            <w:vAlign w:val="top"/>
          </w:tcPr>
          <w:p>
            <w:pPr>
              <w:spacing w:after="0"/>
            </w:pPr>
            <w:r/>
            <w:r>
              <w:rPr>
                <w:rFonts w:ascii="Aptos" w:hAnsi="Aptos"/>
                <w:b w:val="0"/>
                <w:sz w:val="16"/>
              </w:rPr>
              <w:t>When asked why competence matters, select client welfare rather than guaranteed outcomes, clinician protection, or avoidance of all challenge.</w:t>
            </w:r>
          </w:p>
        </w:tc>
      </w:tr>
      <w:tr>
        <w:tc>
          <w:tcPr>
            <w:tcW w:type="dxa" w:w="2376"/>
            <w:vAlign w:val="top"/>
            <w:shd w:fill="F7F9FA"/>
          </w:tcPr>
          <w:p>
            <w:pPr>
              <w:spacing w:after="0"/>
            </w:pPr>
            <w:r/>
            <w:r>
              <w:rPr>
                <w:rFonts w:ascii="Aptos" w:hAnsi="Aptos"/>
                <w:b/>
                <w:sz w:val="16"/>
              </w:rPr>
              <w:t>Components of Competence</w:t>
            </w:r>
          </w:p>
        </w:tc>
        <w:tc>
          <w:tcPr>
            <w:tcW w:type="dxa" w:w="5256"/>
            <w:vAlign w:val="top"/>
            <w:shd w:fill="F7F9FA"/>
          </w:tcPr>
          <w:p>
            <w:pPr>
              <w:spacing w:after="0"/>
            </w:pPr>
            <w:r/>
            <w:r>
              <w:rPr>
                <w:rFonts w:ascii="Aptos" w:hAnsi="Aptos"/>
                <w:b w:val="0"/>
                <w:sz w:val="16"/>
              </w:rPr>
              <w:t>Relevant knowledge, practical skill, judgment, self-awareness, adequate preparation, and current functioning</w:t>
            </w:r>
          </w:p>
        </w:tc>
        <w:tc>
          <w:tcPr>
            <w:tcW w:type="dxa" w:w="2520"/>
            <w:vAlign w:val="top"/>
            <w:shd w:fill="F7F9FA"/>
          </w:tcPr>
          <w:p>
            <w:pPr>
              <w:spacing w:after="0"/>
            </w:pPr>
            <w:r/>
            <w:r>
              <w:rPr>
                <w:rFonts w:ascii="Aptos" w:hAnsi="Aptos"/>
                <w:b w:val="0"/>
                <w:sz w:val="16"/>
              </w:rPr>
              <w:t>Competence is multidimensional. Answers based on one credential, trait, or form of knowledge are usually incomplete.</w:t>
            </w:r>
          </w:p>
        </w:tc>
      </w:tr>
      <w:tr>
        <w:tc>
          <w:tcPr>
            <w:tcW w:type="dxa" w:w="2376"/>
            <w:vAlign w:val="top"/>
          </w:tcPr>
          <w:p>
            <w:pPr>
              <w:spacing w:after="0"/>
            </w:pPr>
            <w:r/>
            <w:r>
              <w:rPr>
                <w:rFonts w:ascii="Aptos" w:hAnsi="Aptos"/>
                <w:b/>
                <w:sz w:val="16"/>
              </w:rPr>
              <w:t>Initial Response to a Competence Concern</w:t>
            </w:r>
          </w:p>
        </w:tc>
        <w:tc>
          <w:tcPr>
            <w:tcW w:type="dxa" w:w="5256"/>
            <w:vAlign w:val="top"/>
          </w:tcPr>
          <w:p>
            <w:pPr>
              <w:spacing w:after="0"/>
            </w:pPr>
            <w:r/>
            <w:r>
              <w:rPr>
                <w:rFonts w:ascii="Aptos" w:hAnsi="Aptos"/>
                <w:b w:val="0"/>
                <w:sz w:val="16"/>
              </w:rPr>
              <w:t>Identify the specific concern and assess how it may affect client risk and the ability to provide safe services</w:t>
            </w:r>
          </w:p>
        </w:tc>
        <w:tc>
          <w:tcPr>
            <w:tcW w:type="dxa" w:w="2520"/>
            <w:vAlign w:val="top"/>
          </w:tcPr>
          <w:p>
            <w:pPr>
              <w:spacing w:after="0"/>
            </w:pPr>
            <w:r/>
            <w:r>
              <w:rPr>
                <w:rFonts w:ascii="Aptos" w:hAnsi="Aptos"/>
                <w:b w:val="0"/>
                <w:sz w:val="16"/>
              </w:rPr>
              <w:t>The exam usually favors “identify and assess” before an extreme response when the stem does not establish an immediate emergency.</w:t>
            </w:r>
          </w:p>
        </w:tc>
      </w:tr>
      <w:tr>
        <w:tc>
          <w:tcPr>
            <w:tcW w:type="dxa" w:w="2376"/>
            <w:vAlign w:val="top"/>
            <w:shd w:fill="F7F9FA"/>
          </w:tcPr>
          <w:p>
            <w:pPr>
              <w:spacing w:after="0"/>
            </w:pPr>
            <w:r/>
            <w:r>
              <w:rPr>
                <w:rFonts w:ascii="Aptos" w:hAnsi="Aptos"/>
                <w:b/>
                <w:sz w:val="16"/>
              </w:rPr>
              <w:t>Confidence Without Preparation</w:t>
            </w:r>
          </w:p>
        </w:tc>
        <w:tc>
          <w:tcPr>
            <w:tcW w:type="dxa" w:w="5256"/>
            <w:vAlign w:val="top"/>
            <w:shd w:fill="F7F9FA"/>
          </w:tcPr>
          <w:p>
            <w:pPr>
              <w:spacing w:after="0"/>
            </w:pPr>
            <w:r/>
            <w:r>
              <w:rPr>
                <w:rFonts w:ascii="Aptos" w:hAnsi="Aptos"/>
                <w:b w:val="0"/>
                <w:sz w:val="16"/>
              </w:rPr>
              <w:t>General experience and confidence may not provide the specialized preparation required for this client’s condition and risk</w:t>
            </w:r>
          </w:p>
        </w:tc>
        <w:tc>
          <w:tcPr>
            <w:tcW w:type="dxa" w:w="2520"/>
            <w:vAlign w:val="top"/>
            <w:shd w:fill="F7F9FA"/>
          </w:tcPr>
          <w:p>
            <w:pPr>
              <w:spacing w:after="0"/>
            </w:pPr>
            <w:r/>
            <w:r>
              <w:rPr>
                <w:rFonts w:ascii="Aptos" w:hAnsi="Aptos"/>
                <w:b w:val="0"/>
                <w:sz w:val="16"/>
              </w:rPr>
              <w:t>When the stem pairs extensive general experience with a specialized gap, focus on the relevance of the preparation—not the number of years.</w:t>
            </w:r>
          </w:p>
        </w:tc>
      </w:tr>
      <w:tr>
        <w:tc>
          <w:tcPr>
            <w:tcW w:type="dxa" w:w="2376"/>
            <w:vAlign w:val="top"/>
          </w:tcPr>
          <w:p>
            <w:pPr>
              <w:spacing w:after="0"/>
            </w:pPr>
            <w:r/>
            <w:r>
              <w:rPr>
                <w:rFonts w:ascii="Aptos" w:hAnsi="Aptos"/>
                <w:b/>
                <w:sz w:val="16"/>
              </w:rPr>
              <w:t>Population-Specific Competence</w:t>
            </w:r>
          </w:p>
        </w:tc>
        <w:tc>
          <w:tcPr>
            <w:tcW w:type="dxa" w:w="5256"/>
            <w:vAlign w:val="top"/>
          </w:tcPr>
          <w:p>
            <w:pPr>
              <w:spacing w:after="0"/>
            </w:pPr>
            <w:r/>
            <w:r>
              <w:rPr>
                <w:rFonts w:ascii="Aptos" w:hAnsi="Aptos"/>
                <w:b w:val="0"/>
                <w:sz w:val="16"/>
              </w:rPr>
              <w:t>Determine whether the therapist has the child-development knowledge, practical skills, and preparation needed for this population and presentation</w:t>
            </w:r>
          </w:p>
        </w:tc>
        <w:tc>
          <w:tcPr>
            <w:tcW w:type="dxa" w:w="2520"/>
            <w:vAlign w:val="top"/>
          </w:tcPr>
          <w:p>
            <w:pPr>
              <w:spacing w:after="0"/>
            </w:pPr>
            <w:r/>
            <w:r>
              <w:rPr>
                <w:rFonts w:ascii="Aptos" w:hAnsi="Aptos"/>
                <w:b w:val="0"/>
                <w:sz w:val="16"/>
              </w:rPr>
              <w:t>Population changes are competence triggers. Ask what preparation is specifically relevant to that population.</w:t>
            </w:r>
          </w:p>
        </w:tc>
      </w:tr>
      <w:tr>
        <w:tc>
          <w:tcPr>
            <w:tcW w:type="dxa" w:w="2376"/>
            <w:vAlign w:val="top"/>
            <w:shd w:fill="F7F9FA"/>
          </w:tcPr>
          <w:p>
            <w:pPr>
              <w:spacing w:after="0"/>
            </w:pPr>
            <w:r/>
            <w:r>
              <w:rPr>
                <w:rFonts w:ascii="Aptos" w:hAnsi="Aptos"/>
                <w:b/>
                <w:sz w:val="16"/>
              </w:rPr>
              <w:t>Self-Awareness and Countertransference</w:t>
            </w:r>
          </w:p>
        </w:tc>
        <w:tc>
          <w:tcPr>
            <w:tcW w:type="dxa" w:w="5256"/>
            <w:vAlign w:val="top"/>
            <w:shd w:fill="F7F9FA"/>
          </w:tcPr>
          <w:p>
            <w:pPr>
              <w:spacing w:after="0"/>
            </w:pPr>
            <w:r/>
            <w:r>
              <w:rPr>
                <w:rFonts w:ascii="Aptos" w:hAnsi="Aptos"/>
                <w:b w:val="0"/>
                <w:sz w:val="16"/>
              </w:rPr>
              <w:t>Recognize that personal reactions may be influencing judgment and assess the impact on treatment and client welfare</w:t>
            </w:r>
          </w:p>
        </w:tc>
        <w:tc>
          <w:tcPr>
            <w:tcW w:type="dxa" w:w="2520"/>
            <w:vAlign w:val="top"/>
            <w:shd w:fill="F7F9FA"/>
          </w:tcPr>
          <w:p>
            <w:pPr>
              <w:spacing w:after="0"/>
            </w:pPr>
            <w:r/>
            <w:r>
              <w:rPr>
                <w:rFonts w:ascii="Aptos" w:hAnsi="Aptos"/>
                <w:b w:val="0"/>
                <w:sz w:val="16"/>
              </w:rPr>
              <w:t>When the clinician’s personal history or emotional reaction is influencing the case, choose recognition and impact assessment before disclosure, denial, or abrupt termination.</w:t>
            </w:r>
          </w:p>
        </w:tc>
      </w:tr>
      <w:tr>
        <w:tc>
          <w:tcPr>
            <w:tcW w:type="dxa" w:w="2376"/>
            <w:vAlign w:val="top"/>
          </w:tcPr>
          <w:p>
            <w:pPr>
              <w:spacing w:after="0"/>
            </w:pPr>
            <w:r/>
            <w:r>
              <w:rPr>
                <w:rFonts w:ascii="Aptos" w:hAnsi="Aptos"/>
                <w:b/>
                <w:sz w:val="16"/>
              </w:rPr>
              <w:t>Knowledge Exposure vs. Practical Skill</w:t>
            </w:r>
          </w:p>
        </w:tc>
        <w:tc>
          <w:tcPr>
            <w:tcW w:type="dxa" w:w="5256"/>
            <w:vAlign w:val="top"/>
          </w:tcPr>
          <w:p>
            <w:pPr>
              <w:spacing w:after="0"/>
            </w:pPr>
            <w:r/>
            <w:r>
              <w:rPr>
                <w:rFonts w:ascii="Aptos" w:hAnsi="Aptos"/>
                <w:b w:val="0"/>
                <w:sz w:val="16"/>
              </w:rPr>
              <w:t>Evaluate whether the intervention requires additional knowledge, practical training, supervised experience, or other preparation before use</w:t>
            </w:r>
          </w:p>
        </w:tc>
        <w:tc>
          <w:tcPr>
            <w:tcW w:type="dxa" w:w="2520"/>
            <w:vAlign w:val="top"/>
          </w:tcPr>
          <w:p>
            <w:pPr>
              <w:spacing w:after="0"/>
            </w:pPr>
            <w:r/>
            <w:r>
              <w:rPr>
                <w:rFonts w:ascii="Aptos" w:hAnsi="Aptos"/>
                <w:b w:val="0"/>
                <w:sz w:val="16"/>
              </w:rPr>
              <w:t>Distinguish learning about a treatment from being prepared to deliver it competently.</w:t>
            </w:r>
          </w:p>
        </w:tc>
      </w:tr>
      <w:tr>
        <w:tc>
          <w:tcPr>
            <w:tcW w:type="dxa" w:w="2376"/>
            <w:vAlign w:val="top"/>
            <w:shd w:fill="F7F9FA"/>
          </w:tcPr>
          <w:p>
            <w:pPr>
              <w:spacing w:after="0"/>
            </w:pPr>
            <w:r/>
            <w:r>
              <w:rPr>
                <w:rFonts w:ascii="Aptos" w:hAnsi="Aptos"/>
                <w:b/>
                <w:sz w:val="16"/>
              </w:rPr>
              <w:t>Competence Can Change</w:t>
            </w:r>
          </w:p>
        </w:tc>
        <w:tc>
          <w:tcPr>
            <w:tcW w:type="dxa" w:w="5256"/>
            <w:vAlign w:val="top"/>
            <w:shd w:fill="F7F9FA"/>
          </w:tcPr>
          <w:p>
            <w:pPr>
              <w:spacing w:after="0"/>
            </w:pPr>
            <w:r/>
            <w:r>
              <w:rPr>
                <w:rFonts w:ascii="Aptos" w:hAnsi="Aptos"/>
                <w:b w:val="0"/>
                <w:sz w:val="16"/>
              </w:rPr>
              <w:t>Competence may expand, become outdated, or be temporarily limited as knowledge, case demands, standards, and clinician functioning change</w:t>
            </w:r>
          </w:p>
        </w:tc>
        <w:tc>
          <w:tcPr>
            <w:tcW w:type="dxa" w:w="2520"/>
            <w:vAlign w:val="top"/>
            <w:shd w:fill="F7F9FA"/>
          </w:tcPr>
          <w:p>
            <w:pPr>
              <w:spacing w:after="0"/>
            </w:pPr>
            <w:r/>
            <w:r>
              <w:rPr>
                <w:rFonts w:ascii="Aptos" w:hAnsi="Aptos"/>
                <w:b w:val="0"/>
                <w:sz w:val="16"/>
              </w:rPr>
              <w:t>Competence is current and contextual—not a permanent status earned at one point in a career.</w:t>
            </w:r>
          </w:p>
        </w:tc>
      </w:tr>
      <w:tr>
        <w:tc>
          <w:tcPr>
            <w:tcW w:type="dxa" w:w="2376"/>
            <w:vAlign w:val="top"/>
          </w:tcPr>
          <w:p>
            <w:pPr>
              <w:spacing w:after="0"/>
            </w:pPr>
            <w:r/>
            <w:r>
              <w:rPr>
                <w:rFonts w:ascii="Aptos" w:hAnsi="Aptos"/>
                <w:b/>
                <w:sz w:val="16"/>
              </w:rPr>
              <w:t>Current Professional Functioning</w:t>
            </w:r>
          </w:p>
        </w:tc>
        <w:tc>
          <w:tcPr>
            <w:tcW w:type="dxa" w:w="5256"/>
            <w:vAlign w:val="top"/>
          </w:tcPr>
          <w:p>
            <w:pPr>
              <w:spacing w:after="0"/>
            </w:pPr>
            <w:r/>
            <w:r>
              <w:rPr>
                <w:rFonts w:ascii="Aptos" w:hAnsi="Aptos"/>
                <w:b w:val="0"/>
                <w:sz w:val="16"/>
              </w:rPr>
              <w:t>Competence includes current functioning, so the therapist should assess whether fatigue is impairing safe professional performance</w:t>
            </w:r>
          </w:p>
        </w:tc>
        <w:tc>
          <w:tcPr>
            <w:tcW w:type="dxa" w:w="2520"/>
            <w:vAlign w:val="top"/>
          </w:tcPr>
          <w:p>
            <w:pPr>
              <w:spacing w:after="0"/>
            </w:pPr>
            <w:r/>
            <w:r>
              <w:rPr>
                <w:rFonts w:ascii="Aptos" w:hAnsi="Aptos"/>
                <w:b w:val="0"/>
                <w:sz w:val="16"/>
              </w:rPr>
              <w:t>A clinician may have adequate training but be unable to practice safely because of current physical, mental, emotional, or substance-related impairment.</w:t>
            </w:r>
          </w:p>
        </w:tc>
      </w:tr>
      <w:tr>
        <w:tc>
          <w:tcPr>
            <w:tcW w:type="dxa" w:w="2376"/>
            <w:vAlign w:val="top"/>
            <w:shd w:fill="F7F9FA"/>
          </w:tcPr>
          <w:p>
            <w:pPr>
              <w:spacing w:after="0"/>
            </w:pPr>
            <w:r/>
            <w:r>
              <w:rPr>
                <w:rFonts w:ascii="Aptos" w:hAnsi="Aptos"/>
                <w:b/>
                <w:sz w:val="16"/>
              </w:rPr>
              <w:t>Client Preference and Competence</w:t>
            </w:r>
          </w:p>
        </w:tc>
        <w:tc>
          <w:tcPr>
            <w:tcW w:type="dxa" w:w="5256"/>
            <w:vAlign w:val="top"/>
            <w:shd w:fill="F7F9FA"/>
          </w:tcPr>
          <w:p>
            <w:pPr>
              <w:spacing w:after="0"/>
            </w:pPr>
            <w:r/>
            <w:r>
              <w:rPr>
                <w:rFonts w:ascii="Aptos" w:hAnsi="Aptos"/>
                <w:b w:val="0"/>
                <w:sz w:val="16"/>
              </w:rPr>
              <w:t>The therapist should not provide an intervention beyond current competence merely because the client strongly prefers it; the therapist should address the limitation and develop a safe plan</w:t>
            </w:r>
          </w:p>
        </w:tc>
        <w:tc>
          <w:tcPr>
            <w:tcW w:type="dxa" w:w="2520"/>
            <w:vAlign w:val="top"/>
            <w:shd w:fill="F7F9FA"/>
          </w:tcPr>
          <w:p>
            <w:pPr>
              <w:spacing w:after="0"/>
            </w:pPr>
            <w:r/>
            <w:r>
              <w:rPr>
                <w:rFonts w:ascii="Aptos" w:hAnsi="Aptos"/>
                <w:b w:val="0"/>
                <w:sz w:val="16"/>
              </w:rPr>
              <w:t>Balance autonomy with professional responsibility. A client may choose among appropriate services, but cannot create clinician competence by insisting.</w:t>
            </w:r>
          </w:p>
        </w:tc>
      </w:tr>
      <w:tr>
        <w:tc>
          <w:tcPr>
            <w:tcW w:type="dxa" w:w="2376"/>
            <w:vAlign w:val="top"/>
          </w:tcPr>
          <w:p>
            <w:pPr>
              <w:spacing w:after="0"/>
            </w:pPr>
            <w:r/>
            <w:r>
              <w:rPr>
                <w:rFonts w:ascii="Aptos" w:hAnsi="Aptos"/>
                <w:b/>
                <w:sz w:val="16"/>
              </w:rPr>
              <w:t>Cultural and Contextual Competence</w:t>
            </w:r>
          </w:p>
        </w:tc>
        <w:tc>
          <w:tcPr>
            <w:tcW w:type="dxa" w:w="5256"/>
            <w:vAlign w:val="top"/>
          </w:tcPr>
          <w:p>
            <w:pPr>
              <w:spacing w:after="0"/>
            </w:pPr>
            <w:r/>
            <w:r>
              <w:rPr>
                <w:rFonts w:ascii="Aptos" w:hAnsi="Aptos"/>
                <w:b w:val="0"/>
                <w:sz w:val="16"/>
              </w:rPr>
              <w:t>The therapist may be substituting assumptions for individualized cultural understanding, which can impair assessment and judgment</w:t>
            </w:r>
          </w:p>
        </w:tc>
        <w:tc>
          <w:tcPr>
            <w:tcW w:type="dxa" w:w="2520"/>
            <w:vAlign w:val="top"/>
          </w:tcPr>
          <w:p>
            <w:pPr>
              <w:spacing w:after="0"/>
            </w:pPr>
            <w:r/>
            <w:r>
              <w:rPr>
                <w:rFonts w:ascii="Aptos" w:hAnsi="Aptos"/>
                <w:b w:val="0"/>
                <w:sz w:val="16"/>
              </w:rPr>
              <w:t>Cultural competence questions often test humility and individualized understanding—not claims of complete mastery or identity matching.</w:t>
            </w:r>
          </w:p>
        </w:tc>
      </w:tr>
      <w:tr>
        <w:tc>
          <w:tcPr>
            <w:tcW w:type="dxa" w:w="2376"/>
            <w:vAlign w:val="top"/>
            <w:shd w:fill="F7F9FA"/>
          </w:tcPr>
          <w:p>
            <w:pPr>
              <w:spacing w:after="0"/>
            </w:pPr>
            <w:r/>
            <w:r>
              <w:rPr>
                <w:rFonts w:ascii="Aptos" w:hAnsi="Aptos"/>
                <w:b/>
                <w:sz w:val="16"/>
              </w:rPr>
              <w:t>Urgent Risk and Competence</w:t>
            </w:r>
          </w:p>
        </w:tc>
        <w:tc>
          <w:tcPr>
            <w:tcW w:type="dxa" w:w="5256"/>
            <w:vAlign w:val="top"/>
            <w:shd w:fill="F7F9FA"/>
          </w:tcPr>
          <w:p>
            <w:pPr>
              <w:spacing w:after="0"/>
            </w:pPr>
            <w:r/>
            <w:r>
              <w:rPr>
                <w:rFonts w:ascii="Aptos" w:hAnsi="Aptos"/>
                <w:b w:val="0"/>
                <w:sz w:val="16"/>
              </w:rPr>
              <w:t>Take necessary protective action within the therapist’s role while obtaining prompt qualified assistance and documenting the assessment and response</w:t>
            </w:r>
          </w:p>
        </w:tc>
        <w:tc>
          <w:tcPr>
            <w:tcW w:type="dxa" w:w="2520"/>
            <w:vAlign w:val="top"/>
            <w:shd w:fill="F7F9FA"/>
          </w:tcPr>
          <w:p>
            <w:pPr>
              <w:spacing w:after="0"/>
            </w:pPr>
            <w:r/>
            <w:r>
              <w:rPr>
                <w:rFonts w:ascii="Aptos" w:hAnsi="Aptos"/>
                <w:b w:val="0"/>
                <w:sz w:val="16"/>
              </w:rPr>
              <w:t>In a genuine emergency, client protection comes before routine competence-building steps. Seek prompt help without creating an unsafe delay.</w:t>
            </w:r>
          </w:p>
        </w:tc>
      </w:tr>
      <w:tr>
        <w:tc>
          <w:tcPr>
            <w:tcW w:type="dxa" w:w="2376"/>
            <w:vAlign w:val="top"/>
          </w:tcPr>
          <w:p>
            <w:pPr>
              <w:spacing w:after="0"/>
            </w:pPr>
            <w:r/>
            <w:r>
              <w:rPr>
                <w:rFonts w:ascii="Aptos" w:hAnsi="Aptos"/>
                <w:b/>
                <w:sz w:val="16"/>
              </w:rPr>
              <w:t>Current Functioning as a Component of Competence</w:t>
            </w:r>
          </w:p>
        </w:tc>
        <w:tc>
          <w:tcPr>
            <w:tcW w:type="dxa" w:w="5256"/>
            <w:vAlign w:val="top"/>
          </w:tcPr>
          <w:p>
            <w:pPr>
              <w:spacing w:after="0"/>
            </w:pPr>
            <w:r/>
            <w:r>
              <w:rPr>
                <w:rFonts w:ascii="Aptos" w:hAnsi="Aptos"/>
                <w:b w:val="0"/>
                <w:sz w:val="16"/>
              </w:rPr>
              <w:t>Professional competence depends not only on education and knowledge but also on the clinician’s present ability to apply judgment safely under the actual circumstances. Temporary limitations may require proportionate restrictions, consultation, coverage, treatment, or reassessment before high-risk duties resume.</w:t>
            </w:r>
          </w:p>
        </w:tc>
        <w:tc>
          <w:tcPr>
            <w:tcW w:type="dxa" w:w="2520"/>
            <w:vAlign w:val="top"/>
          </w:tcPr>
          <w:p>
            <w:pPr>
              <w:spacing w:after="0"/>
            </w:pPr>
            <w:r/>
            <w:r>
              <w:rPr>
                <w:rFonts w:ascii="Aptos" w:hAnsi="Aptos"/>
                <w:b w:val="0"/>
                <w:sz w:val="16"/>
              </w:rPr>
              <w:t>Competence is current and context-specific. Strong credentials do not replace the present ability to perform the particular professional task safely.</w:t>
            </w:r>
          </w:p>
        </w:tc>
      </w:tr>
      <w:tr>
        <w:tc>
          <w:tcPr>
            <w:tcW w:type="dxa" w:w="2376"/>
            <w:vAlign w:val="top"/>
            <w:shd w:fill="F7F9FA"/>
          </w:tcPr>
          <w:p>
            <w:pPr>
              <w:spacing w:after="0"/>
            </w:pPr>
            <w:r/>
            <w:r>
              <w:rPr>
                <w:rFonts w:ascii="Aptos" w:hAnsi="Aptos"/>
                <w:b/>
                <w:sz w:val="16"/>
              </w:rPr>
              <w:t>Comprehensive Competence Analysis</w:t>
            </w:r>
          </w:p>
        </w:tc>
        <w:tc>
          <w:tcPr>
            <w:tcW w:type="dxa" w:w="5256"/>
            <w:vAlign w:val="top"/>
            <w:shd w:fill="F7F9FA"/>
          </w:tcPr>
          <w:p>
            <w:pPr>
              <w:spacing w:after="0"/>
            </w:pPr>
            <w:r/>
            <w:r>
              <w:rPr>
                <w:rFonts w:ascii="Aptos" w:hAnsi="Aptos"/>
                <w:b w:val="0"/>
                <w:sz w:val="16"/>
              </w:rPr>
              <w:t>Identify the specific preparation and self-awareness concerns, assess client risk and urgency, and choose a proportionate safe response before providing the specialized service</w:t>
            </w:r>
          </w:p>
        </w:tc>
        <w:tc>
          <w:tcPr>
            <w:tcW w:type="dxa" w:w="2520"/>
            <w:vAlign w:val="top"/>
            <w:shd w:fill="F7F9FA"/>
          </w:tcPr>
          <w:p>
            <w:pPr>
              <w:spacing w:after="0"/>
            </w:pPr>
            <w:r/>
            <w:r>
              <w:rPr>
                <w:rFonts w:ascii="Aptos" w:hAnsi="Aptos"/>
                <w:b w:val="0"/>
                <w:sz w:val="16"/>
              </w:rPr>
              <w:t>For integrated competence questions, organize the facts: actual preparation, current functioning, client risk, urgency, and the least disruptive safe response.</w:t>
            </w:r>
          </w:p>
        </w:tc>
      </w:tr>
    </w:tbl>
    <w:p>
      <w:pPr>
        <w:pStyle w:val="Heading2"/>
      </w:pPr>
      <w:r>
        <w:t>Exam Reasoning Checklist</w:t>
      </w:r>
    </w:p>
    <w:p>
      <w:pPr>
        <w:pStyle w:val="ListBullet"/>
        <w:spacing w:after="30"/>
      </w:pPr>
      <w:r>
        <w:t>When the question asks for the definition, choose the answer that connects actual preparation and performance to the specific service and circumstances.</w:t>
      </w:r>
    </w:p>
    <w:p>
      <w:pPr>
        <w:pStyle w:val="ListBullet"/>
        <w:spacing w:after="30"/>
      </w:pPr>
      <w:r>
        <w:t>On California questions, treat “licensed” as evidence of legal status—not as proof of specialized competence.</w:t>
      </w:r>
    </w:p>
    <w:p>
      <w:pPr>
        <w:pStyle w:val="ListBullet"/>
        <w:spacing w:after="30"/>
      </w:pPr>
      <w:r>
        <w:t>When asked why competence matters, select client welfare rather than guaranteed outcomes, clinician protection, or avoidance of all challenge.</w:t>
      </w:r>
    </w:p>
    <w:p>
      <w:pPr>
        <w:pStyle w:val="ListBullet"/>
        <w:spacing w:after="30"/>
      </w:pPr>
      <w:r>
        <w:t>Competence is multidimensional. Answers based on one credential, trait, or form of knowledge are usually incomplete.</w:t>
      </w:r>
    </w:p>
    <w:p>
      <w:pPr>
        <w:pStyle w:val="ListBullet"/>
        <w:spacing w:after="30"/>
      </w:pPr>
      <w:r>
        <w:t>The exam usually favors “identify and assess” before an extreme response when the stem does not establish an immediate emergency.</w:t>
      </w:r>
    </w:p>
    <w:p>
      <w:pPr>
        <w:pStyle w:val="ListBullet"/>
        <w:spacing w:after="30"/>
      </w:pPr>
      <w:r>
        <w:t>When the stem pairs extensive general experience with a specialized gap, focus on the relevance of the preparation—not the number of years.</w:t>
      </w:r>
    </w:p>
    <w:p>
      <w:pPr>
        <w:pStyle w:val="ListBullet"/>
        <w:spacing w:after="30"/>
      </w:pPr>
      <w:r>
        <w:t>Population changes are competence triggers. Ask what preparation is specifically relevant to that population.</w:t>
      </w:r>
    </w:p>
    <w:p>
      <w:pPr>
        <w:pStyle w:val="ListBullet"/>
        <w:spacing w:after="30"/>
      </w:pPr>
      <w:r>
        <w:t>When the clinician’s personal history or emotional reaction is influencing the case, choose recognition and impact assessment before disclosure, denial, or abrupt termination.</w:t>
      </w:r>
    </w:p>
    <w:p>
      <w:pPr>
        <w:pStyle w:val="Heading2"/>
      </w:pPr>
      <w:r>
        <w:t>Chapter Rapid Review</w:t>
      </w:r>
    </w:p>
    <w:p>
      <w:r>
        <w:rPr>
          <w:b/>
        </w:rPr>
        <w:t xml:space="preserve">Know these concepts: </w:t>
      </w:r>
      <w:r>
        <w:t>Definition of Professional Competence; Licensure vs. Competence; Purpose of Competence Standards; Components of Competence; Initial Response to a Competence Concern; Confidence Without Preparation; Population-Specific Competence; Self-Awareness and Countertransference; Knowledge Exposure vs. Practical Skill; Competence Can Change; Current Professional Functioning; Client Preference and Competence; Cultural and Contextual Competence; Urgent Risk and Competence; Current Functioning as a Component of Competence; Comprehensive Competence Analysis</w:t>
      </w:r>
    </w:p>
    <w:p>
      <w:r>
        <w:br w:type="page"/>
      </w:r>
    </w:p>
    <w:p>
      <w:pPr>
        <w:pStyle w:val="Heading2"/>
      </w:pPr>
      <w:r>
        <w:t>Chapter 2</w:t>
      </w:r>
    </w:p>
    <w:p>
      <w:pPr>
        <w:pStyle w:val="Heading1"/>
      </w:pPr>
      <w:r>
        <w:t>Scope of Practice vs. Scope of Competence</w:t>
      </w:r>
    </w:p>
    <w:tbl>
      <w:tblPr>
        <w:tblStyle w:val="TableGrid"/>
        <w:tblW w:type="auto" w:w="0"/>
        <w:jc w:val="center"/>
        <w:tblLook w:firstColumn="1" w:firstRow="1" w:lastColumn="0" w:lastRow="0" w:noHBand="0" w:noVBand="1" w:val="04A0"/>
      </w:tblPr>
      <w:tblGrid>
        <w:gridCol w:w="10368"/>
      </w:tblGrid>
      <w:tr>
        <w:tc>
          <w:tcPr>
            <w:tcW w:type="dxa" w:w="10368"/>
            <w:shd w:fill="E9F7F6"/>
            <w:vAlign w:val="top"/>
          </w:tcPr>
          <w:p>
            <w:pPr>
              <w:spacing w:after="0"/>
            </w:pPr>
            <w:r/>
            <w:r>
              <w:rPr>
                <w:rFonts w:ascii="Aptos" w:hAnsi="Aptos"/>
                <w:b/>
                <w:sz w:val="18"/>
              </w:rPr>
              <w:t>BIG IDEA | The professional activities a clinician is legally authorized to perform under the applicable credential and circumstances The services the clinician is actually prepared to provide safely based on relevant education, training, experience, skill, and current circumstances</w:t>
            </w:r>
          </w:p>
        </w:tc>
      </w:tr>
    </w:tbl>
    <w:p>
      <w:pPr>
        <w:pStyle w:val="Heading2"/>
      </w:pPr>
      <w:r>
        <w:t>What to Learn</w:t>
      </w:r>
    </w:p>
    <w:p>
      <w:pPr>
        <w:pStyle w:val="ListBullet"/>
        <w:spacing w:after="30"/>
      </w:pPr>
      <w:r>
        <w:t>Explain and apply Scope of Practice.</w:t>
      </w:r>
    </w:p>
    <w:p>
      <w:pPr>
        <w:pStyle w:val="ListBullet"/>
        <w:spacing w:after="30"/>
      </w:pPr>
      <w:r>
        <w:t>Explain and apply Scope of Competence.</w:t>
      </w:r>
    </w:p>
    <w:p>
      <w:pPr>
        <w:pStyle w:val="ListBullet"/>
        <w:spacing w:after="30"/>
      </w:pPr>
      <w:r>
        <w:t>Explain and apply Two-Question Rule.</w:t>
      </w:r>
    </w:p>
    <w:p>
      <w:pPr>
        <w:pStyle w:val="ListBullet"/>
        <w:spacing w:after="30"/>
      </w:pPr>
      <w:r>
        <w:t>Explain and apply Profession-Specific Legal Scope.</w:t>
      </w:r>
    </w:p>
    <w:p>
      <w:pPr>
        <w:pStyle w:val="ListBullet"/>
        <w:spacing w:after="30"/>
      </w:pPr>
      <w:r>
        <w:t>Explain and apply Legal Scope Cannot Be Expanded by Competence.</w:t>
      </w:r>
    </w:p>
    <w:p>
      <w:pPr>
        <w:pStyle w:val="ListBullet"/>
        <w:spacing w:after="30"/>
      </w:pPr>
      <w:r>
        <w:t>Explain and apply Intervention-Specific Competence.</w:t>
      </w:r>
    </w:p>
    <w:p>
      <w:pPr>
        <w:pStyle w:val="ListBullet"/>
        <w:spacing w:after="30"/>
      </w:pPr>
      <w:r>
        <w:t>Explain and apply LPCC Statutory Assessment Limit.</w:t>
      </w:r>
    </w:p>
    <w:p>
      <w:pPr>
        <w:pStyle w:val="Heading2"/>
      </w:pPr>
      <w:r>
        <w:t>Core Study Rules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76"/>
            <w:vAlign w:val="top"/>
            <w:shd w:fill="17365D"/>
          </w:tcPr>
          <w:p>
            <w:pPr>
              <w:spacing w:after="0"/>
            </w:pPr>
            <w:r/>
            <w:r>
              <w:rPr>
                <w:rFonts w:ascii="Aptos" w:hAnsi="Aptos"/>
                <w:b/>
                <w:color w:val="FFFFFF"/>
                <w:sz w:val="17"/>
              </w:rPr>
              <w:t>Concept</w:t>
            </w:r>
          </w:p>
        </w:tc>
        <w:tc>
          <w:tcPr>
            <w:tcW w:type="dxa" w:w="5256"/>
            <w:vAlign w:val="top"/>
            <w:shd w:fill="17365D"/>
          </w:tcPr>
          <w:p>
            <w:pPr>
              <w:spacing w:after="0"/>
            </w:pPr>
            <w:r/>
            <w:r>
              <w:rPr>
                <w:rFonts w:ascii="Aptos" w:hAnsi="Aptos"/>
                <w:b/>
                <w:color w:val="FFFFFF"/>
                <w:sz w:val="17"/>
              </w:rPr>
              <w:t>Controlling Study Rule</w:t>
            </w:r>
          </w:p>
        </w:tc>
        <w:tc>
          <w:tcPr>
            <w:tcW w:type="dxa" w:w="2520"/>
            <w:vAlign w:val="top"/>
            <w:shd w:fill="17365D"/>
          </w:tcPr>
          <w:p>
            <w:pPr>
              <w:spacing w:after="0"/>
            </w:pPr>
            <w:r/>
            <w:r>
              <w:rPr>
                <w:rFonts w:ascii="Aptos" w:hAnsi="Aptos"/>
                <w:b/>
                <w:color w:val="FFFFFF"/>
                <w:sz w:val="17"/>
              </w:rPr>
              <w:t>Memory Cue</w:t>
            </w:r>
          </w:p>
        </w:tc>
      </w:tr>
      <w:tr>
        <w:tc>
          <w:tcPr>
            <w:tcW w:type="dxa" w:w="2376"/>
            <w:vAlign w:val="top"/>
          </w:tcPr>
          <w:p>
            <w:pPr>
              <w:spacing w:after="0"/>
            </w:pPr>
            <w:r/>
            <w:r>
              <w:rPr>
                <w:rFonts w:ascii="Aptos" w:hAnsi="Aptos"/>
                <w:b/>
                <w:sz w:val="16"/>
              </w:rPr>
              <w:t>Scope of Practice</w:t>
            </w:r>
          </w:p>
        </w:tc>
        <w:tc>
          <w:tcPr>
            <w:tcW w:type="dxa" w:w="5256"/>
            <w:vAlign w:val="top"/>
          </w:tcPr>
          <w:p>
            <w:pPr>
              <w:spacing w:after="0"/>
            </w:pPr>
            <w:r/>
            <w:r>
              <w:rPr>
                <w:rFonts w:ascii="Aptos" w:hAnsi="Aptos"/>
                <w:b w:val="0"/>
                <w:sz w:val="16"/>
              </w:rPr>
              <w:t>The professional activities a clinician is legally authorized to perform under the applicable credential and circumstances</w:t>
            </w:r>
          </w:p>
        </w:tc>
        <w:tc>
          <w:tcPr>
            <w:tcW w:type="dxa" w:w="2520"/>
            <w:vAlign w:val="top"/>
          </w:tcPr>
          <w:p>
            <w:pPr>
              <w:spacing w:after="0"/>
            </w:pPr>
            <w:r/>
            <w:r>
              <w:rPr>
                <w:rFonts w:ascii="Aptos" w:hAnsi="Aptos"/>
                <w:b w:val="0"/>
                <w:sz w:val="16"/>
              </w:rPr>
              <w:t>When the question asks what the law allows a professional to do, think scope of practice.</w:t>
            </w:r>
          </w:p>
        </w:tc>
      </w:tr>
      <w:tr>
        <w:tc>
          <w:tcPr>
            <w:tcW w:type="dxa" w:w="2376"/>
            <w:vAlign w:val="top"/>
            <w:shd w:fill="F7F9FA"/>
          </w:tcPr>
          <w:p>
            <w:pPr>
              <w:spacing w:after="0"/>
            </w:pPr>
            <w:r/>
            <w:r>
              <w:rPr>
                <w:rFonts w:ascii="Aptos" w:hAnsi="Aptos"/>
                <w:b/>
                <w:sz w:val="16"/>
              </w:rPr>
              <w:t>Scope of Competence</w:t>
            </w:r>
          </w:p>
        </w:tc>
        <w:tc>
          <w:tcPr>
            <w:tcW w:type="dxa" w:w="5256"/>
            <w:vAlign w:val="top"/>
            <w:shd w:fill="F7F9FA"/>
          </w:tcPr>
          <w:p>
            <w:pPr>
              <w:spacing w:after="0"/>
            </w:pPr>
            <w:r/>
            <w:r>
              <w:rPr>
                <w:rFonts w:ascii="Aptos" w:hAnsi="Aptos"/>
                <w:b w:val="0"/>
                <w:sz w:val="16"/>
              </w:rPr>
              <w:t>The services the clinician is actually prepared to provide safely based on relevant education, training, experience, skill, and current circumstances</w:t>
            </w:r>
          </w:p>
        </w:tc>
        <w:tc>
          <w:tcPr>
            <w:tcW w:type="dxa" w:w="2520"/>
            <w:vAlign w:val="top"/>
            <w:shd w:fill="F7F9FA"/>
          </w:tcPr>
          <w:p>
            <w:pPr>
              <w:spacing w:after="0"/>
            </w:pPr>
            <w:r/>
            <w:r>
              <w:rPr>
                <w:rFonts w:ascii="Aptos" w:hAnsi="Aptos"/>
                <w:b w:val="0"/>
                <w:sz w:val="16"/>
              </w:rPr>
              <w:t>Scope of competence asks whether this clinician is capable—not merely authorized.</w:t>
            </w:r>
          </w:p>
        </w:tc>
      </w:tr>
      <w:tr>
        <w:tc>
          <w:tcPr>
            <w:tcW w:type="dxa" w:w="2376"/>
            <w:vAlign w:val="top"/>
          </w:tcPr>
          <w:p>
            <w:pPr>
              <w:spacing w:after="0"/>
            </w:pPr>
            <w:r/>
            <w:r>
              <w:rPr>
                <w:rFonts w:ascii="Aptos" w:hAnsi="Aptos"/>
                <w:b/>
                <w:sz w:val="16"/>
              </w:rPr>
              <w:t>Two-Question Rule</w:t>
            </w:r>
          </w:p>
        </w:tc>
        <w:tc>
          <w:tcPr>
            <w:tcW w:type="dxa" w:w="5256"/>
            <w:vAlign w:val="top"/>
          </w:tcPr>
          <w:p>
            <w:pPr>
              <w:spacing w:after="0"/>
            </w:pPr>
            <w:r/>
            <w:r>
              <w:rPr>
                <w:rFonts w:ascii="Aptos" w:hAnsi="Aptos"/>
                <w:b w:val="0"/>
                <w:sz w:val="16"/>
              </w:rPr>
              <w:t>Determine both whether the service is legally authorized and whether the clinician is adequately competent to provide it</w:t>
            </w:r>
          </w:p>
        </w:tc>
        <w:tc>
          <w:tcPr>
            <w:tcW w:type="dxa" w:w="2520"/>
            <w:vAlign w:val="top"/>
          </w:tcPr>
          <w:p>
            <w:pPr>
              <w:spacing w:after="0"/>
            </w:pPr>
            <w:r/>
            <w:r>
              <w:rPr>
                <w:rFonts w:ascii="Aptos" w:hAnsi="Aptos"/>
                <w:b w:val="0"/>
                <w:sz w:val="16"/>
              </w:rPr>
              <w:t>The strongest answer usually preserves both requirements: LEGAL and CAPABLE.</w:t>
            </w:r>
          </w:p>
        </w:tc>
      </w:tr>
      <w:tr>
        <w:tc>
          <w:tcPr>
            <w:tcW w:type="dxa" w:w="2376"/>
            <w:vAlign w:val="top"/>
            <w:shd w:fill="F7F9FA"/>
          </w:tcPr>
          <w:p>
            <w:pPr>
              <w:spacing w:after="0"/>
            </w:pPr>
            <w:r/>
            <w:r>
              <w:rPr>
                <w:rFonts w:ascii="Aptos" w:hAnsi="Aptos"/>
                <w:b/>
                <w:sz w:val="16"/>
              </w:rPr>
              <w:t>Profession-Specific Legal Scope</w:t>
            </w:r>
          </w:p>
        </w:tc>
        <w:tc>
          <w:tcPr>
            <w:tcW w:type="dxa" w:w="5256"/>
            <w:vAlign w:val="top"/>
            <w:shd w:fill="F7F9FA"/>
          </w:tcPr>
          <w:p>
            <w:pPr>
              <w:spacing w:after="0"/>
            </w:pPr>
            <w:r/>
            <w:r>
              <w:rPr>
                <w:rFonts w:ascii="Aptos" w:hAnsi="Aptos"/>
                <w:b w:val="0"/>
                <w:sz w:val="16"/>
              </w:rPr>
              <w:t>Each profession has a distinct statutory definition and may have profession-specific inclusions, exclusions, or restrictions</w:t>
            </w:r>
          </w:p>
        </w:tc>
        <w:tc>
          <w:tcPr>
            <w:tcW w:type="dxa" w:w="2520"/>
            <w:vAlign w:val="top"/>
            <w:shd w:fill="F7F9FA"/>
          </w:tcPr>
          <w:p>
            <w:pPr>
              <w:spacing w:after="0"/>
            </w:pPr>
            <w:r/>
            <w:r>
              <w:rPr>
                <w:rFonts w:ascii="Aptos" w:hAnsi="Aptos"/>
                <w:b w:val="0"/>
                <w:sz w:val="16"/>
              </w:rPr>
              <w:t>Identify the exact credential before answering a profession-specific legal question.</w:t>
            </w:r>
          </w:p>
        </w:tc>
      </w:tr>
      <w:tr>
        <w:tc>
          <w:tcPr>
            <w:tcW w:type="dxa" w:w="2376"/>
            <w:vAlign w:val="top"/>
          </w:tcPr>
          <w:p>
            <w:pPr>
              <w:spacing w:after="0"/>
            </w:pPr>
            <w:r/>
            <w:r>
              <w:rPr>
                <w:rFonts w:ascii="Aptos" w:hAnsi="Aptos"/>
                <w:b/>
                <w:sz w:val="16"/>
              </w:rPr>
              <w:t>Legal Scope Cannot Be Expanded by Competence</w:t>
            </w:r>
          </w:p>
        </w:tc>
        <w:tc>
          <w:tcPr>
            <w:tcW w:type="dxa" w:w="5256"/>
            <w:vAlign w:val="top"/>
          </w:tcPr>
          <w:p>
            <w:pPr>
              <w:spacing w:after="0"/>
            </w:pPr>
            <w:r/>
            <w:r>
              <w:rPr>
                <w:rFonts w:ascii="Aptos" w:hAnsi="Aptos"/>
                <w:b w:val="0"/>
                <w:sz w:val="16"/>
              </w:rPr>
              <w:t>The clinician should not provide the service under that credential merely because the clinician feels competent</w:t>
            </w:r>
          </w:p>
        </w:tc>
        <w:tc>
          <w:tcPr>
            <w:tcW w:type="dxa" w:w="2520"/>
            <w:vAlign w:val="top"/>
          </w:tcPr>
          <w:p>
            <w:pPr>
              <w:spacing w:after="0"/>
            </w:pPr>
            <w:r/>
            <w:r>
              <w:rPr>
                <w:rFonts w:ascii="Aptos" w:hAnsi="Aptos"/>
                <w:b w:val="0"/>
                <w:sz w:val="16"/>
              </w:rPr>
              <w:t>Competence cannot cure a legal prohibition.</w:t>
            </w:r>
          </w:p>
        </w:tc>
      </w:tr>
      <w:tr>
        <w:tc>
          <w:tcPr>
            <w:tcW w:type="dxa" w:w="2376"/>
            <w:vAlign w:val="top"/>
            <w:shd w:fill="F7F9FA"/>
          </w:tcPr>
          <w:p>
            <w:pPr>
              <w:spacing w:after="0"/>
            </w:pPr>
            <w:r/>
            <w:r>
              <w:rPr>
                <w:rFonts w:ascii="Aptos" w:hAnsi="Aptos"/>
                <w:b/>
                <w:sz w:val="16"/>
              </w:rPr>
              <w:t>Intervention-Specific Competence</w:t>
            </w:r>
          </w:p>
        </w:tc>
        <w:tc>
          <w:tcPr>
            <w:tcW w:type="dxa" w:w="5256"/>
            <w:vAlign w:val="top"/>
            <w:shd w:fill="F7F9FA"/>
          </w:tcPr>
          <w:p>
            <w:pPr>
              <w:spacing w:after="0"/>
            </w:pPr>
            <w:r/>
            <w:r>
              <w:rPr>
                <w:rFonts w:ascii="Aptos" w:hAnsi="Aptos"/>
                <w:b w:val="0"/>
                <w:sz w:val="16"/>
              </w:rPr>
              <w:t>The therapist should assess whether the protocol requires additional training, supervised practice, and skill before using it with this high-risk client</w:t>
            </w:r>
          </w:p>
        </w:tc>
        <w:tc>
          <w:tcPr>
            <w:tcW w:type="dxa" w:w="2520"/>
            <w:vAlign w:val="top"/>
            <w:shd w:fill="F7F9FA"/>
          </w:tcPr>
          <w:p>
            <w:pPr>
              <w:spacing w:after="0"/>
            </w:pPr>
            <w:r/>
            <w:r>
              <w:rPr>
                <w:rFonts w:ascii="Aptos" w:hAnsi="Aptos"/>
                <w:b w:val="0"/>
                <w:sz w:val="16"/>
              </w:rPr>
              <w:t>The more specialized and high-risk the intervention, the stronger the evidence of practical preparation should be.</w:t>
            </w:r>
          </w:p>
        </w:tc>
      </w:tr>
      <w:tr>
        <w:tc>
          <w:tcPr>
            <w:tcW w:type="dxa" w:w="2376"/>
            <w:vAlign w:val="top"/>
          </w:tcPr>
          <w:p>
            <w:pPr>
              <w:spacing w:after="0"/>
            </w:pPr>
            <w:r/>
            <w:r>
              <w:rPr>
                <w:rFonts w:ascii="Aptos" w:hAnsi="Aptos"/>
                <w:b/>
                <w:sz w:val="16"/>
              </w:rPr>
              <w:t>LPCC Statutory Assessment Limit</w:t>
            </w:r>
          </w:p>
        </w:tc>
        <w:tc>
          <w:tcPr>
            <w:tcW w:type="dxa" w:w="5256"/>
            <w:vAlign w:val="top"/>
          </w:tcPr>
          <w:p>
            <w:pPr>
              <w:spacing w:after="0"/>
            </w:pPr>
            <w:r/>
            <w:r>
              <w:rPr>
                <w:rFonts w:ascii="Aptos" w:hAnsi="Aptos"/>
                <w:b w:val="0"/>
                <w:sz w:val="16"/>
              </w:rPr>
              <w:t>The LPCC should not provide the excluded assessment service under the LPCC credential and should consider an appropriately authorized professional</w:t>
            </w:r>
          </w:p>
        </w:tc>
        <w:tc>
          <w:tcPr>
            <w:tcW w:type="dxa" w:w="2520"/>
            <w:vAlign w:val="top"/>
          </w:tcPr>
          <w:p>
            <w:pPr>
              <w:spacing w:after="0"/>
            </w:pPr>
            <w:r/>
            <w:r>
              <w:rPr>
                <w:rFonts w:ascii="Aptos" w:hAnsi="Aptos"/>
                <w:b w:val="0"/>
                <w:sz w:val="16"/>
              </w:rPr>
              <w:t>When the statute expressly excludes an activity, stop the competence analysis and respect the legal boundary.</w:t>
            </w:r>
          </w:p>
        </w:tc>
      </w:tr>
      <w:tr>
        <w:tc>
          <w:tcPr>
            <w:tcW w:type="dxa" w:w="2376"/>
            <w:vAlign w:val="top"/>
            <w:shd w:fill="F7F9FA"/>
          </w:tcPr>
          <w:p>
            <w:pPr>
              <w:spacing w:after="0"/>
            </w:pPr>
            <w:r/>
            <w:r>
              <w:rPr>
                <w:rFonts w:ascii="Aptos" w:hAnsi="Aptos"/>
                <w:b/>
                <w:sz w:val="16"/>
              </w:rPr>
              <w:t>Supervised Practice Limits</w:t>
            </w:r>
          </w:p>
        </w:tc>
        <w:tc>
          <w:tcPr>
            <w:tcW w:type="dxa" w:w="5256"/>
            <w:vAlign w:val="top"/>
            <w:shd w:fill="F7F9FA"/>
          </w:tcPr>
          <w:p>
            <w:pPr>
              <w:spacing w:after="0"/>
            </w:pPr>
            <w:r/>
            <w:r>
              <w:rPr>
                <w:rFonts w:ascii="Aptos" w:hAnsi="Aptos"/>
                <w:b w:val="0"/>
                <w:sz w:val="16"/>
              </w:rPr>
              <w:t>Clarify the legal scope, supervision and setting requirements, and the associate’s actual competence before providing the service</w:t>
            </w:r>
          </w:p>
        </w:tc>
        <w:tc>
          <w:tcPr>
            <w:tcW w:type="dxa" w:w="2520"/>
            <w:vAlign w:val="top"/>
            <w:shd w:fill="F7F9FA"/>
          </w:tcPr>
          <w:p>
            <w:pPr>
              <w:spacing w:after="0"/>
            </w:pPr>
            <w:r/>
            <w:r>
              <w:rPr>
                <w:rFonts w:ascii="Aptos" w:hAnsi="Aptos"/>
                <w:b w:val="0"/>
                <w:sz w:val="16"/>
              </w:rPr>
              <w:t>For associates, add supervision, employment, setting, and assigned-activity limits to the ordinary legal-and-capable analysis.</w:t>
            </w:r>
          </w:p>
        </w:tc>
      </w:tr>
      <w:tr>
        <w:tc>
          <w:tcPr>
            <w:tcW w:type="dxa" w:w="2376"/>
            <w:vAlign w:val="top"/>
          </w:tcPr>
          <w:p>
            <w:pPr>
              <w:spacing w:after="0"/>
            </w:pPr>
            <w:r/>
            <w:r>
              <w:rPr>
                <w:rFonts w:ascii="Aptos" w:hAnsi="Aptos"/>
                <w:b/>
                <w:sz w:val="16"/>
              </w:rPr>
              <w:t>Cultural and Linguistic Competence</w:t>
            </w:r>
          </w:p>
        </w:tc>
        <w:tc>
          <w:tcPr>
            <w:tcW w:type="dxa" w:w="5256"/>
            <w:vAlign w:val="top"/>
          </w:tcPr>
          <w:p>
            <w:pPr>
              <w:spacing w:after="0"/>
            </w:pPr>
            <w:r/>
            <w:r>
              <w:rPr>
                <w:rFonts w:ascii="Aptos" w:hAnsi="Aptos"/>
                <w:b w:val="0"/>
                <w:sz w:val="16"/>
              </w:rPr>
              <w:t>The therapist should evaluate relevant cultural and linguistic competence and obtain appropriate support or access resources before assuming general skills are sufficient</w:t>
            </w:r>
          </w:p>
        </w:tc>
        <w:tc>
          <w:tcPr>
            <w:tcW w:type="dxa" w:w="2520"/>
            <w:vAlign w:val="top"/>
          </w:tcPr>
          <w:p>
            <w:pPr>
              <w:spacing w:after="0"/>
            </w:pPr>
            <w:r/>
            <w:r>
              <w:rPr>
                <w:rFonts w:ascii="Aptos" w:hAnsi="Aptos"/>
                <w:b w:val="0"/>
                <w:sz w:val="16"/>
              </w:rPr>
              <w:t>Cultural humility means assessing what is missing and responding responsibly—not claiming complete mastery or automatically refusing care.</w:t>
            </w:r>
          </w:p>
        </w:tc>
      </w:tr>
      <w:tr>
        <w:tc>
          <w:tcPr>
            <w:tcW w:type="dxa" w:w="2376"/>
            <w:vAlign w:val="top"/>
            <w:shd w:fill="F7F9FA"/>
          </w:tcPr>
          <w:p>
            <w:pPr>
              <w:spacing w:after="0"/>
            </w:pPr>
            <w:r/>
            <w:r>
              <w:rPr>
                <w:rFonts w:ascii="Aptos" w:hAnsi="Aptos"/>
                <w:b/>
                <w:sz w:val="16"/>
              </w:rPr>
              <w:t>Related Experience</w:t>
            </w:r>
          </w:p>
        </w:tc>
        <w:tc>
          <w:tcPr>
            <w:tcW w:type="dxa" w:w="5256"/>
            <w:vAlign w:val="top"/>
            <w:shd w:fill="F7F9FA"/>
          </w:tcPr>
          <w:p>
            <w:pPr>
              <w:spacing w:after="0"/>
            </w:pPr>
            <w:r/>
            <w:r>
              <w:rPr>
                <w:rFonts w:ascii="Aptos" w:hAnsi="Aptos"/>
                <w:b w:val="0"/>
                <w:sz w:val="16"/>
              </w:rPr>
              <w:t>The clinician should evaluate whether the specialized intervention requires additional knowledge, training, and supported practice</w:t>
            </w:r>
          </w:p>
        </w:tc>
        <w:tc>
          <w:tcPr>
            <w:tcW w:type="dxa" w:w="2520"/>
            <w:vAlign w:val="top"/>
            <w:shd w:fill="F7F9FA"/>
          </w:tcPr>
          <w:p>
            <w:pPr>
              <w:spacing w:after="0"/>
            </w:pPr>
            <w:r/>
            <w:r>
              <w:rPr>
                <w:rFonts w:ascii="Aptos" w:hAnsi="Aptos"/>
                <w:b w:val="0"/>
                <w:sz w:val="16"/>
              </w:rPr>
              <w:t>Look for experience that matches the actual intervention—not merely a related diagnosis category.</w:t>
            </w:r>
          </w:p>
        </w:tc>
      </w:tr>
      <w:tr>
        <w:tc>
          <w:tcPr>
            <w:tcW w:type="dxa" w:w="2376"/>
            <w:vAlign w:val="top"/>
          </w:tcPr>
          <w:p>
            <w:pPr>
              <w:spacing w:after="0"/>
            </w:pPr>
            <w:r/>
            <w:r>
              <w:rPr>
                <w:rFonts w:ascii="Aptos" w:hAnsi="Aptos"/>
                <w:b/>
                <w:sz w:val="16"/>
              </w:rPr>
              <w:t>First Response to Uncertain Competence</w:t>
            </w:r>
          </w:p>
        </w:tc>
        <w:tc>
          <w:tcPr>
            <w:tcW w:type="dxa" w:w="5256"/>
            <w:vAlign w:val="top"/>
          </w:tcPr>
          <w:p>
            <w:pPr>
              <w:spacing w:after="0"/>
            </w:pPr>
            <w:r/>
            <w:r>
              <w:rPr>
                <w:rFonts w:ascii="Aptos" w:hAnsi="Aptos"/>
                <w:b w:val="0"/>
                <w:sz w:val="16"/>
              </w:rPr>
              <w:t>Identify the specific competence gap and assess client risk and urgency before selecting training, support, modification, or referral</w:t>
            </w:r>
          </w:p>
        </w:tc>
        <w:tc>
          <w:tcPr>
            <w:tcW w:type="dxa" w:w="2520"/>
            <w:vAlign w:val="top"/>
          </w:tcPr>
          <w:p>
            <w:pPr>
              <w:spacing w:after="0"/>
            </w:pPr>
            <w:r/>
            <w:r>
              <w:rPr>
                <w:rFonts w:ascii="Aptos" w:hAnsi="Aptos"/>
                <w:b w:val="0"/>
                <w:sz w:val="16"/>
              </w:rPr>
              <w:t>When legal scope is clear but competence is uncertain, identify what is missing before choosing the intervention.</w:t>
            </w:r>
          </w:p>
        </w:tc>
      </w:tr>
      <w:tr>
        <w:tc>
          <w:tcPr>
            <w:tcW w:type="dxa" w:w="2376"/>
            <w:vAlign w:val="top"/>
            <w:shd w:fill="F7F9FA"/>
          </w:tcPr>
          <w:p>
            <w:pPr>
              <w:spacing w:after="0"/>
            </w:pPr>
            <w:r/>
            <w:r>
              <w:rPr>
                <w:rFonts w:ascii="Aptos" w:hAnsi="Aptos"/>
                <w:b/>
                <w:sz w:val="16"/>
              </w:rPr>
              <w:t>Competence Without Legal Authority</w:t>
            </w:r>
          </w:p>
        </w:tc>
        <w:tc>
          <w:tcPr>
            <w:tcW w:type="dxa" w:w="5256"/>
            <w:vAlign w:val="top"/>
            <w:shd w:fill="F7F9FA"/>
          </w:tcPr>
          <w:p>
            <w:pPr>
              <w:spacing w:after="0"/>
            </w:pPr>
            <w:r/>
            <w:r>
              <w:rPr>
                <w:rFonts w:ascii="Aptos" w:hAnsi="Aptos"/>
                <w:b w:val="0"/>
                <w:sz w:val="16"/>
              </w:rPr>
              <w:t>The clinician should not perform the unauthorized service and should explore lawful alternatives, referral, or coordination</w:t>
            </w:r>
          </w:p>
        </w:tc>
        <w:tc>
          <w:tcPr>
            <w:tcW w:type="dxa" w:w="2520"/>
            <w:vAlign w:val="top"/>
            <w:shd w:fill="F7F9FA"/>
          </w:tcPr>
          <w:p>
            <w:pPr>
              <w:spacing w:after="0"/>
            </w:pPr>
            <w:r/>
            <w:r>
              <w:rPr>
                <w:rFonts w:ascii="Aptos" w:hAnsi="Aptos"/>
                <w:b w:val="0"/>
                <w:sz w:val="16"/>
              </w:rPr>
              <w:t>Hard circumstances do not erase a statutory boundary. Look for lawful coordination rather than unauthorized practice.</w:t>
            </w:r>
          </w:p>
        </w:tc>
      </w:tr>
      <w:tr>
        <w:tc>
          <w:tcPr>
            <w:tcW w:type="dxa" w:w="2376"/>
            <w:vAlign w:val="top"/>
          </w:tcPr>
          <w:p>
            <w:pPr>
              <w:spacing w:after="0"/>
            </w:pPr>
            <w:r/>
            <w:r>
              <w:rPr>
                <w:rFonts w:ascii="Aptos" w:hAnsi="Aptos"/>
                <w:b/>
                <w:sz w:val="16"/>
              </w:rPr>
              <w:t>Role-Specific Scope and Competence</w:t>
            </w:r>
          </w:p>
        </w:tc>
        <w:tc>
          <w:tcPr>
            <w:tcW w:type="dxa" w:w="5256"/>
            <w:vAlign w:val="top"/>
          </w:tcPr>
          <w:p>
            <w:pPr>
              <w:spacing w:after="0"/>
            </w:pPr>
            <w:r/>
            <w:r>
              <w:rPr>
                <w:rFonts w:ascii="Aptos" w:hAnsi="Aptos"/>
                <w:b w:val="0"/>
                <w:sz w:val="16"/>
              </w:rPr>
              <w:t>Whether the requested evaluator role is legally permitted and whether the therapist has the specialized competence and objectivity required</w:t>
            </w:r>
          </w:p>
        </w:tc>
        <w:tc>
          <w:tcPr>
            <w:tcW w:type="dxa" w:w="2520"/>
            <w:vAlign w:val="top"/>
          </w:tcPr>
          <w:p>
            <w:pPr>
              <w:spacing w:after="0"/>
            </w:pPr>
            <w:r/>
            <w:r>
              <w:rPr>
                <w:rFonts w:ascii="Aptos" w:hAnsi="Aptos"/>
                <w:b w:val="0"/>
                <w:sz w:val="16"/>
              </w:rPr>
              <w:t>A new professional role can change both the legal and competence analysis. Identify the role before deciding.</w:t>
            </w:r>
          </w:p>
        </w:tc>
      </w:tr>
      <w:tr>
        <w:tc>
          <w:tcPr>
            <w:tcW w:type="dxa" w:w="2376"/>
            <w:vAlign w:val="top"/>
            <w:shd w:fill="F7F9FA"/>
          </w:tcPr>
          <w:p>
            <w:pPr>
              <w:spacing w:after="0"/>
            </w:pPr>
            <w:r/>
            <w:r>
              <w:rPr>
                <w:rFonts w:ascii="Aptos" w:hAnsi="Aptos"/>
                <w:b/>
                <w:sz w:val="16"/>
              </w:rPr>
              <w:t>Proportionate Response and Continuity</w:t>
            </w:r>
          </w:p>
        </w:tc>
        <w:tc>
          <w:tcPr>
            <w:tcW w:type="dxa" w:w="5256"/>
            <w:vAlign w:val="top"/>
            <w:shd w:fill="F7F9FA"/>
          </w:tcPr>
          <w:p>
            <w:pPr>
              <w:spacing w:after="0"/>
            </w:pPr>
            <w:r/>
            <w:r>
              <w:rPr>
                <w:rFonts w:ascii="Aptos" w:hAnsi="Aptos"/>
                <w:b w:val="0"/>
                <w:sz w:val="16"/>
              </w:rPr>
              <w:t>Assess whether the limitation can be addressed safely through appropriate preparation and support while preserving continuity, with referral if it cannot</w:t>
            </w:r>
          </w:p>
        </w:tc>
        <w:tc>
          <w:tcPr>
            <w:tcW w:type="dxa" w:w="2520"/>
            <w:vAlign w:val="top"/>
            <w:shd w:fill="F7F9FA"/>
          </w:tcPr>
          <w:p>
            <w:pPr>
              <w:spacing w:after="0"/>
            </w:pPr>
            <w:r/>
            <w:r>
              <w:rPr>
                <w:rFonts w:ascii="Aptos" w:hAnsi="Aptos"/>
                <w:b w:val="0"/>
                <w:sz w:val="16"/>
              </w:rPr>
              <w:t>The exam often favors the least disruptive safe response—not denial, inaction, or automatic termination.</w:t>
            </w:r>
          </w:p>
        </w:tc>
      </w:tr>
      <w:tr>
        <w:tc>
          <w:tcPr>
            <w:tcW w:type="dxa" w:w="2376"/>
            <w:vAlign w:val="top"/>
          </w:tcPr>
          <w:p>
            <w:pPr>
              <w:spacing w:after="0"/>
            </w:pPr>
            <w:r/>
            <w:r>
              <w:rPr>
                <w:rFonts w:ascii="Aptos" w:hAnsi="Aptos"/>
                <w:b/>
                <w:sz w:val="16"/>
              </w:rPr>
              <w:t>Urgent Risk Outside Current Competence</w:t>
            </w:r>
          </w:p>
        </w:tc>
        <w:tc>
          <w:tcPr>
            <w:tcW w:type="dxa" w:w="5256"/>
            <w:vAlign w:val="top"/>
          </w:tcPr>
          <w:p>
            <w:pPr>
              <w:spacing w:after="0"/>
            </w:pPr>
            <w:r/>
            <w:r>
              <w:rPr>
                <w:rFonts w:ascii="Aptos" w:hAnsi="Aptos"/>
                <w:b w:val="0"/>
                <w:sz w:val="16"/>
              </w:rPr>
              <w:t>Take necessary protective action within the therapist’s lawful role, obtain prompt qualified assistance, and arrange the appropriate level of care</w:t>
            </w:r>
          </w:p>
        </w:tc>
        <w:tc>
          <w:tcPr>
            <w:tcW w:type="dxa" w:w="2520"/>
            <w:vAlign w:val="top"/>
          </w:tcPr>
          <w:p>
            <w:pPr>
              <w:spacing w:after="0"/>
            </w:pPr>
            <w:r/>
            <w:r>
              <w:rPr>
                <w:rFonts w:ascii="Aptos" w:hAnsi="Aptos"/>
                <w:b w:val="0"/>
                <w:sz w:val="16"/>
              </w:rPr>
              <w:t>In emergencies, protect first within lawful authority and obtain prompt qualified help. Do not use urgency to justify unrelated unauthorized practice.</w:t>
            </w:r>
          </w:p>
        </w:tc>
      </w:tr>
      <w:tr>
        <w:tc>
          <w:tcPr>
            <w:tcW w:type="dxa" w:w="2376"/>
            <w:vAlign w:val="top"/>
            <w:shd w:fill="F7F9FA"/>
          </w:tcPr>
          <w:p>
            <w:pPr>
              <w:spacing w:after="0"/>
            </w:pPr>
            <w:r/>
            <w:r>
              <w:rPr>
                <w:rFonts w:ascii="Aptos" w:hAnsi="Aptos"/>
                <w:b/>
                <w:sz w:val="16"/>
              </w:rPr>
              <w:t>Comprehensive Scope Analysis</w:t>
            </w:r>
          </w:p>
        </w:tc>
        <w:tc>
          <w:tcPr>
            <w:tcW w:type="dxa" w:w="5256"/>
            <w:vAlign w:val="top"/>
            <w:shd w:fill="F7F9FA"/>
          </w:tcPr>
          <w:p>
            <w:pPr>
              <w:spacing w:after="0"/>
            </w:pPr>
            <w:r/>
            <w:r>
              <w:rPr>
                <w:rFonts w:ascii="Aptos" w:hAnsi="Aptos"/>
                <w:b w:val="0"/>
                <w:sz w:val="16"/>
              </w:rPr>
              <w:t>Separate legal scope from competence, assess the client’s risk and the therapist’s specific gaps, and use appropriate preparation, collaboration, modification, or referral before providing the specialized service</w:t>
            </w:r>
          </w:p>
        </w:tc>
        <w:tc>
          <w:tcPr>
            <w:tcW w:type="dxa" w:w="2520"/>
            <w:vAlign w:val="top"/>
            <w:shd w:fill="F7F9FA"/>
          </w:tcPr>
          <w:p>
            <w:pPr>
              <w:spacing w:after="0"/>
            </w:pPr>
            <w:r/>
            <w:r>
              <w:rPr>
                <w:rFonts w:ascii="Aptos" w:hAnsi="Aptos"/>
                <w:b w:val="0"/>
                <w:sz w:val="16"/>
              </w:rPr>
              <w:t>For integrated questions, sort the facts into LEGAL SCOPE, ACTUAL COMPETENCE, RISK, SUPPORT, and RESPONSE.</w:t>
            </w:r>
          </w:p>
        </w:tc>
      </w:tr>
    </w:tbl>
    <w:p>
      <w:pPr>
        <w:pStyle w:val="Heading2"/>
      </w:pPr>
      <w:r>
        <w:t>Exam Reasoning Checklist</w:t>
      </w:r>
    </w:p>
    <w:p>
      <w:pPr>
        <w:pStyle w:val="ListBullet"/>
        <w:spacing w:after="30"/>
      </w:pPr>
      <w:r>
        <w:t>When the question asks what the law allows a professional to do, think scope of practice.</w:t>
      </w:r>
    </w:p>
    <w:p>
      <w:pPr>
        <w:pStyle w:val="ListBullet"/>
        <w:spacing w:after="30"/>
      </w:pPr>
      <w:r>
        <w:t>Scope of competence asks whether this clinician is capable—not merely authorized.</w:t>
      </w:r>
    </w:p>
    <w:p>
      <w:pPr>
        <w:pStyle w:val="ListBullet"/>
        <w:spacing w:after="30"/>
      </w:pPr>
      <w:r>
        <w:t>The strongest answer usually preserves both requirements: LEGAL and CAPABLE.</w:t>
      </w:r>
    </w:p>
    <w:p>
      <w:pPr>
        <w:pStyle w:val="ListBullet"/>
        <w:spacing w:after="30"/>
      </w:pPr>
      <w:r>
        <w:t>Identify the exact credential before answering a profession-specific legal question.</w:t>
      </w:r>
    </w:p>
    <w:p>
      <w:pPr>
        <w:pStyle w:val="ListBullet"/>
        <w:spacing w:after="30"/>
      </w:pPr>
      <w:r>
        <w:t>Competence cannot cure a legal prohibition.</w:t>
      </w:r>
    </w:p>
    <w:p>
      <w:pPr>
        <w:pStyle w:val="ListBullet"/>
        <w:spacing w:after="30"/>
      </w:pPr>
      <w:r>
        <w:t>The more specialized and high-risk the intervention, the stronger the evidence of practical preparation should be.</w:t>
      </w:r>
    </w:p>
    <w:p>
      <w:pPr>
        <w:pStyle w:val="ListBullet"/>
        <w:spacing w:after="30"/>
      </w:pPr>
      <w:r>
        <w:t>When the statute expressly excludes an activity, stop the competence analysis and respect the legal boundary.</w:t>
      </w:r>
    </w:p>
    <w:p>
      <w:pPr>
        <w:pStyle w:val="ListBullet"/>
        <w:spacing w:after="30"/>
      </w:pPr>
      <w:r>
        <w:t>For associates, add supervision, employment, setting, and assigned-activity limits to the ordinary legal-and-capable analysis.</w:t>
      </w:r>
    </w:p>
    <w:p>
      <w:pPr>
        <w:pStyle w:val="Heading2"/>
      </w:pPr>
      <w:r>
        <w:t>Chapter Rapid Review</w:t>
      </w:r>
    </w:p>
    <w:p>
      <w:r>
        <w:rPr>
          <w:b/>
        </w:rPr>
        <w:t xml:space="preserve">Know these concepts: </w:t>
      </w:r>
      <w:r>
        <w:t>Scope of Practice; Scope of Competence; Two-Question Rule; Profession-Specific Legal Scope; Legal Scope Cannot Be Expanded by Competence; Intervention-Specific Competence; LPCC Statutory Assessment Limit; Supervised Practice Limits; Cultural and Linguistic Competence; Related Experience; First Response to Uncertain Competence; Competence Without Legal Authority; Role-Specific Scope and Competence; Proportionate Response and Continuity; Urgent Risk Outside Current Competence; Comprehensive Scope Analysis</w:t>
      </w:r>
    </w:p>
    <w:p>
      <w:r>
        <w:br w:type="page"/>
      </w:r>
    </w:p>
    <w:p>
      <w:pPr>
        <w:pStyle w:val="Heading2"/>
      </w:pPr>
      <w:r>
        <w:t>Chapter 3</w:t>
      </w:r>
    </w:p>
    <w:p>
      <w:pPr>
        <w:pStyle w:val="Heading1"/>
      </w:pPr>
      <w:r>
        <w:t>Maintaining Professional Competence</w:t>
      </w:r>
    </w:p>
    <w:tbl>
      <w:tblPr>
        <w:tblStyle w:val="TableGrid"/>
        <w:tblW w:type="auto" w:w="0"/>
        <w:jc w:val="center"/>
        <w:tblLook w:firstColumn="1" w:firstRow="1" w:lastColumn="0" w:lastRow="0" w:noHBand="0" w:noVBand="1" w:val="04A0"/>
      </w:tblPr>
      <w:tblGrid>
        <w:gridCol w:w="10368"/>
      </w:tblGrid>
      <w:tr>
        <w:tc>
          <w:tcPr>
            <w:tcW w:type="dxa" w:w="10368"/>
            <w:shd w:fill="E9F7F6"/>
            <w:vAlign w:val="top"/>
          </w:tcPr>
          <w:p>
            <w:pPr>
              <w:spacing w:after="0"/>
            </w:pPr>
            <w:r/>
            <w:r>
              <w:rPr>
                <w:rFonts w:ascii="Aptos" w:hAnsi="Aptos"/>
                <w:b/>
                <w:sz w:val="18"/>
              </w:rPr>
              <w:t>BIG IDEA | Competence requires ongoing attention to current knowledge, skill, judgment, and professional functioning. To update knowledge and strengthen competence in areas connected to current practice needs.</w:t>
            </w:r>
          </w:p>
        </w:tc>
      </w:tr>
    </w:tbl>
    <w:p>
      <w:pPr>
        <w:pStyle w:val="Heading2"/>
      </w:pPr>
      <w:r>
        <w:t>What to Learn</w:t>
      </w:r>
    </w:p>
    <w:p>
      <w:pPr>
        <w:pStyle w:val="ListBullet"/>
        <w:spacing w:after="30"/>
      </w:pPr>
      <w:r>
        <w:t>Explain and apply Ongoing Competence.</w:t>
      </w:r>
    </w:p>
    <w:p>
      <w:pPr>
        <w:pStyle w:val="ListBullet"/>
        <w:spacing w:after="30"/>
      </w:pPr>
      <w:r>
        <w:t>Explain and apply Purpose of Continuing Education.</w:t>
      </w:r>
    </w:p>
    <w:p>
      <w:pPr>
        <w:pStyle w:val="ListBullet"/>
        <w:spacing w:after="30"/>
      </w:pPr>
      <w:r>
        <w:t>Explain and apply Current Legal Knowledge.</w:t>
      </w:r>
    </w:p>
    <w:p>
      <w:pPr>
        <w:pStyle w:val="ListBullet"/>
        <w:spacing w:after="30"/>
      </w:pPr>
      <w:r>
        <w:t>Explain and apply Self-Assessment.</w:t>
      </w:r>
    </w:p>
    <w:p>
      <w:pPr>
        <w:pStyle w:val="ListBullet"/>
        <w:spacing w:after="30"/>
      </w:pPr>
      <w:r>
        <w:t>Explain and apply Experience and Learning.</w:t>
      </w:r>
    </w:p>
    <w:p>
      <w:pPr>
        <w:pStyle w:val="ListBullet"/>
        <w:spacing w:after="30"/>
      </w:pPr>
      <w:r>
        <w:t>Explain and apply CE Compliance vs. Competence.</w:t>
      </w:r>
    </w:p>
    <w:p>
      <w:pPr>
        <w:pStyle w:val="ListBullet"/>
        <w:spacing w:after="30"/>
      </w:pPr>
      <w:r>
        <w:t>Explain and apply Outdated Legal Practice.</w:t>
      </w:r>
    </w:p>
    <w:p>
      <w:pPr>
        <w:pStyle w:val="Heading2"/>
      </w:pPr>
      <w:r>
        <w:t>Core Study Rules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76"/>
            <w:vAlign w:val="top"/>
            <w:shd w:fill="17365D"/>
          </w:tcPr>
          <w:p>
            <w:pPr>
              <w:spacing w:after="0"/>
            </w:pPr>
            <w:r/>
            <w:r>
              <w:rPr>
                <w:rFonts w:ascii="Aptos" w:hAnsi="Aptos"/>
                <w:b/>
                <w:color w:val="FFFFFF"/>
                <w:sz w:val="17"/>
              </w:rPr>
              <w:t>Concept</w:t>
            </w:r>
          </w:p>
        </w:tc>
        <w:tc>
          <w:tcPr>
            <w:tcW w:type="dxa" w:w="5256"/>
            <w:vAlign w:val="top"/>
            <w:shd w:fill="17365D"/>
          </w:tcPr>
          <w:p>
            <w:pPr>
              <w:spacing w:after="0"/>
            </w:pPr>
            <w:r/>
            <w:r>
              <w:rPr>
                <w:rFonts w:ascii="Aptos" w:hAnsi="Aptos"/>
                <w:b/>
                <w:color w:val="FFFFFF"/>
                <w:sz w:val="17"/>
              </w:rPr>
              <w:t>Controlling Study Rule</w:t>
            </w:r>
          </w:p>
        </w:tc>
        <w:tc>
          <w:tcPr>
            <w:tcW w:type="dxa" w:w="2520"/>
            <w:vAlign w:val="top"/>
            <w:shd w:fill="17365D"/>
          </w:tcPr>
          <w:p>
            <w:pPr>
              <w:spacing w:after="0"/>
            </w:pPr>
            <w:r/>
            <w:r>
              <w:rPr>
                <w:rFonts w:ascii="Aptos" w:hAnsi="Aptos"/>
                <w:b/>
                <w:color w:val="FFFFFF"/>
                <w:sz w:val="17"/>
              </w:rPr>
              <w:t>Memory Cue</w:t>
            </w:r>
          </w:p>
        </w:tc>
      </w:tr>
      <w:tr>
        <w:tc>
          <w:tcPr>
            <w:tcW w:type="dxa" w:w="2376"/>
            <w:vAlign w:val="top"/>
          </w:tcPr>
          <w:p>
            <w:pPr>
              <w:spacing w:after="0"/>
            </w:pPr>
            <w:r/>
            <w:r>
              <w:rPr>
                <w:rFonts w:ascii="Aptos" w:hAnsi="Aptos"/>
                <w:b/>
                <w:sz w:val="16"/>
              </w:rPr>
              <w:t>Ongoing Competence</w:t>
            </w:r>
          </w:p>
        </w:tc>
        <w:tc>
          <w:tcPr>
            <w:tcW w:type="dxa" w:w="5256"/>
            <w:vAlign w:val="top"/>
          </w:tcPr>
          <w:p>
            <w:pPr>
              <w:spacing w:after="0"/>
            </w:pPr>
            <w:r/>
            <w:r>
              <w:rPr>
                <w:rFonts w:ascii="Aptos" w:hAnsi="Aptos"/>
                <w:b w:val="0"/>
                <w:sz w:val="16"/>
              </w:rPr>
              <w:t>Competence requires ongoing attention to current knowledge, skill, judgment, and professional functioning.</w:t>
            </w:r>
          </w:p>
        </w:tc>
        <w:tc>
          <w:tcPr>
            <w:tcW w:type="dxa" w:w="2520"/>
            <w:vAlign w:val="top"/>
          </w:tcPr>
          <w:p>
            <w:pPr>
              <w:spacing w:after="0"/>
            </w:pPr>
            <w:r/>
            <w:r>
              <w:rPr>
                <w:rFonts w:ascii="Aptos" w:hAnsi="Aptos"/>
                <w:b w:val="0"/>
                <w:sz w:val="16"/>
              </w:rPr>
              <w:t>When the question contrasts a past credential with current ability, choose the answer emphasizing ongoing monitoring and updating.</w:t>
            </w:r>
          </w:p>
        </w:tc>
      </w:tr>
      <w:tr>
        <w:tc>
          <w:tcPr>
            <w:tcW w:type="dxa" w:w="2376"/>
            <w:vAlign w:val="top"/>
            <w:shd w:fill="F7F9FA"/>
          </w:tcPr>
          <w:p>
            <w:pPr>
              <w:spacing w:after="0"/>
            </w:pPr>
            <w:r/>
            <w:r>
              <w:rPr>
                <w:rFonts w:ascii="Aptos" w:hAnsi="Aptos"/>
                <w:b/>
                <w:sz w:val="16"/>
              </w:rPr>
              <w:t>Purpose of Continuing Education</w:t>
            </w:r>
          </w:p>
        </w:tc>
        <w:tc>
          <w:tcPr>
            <w:tcW w:type="dxa" w:w="5256"/>
            <w:vAlign w:val="top"/>
            <w:shd w:fill="F7F9FA"/>
          </w:tcPr>
          <w:p>
            <w:pPr>
              <w:spacing w:after="0"/>
            </w:pPr>
            <w:r/>
            <w:r>
              <w:rPr>
                <w:rFonts w:ascii="Aptos" w:hAnsi="Aptos"/>
                <w:b w:val="0"/>
                <w:sz w:val="16"/>
              </w:rPr>
              <w:t>To update knowledge and strengthen competence in areas connected to current practice needs.</w:t>
            </w:r>
          </w:p>
        </w:tc>
        <w:tc>
          <w:tcPr>
            <w:tcW w:type="dxa" w:w="2520"/>
            <w:vAlign w:val="top"/>
            <w:shd w:fill="F7F9FA"/>
          </w:tcPr>
          <w:p>
            <w:pPr>
              <w:spacing w:after="0"/>
            </w:pPr>
            <w:r/>
            <w:r>
              <w:rPr>
                <w:rFonts w:ascii="Aptos" w:hAnsi="Aptos"/>
                <w:b w:val="0"/>
                <w:sz w:val="16"/>
              </w:rPr>
              <w:t>CE supports competence; it does not guarantee outcomes or instantly create expertise.</w:t>
            </w:r>
          </w:p>
        </w:tc>
      </w:tr>
      <w:tr>
        <w:tc>
          <w:tcPr>
            <w:tcW w:type="dxa" w:w="2376"/>
            <w:vAlign w:val="top"/>
          </w:tcPr>
          <w:p>
            <w:pPr>
              <w:spacing w:after="0"/>
            </w:pPr>
            <w:r/>
            <w:r>
              <w:rPr>
                <w:rFonts w:ascii="Aptos" w:hAnsi="Aptos"/>
                <w:b/>
                <w:sz w:val="16"/>
              </w:rPr>
              <w:t>Current Legal Knowledge</w:t>
            </w:r>
          </w:p>
        </w:tc>
        <w:tc>
          <w:tcPr>
            <w:tcW w:type="dxa" w:w="5256"/>
            <w:vAlign w:val="top"/>
          </w:tcPr>
          <w:p>
            <w:pPr>
              <w:spacing w:after="0"/>
            </w:pPr>
            <w:r/>
            <w:r>
              <w:rPr>
                <w:rFonts w:ascii="Aptos" w:hAnsi="Aptos"/>
                <w:b w:val="0"/>
                <w:sz w:val="16"/>
              </w:rPr>
              <w:t>Verify the current law and official guidance before relying on the remembered rule.</w:t>
            </w:r>
          </w:p>
        </w:tc>
        <w:tc>
          <w:tcPr>
            <w:tcW w:type="dxa" w:w="2520"/>
            <w:vAlign w:val="top"/>
          </w:tcPr>
          <w:p>
            <w:pPr>
              <w:spacing w:after="0"/>
            </w:pPr>
            <w:r/>
            <w:r>
              <w:rPr>
                <w:rFonts w:ascii="Aptos" w:hAnsi="Aptos"/>
                <w:b w:val="0"/>
                <w:sz w:val="16"/>
              </w:rPr>
              <w:t>Old legal knowledge is a cue to verify current authority—not rely on memory.</w:t>
            </w:r>
          </w:p>
        </w:tc>
      </w:tr>
      <w:tr>
        <w:tc>
          <w:tcPr>
            <w:tcW w:type="dxa" w:w="2376"/>
            <w:vAlign w:val="top"/>
            <w:shd w:fill="F7F9FA"/>
          </w:tcPr>
          <w:p>
            <w:pPr>
              <w:spacing w:after="0"/>
            </w:pPr>
            <w:r/>
            <w:r>
              <w:rPr>
                <w:rFonts w:ascii="Aptos" w:hAnsi="Aptos"/>
                <w:b/>
                <w:sz w:val="16"/>
              </w:rPr>
              <w:t>Self-Assessment</w:t>
            </w:r>
          </w:p>
        </w:tc>
        <w:tc>
          <w:tcPr>
            <w:tcW w:type="dxa" w:w="5256"/>
            <w:vAlign w:val="top"/>
            <w:shd w:fill="F7F9FA"/>
          </w:tcPr>
          <w:p>
            <w:pPr>
              <w:spacing w:after="0"/>
            </w:pPr>
            <w:r/>
            <w:r>
              <w:rPr>
                <w:rFonts w:ascii="Aptos" w:hAnsi="Aptos"/>
                <w:b w:val="0"/>
                <w:sz w:val="16"/>
              </w:rPr>
              <w:t>Identify the specific knowledge or skill gap and evaluate its effect on current clients.</w:t>
            </w:r>
          </w:p>
        </w:tc>
        <w:tc>
          <w:tcPr>
            <w:tcW w:type="dxa" w:w="2520"/>
            <w:vAlign w:val="top"/>
            <w:shd w:fill="F7F9FA"/>
          </w:tcPr>
          <w:p>
            <w:pPr>
              <w:spacing w:after="0"/>
            </w:pPr>
            <w:r/>
            <w:r>
              <w:rPr>
                <w:rFonts w:ascii="Aptos" w:hAnsi="Aptos"/>
                <w:b w:val="0"/>
                <w:sz w:val="16"/>
              </w:rPr>
              <w:t>The first step is usually to identify the gap and assess its impact before choosing a corrective action.</w:t>
            </w:r>
          </w:p>
        </w:tc>
      </w:tr>
      <w:tr>
        <w:tc>
          <w:tcPr>
            <w:tcW w:type="dxa" w:w="2376"/>
            <w:vAlign w:val="top"/>
          </w:tcPr>
          <w:p>
            <w:pPr>
              <w:spacing w:after="0"/>
            </w:pPr>
            <w:r/>
            <w:r>
              <w:rPr>
                <w:rFonts w:ascii="Aptos" w:hAnsi="Aptos"/>
                <w:b/>
                <w:sz w:val="16"/>
              </w:rPr>
              <w:t>Experience and Learning</w:t>
            </w:r>
          </w:p>
        </w:tc>
        <w:tc>
          <w:tcPr>
            <w:tcW w:type="dxa" w:w="5256"/>
            <w:vAlign w:val="top"/>
          </w:tcPr>
          <w:p>
            <w:pPr>
              <w:spacing w:after="0"/>
            </w:pPr>
            <w:r/>
            <w:r>
              <w:rPr>
                <w:rFonts w:ascii="Aptos" w:hAnsi="Aptos"/>
                <w:b w:val="0"/>
                <w:sz w:val="16"/>
              </w:rPr>
              <w:t>Experience supports competence most effectively when combined with reflection, feedback, and current learning.</w:t>
            </w:r>
          </w:p>
        </w:tc>
        <w:tc>
          <w:tcPr>
            <w:tcW w:type="dxa" w:w="2520"/>
            <w:vAlign w:val="top"/>
          </w:tcPr>
          <w:p>
            <w:pPr>
              <w:spacing w:after="0"/>
            </w:pPr>
            <w:r/>
            <w:r>
              <w:rPr>
                <w:rFonts w:ascii="Aptos" w:hAnsi="Aptos"/>
                <w:b w:val="0"/>
                <w:sz w:val="16"/>
              </w:rPr>
              <w:t>Experience is evidence only when it is relevant, current, and evaluated.</w:t>
            </w:r>
          </w:p>
        </w:tc>
      </w:tr>
      <w:tr>
        <w:tc>
          <w:tcPr>
            <w:tcW w:type="dxa" w:w="2376"/>
            <w:vAlign w:val="top"/>
            <w:shd w:fill="F7F9FA"/>
          </w:tcPr>
          <w:p>
            <w:pPr>
              <w:spacing w:after="0"/>
            </w:pPr>
            <w:r/>
            <w:r>
              <w:rPr>
                <w:rFonts w:ascii="Aptos" w:hAnsi="Aptos"/>
                <w:b/>
                <w:sz w:val="16"/>
              </w:rPr>
              <w:t>CE Compliance vs. Competence</w:t>
            </w:r>
          </w:p>
        </w:tc>
        <w:tc>
          <w:tcPr>
            <w:tcW w:type="dxa" w:w="5256"/>
            <w:vAlign w:val="top"/>
            <w:shd w:fill="F7F9FA"/>
          </w:tcPr>
          <w:p>
            <w:pPr>
              <w:spacing w:after="0"/>
            </w:pPr>
            <w:r/>
            <w:r>
              <w:rPr>
                <w:rFonts w:ascii="Aptos" w:hAnsi="Aptos"/>
                <w:b w:val="0"/>
                <w:sz w:val="16"/>
              </w:rPr>
              <w:t>The therapist may be meeting a renewal requirement without addressing actual competence needs.</w:t>
            </w:r>
          </w:p>
        </w:tc>
        <w:tc>
          <w:tcPr>
            <w:tcW w:type="dxa" w:w="2520"/>
            <w:vAlign w:val="top"/>
            <w:shd w:fill="F7F9FA"/>
          </w:tcPr>
          <w:p>
            <w:pPr>
              <w:spacing w:after="0"/>
            </w:pPr>
            <w:r/>
            <w:r>
              <w:rPr>
                <w:rFonts w:ascii="Aptos" w:hAnsi="Aptos"/>
                <w:b w:val="0"/>
                <w:sz w:val="16"/>
              </w:rPr>
              <w:t>Separate CE compliance from whether the education actually addresses current practice.</w:t>
            </w:r>
          </w:p>
        </w:tc>
      </w:tr>
      <w:tr>
        <w:tc>
          <w:tcPr>
            <w:tcW w:type="dxa" w:w="2376"/>
            <w:vAlign w:val="top"/>
          </w:tcPr>
          <w:p>
            <w:pPr>
              <w:spacing w:after="0"/>
            </w:pPr>
            <w:r/>
            <w:r>
              <w:rPr>
                <w:rFonts w:ascii="Aptos" w:hAnsi="Aptos"/>
                <w:b/>
                <w:sz w:val="16"/>
              </w:rPr>
              <w:t>Outdated Legal Practice</w:t>
            </w:r>
          </w:p>
        </w:tc>
        <w:tc>
          <w:tcPr>
            <w:tcW w:type="dxa" w:w="5256"/>
            <w:vAlign w:val="top"/>
          </w:tcPr>
          <w:p>
            <w:pPr>
              <w:spacing w:after="0"/>
            </w:pPr>
            <w:r/>
            <w:r>
              <w:rPr>
                <w:rFonts w:ascii="Aptos" w:hAnsi="Aptos"/>
                <w:b w:val="0"/>
                <w:sz w:val="16"/>
              </w:rPr>
              <w:t>Review current authoritative sources and revise the procedure if the rule has changed.</w:t>
            </w:r>
          </w:p>
        </w:tc>
        <w:tc>
          <w:tcPr>
            <w:tcW w:type="dxa" w:w="2520"/>
            <w:vAlign w:val="top"/>
          </w:tcPr>
          <w:p>
            <w:pPr>
              <w:spacing w:after="0"/>
            </w:pPr>
            <w:r/>
            <w:r>
              <w:rPr>
                <w:rFonts w:ascii="Aptos" w:hAnsi="Aptos"/>
                <w:b w:val="0"/>
                <w:sz w:val="16"/>
              </w:rPr>
              <w:t>“We have always used this form” is a red flag for outdated practice.</w:t>
            </w:r>
          </w:p>
        </w:tc>
      </w:tr>
      <w:tr>
        <w:tc>
          <w:tcPr>
            <w:tcW w:type="dxa" w:w="2376"/>
            <w:vAlign w:val="top"/>
            <w:shd w:fill="F7F9FA"/>
          </w:tcPr>
          <w:p>
            <w:pPr>
              <w:spacing w:after="0"/>
            </w:pPr>
            <w:r/>
            <w:r>
              <w:rPr>
                <w:rFonts w:ascii="Aptos" w:hAnsi="Aptos"/>
                <w:b/>
                <w:sz w:val="16"/>
              </w:rPr>
              <w:t>New Technology</w:t>
            </w:r>
          </w:p>
        </w:tc>
        <w:tc>
          <w:tcPr>
            <w:tcW w:type="dxa" w:w="5256"/>
            <w:vAlign w:val="top"/>
            <w:shd w:fill="F7F9FA"/>
          </w:tcPr>
          <w:p>
            <w:pPr>
              <w:spacing w:after="0"/>
            </w:pPr>
            <w:r/>
            <w:r>
              <w:rPr>
                <w:rFonts w:ascii="Aptos" w:hAnsi="Aptos"/>
                <w:b w:val="0"/>
                <w:sz w:val="16"/>
              </w:rPr>
              <w:t>Learn the tool’s limitations and privacy implications, verify all clinical content independently, and avoid unsafe use until adequately prepared.</w:t>
            </w:r>
          </w:p>
        </w:tc>
        <w:tc>
          <w:tcPr>
            <w:tcW w:type="dxa" w:w="2520"/>
            <w:vAlign w:val="top"/>
            <w:shd w:fill="F7F9FA"/>
          </w:tcPr>
          <w:p>
            <w:pPr>
              <w:spacing w:after="0"/>
            </w:pPr>
            <w:r/>
            <w:r>
              <w:rPr>
                <w:rFonts w:ascii="Aptos" w:hAnsi="Aptos"/>
                <w:b w:val="0"/>
                <w:sz w:val="16"/>
              </w:rPr>
              <w:t>For new technology, look for training, limitations, privacy, independent review, and continued accountability.</w:t>
            </w:r>
          </w:p>
        </w:tc>
      </w:tr>
      <w:tr>
        <w:tc>
          <w:tcPr>
            <w:tcW w:type="dxa" w:w="2376"/>
            <w:vAlign w:val="top"/>
          </w:tcPr>
          <w:p>
            <w:pPr>
              <w:spacing w:after="0"/>
            </w:pPr>
            <w:r/>
            <w:r>
              <w:rPr>
                <w:rFonts w:ascii="Aptos" w:hAnsi="Aptos"/>
                <w:b/>
                <w:sz w:val="16"/>
              </w:rPr>
              <w:t>Outcome Monitoring</w:t>
            </w:r>
          </w:p>
        </w:tc>
        <w:tc>
          <w:tcPr>
            <w:tcW w:type="dxa" w:w="5256"/>
            <w:vAlign w:val="top"/>
          </w:tcPr>
          <w:p>
            <w:pPr>
              <w:spacing w:after="0"/>
            </w:pPr>
            <w:r/>
            <w:r>
              <w:rPr>
                <w:rFonts w:ascii="Aptos" w:hAnsi="Aptos"/>
                <w:b w:val="0"/>
                <w:sz w:val="16"/>
              </w:rPr>
              <w:t>Review the outcomes, reassess the intervention and current knowledge, and determine whether changes or additional preparation are needed.</w:t>
            </w:r>
          </w:p>
        </w:tc>
        <w:tc>
          <w:tcPr>
            <w:tcW w:type="dxa" w:w="2520"/>
            <w:vAlign w:val="top"/>
          </w:tcPr>
          <w:p>
            <w:pPr>
              <w:spacing w:after="0"/>
            </w:pPr>
            <w:r/>
            <w:r>
              <w:rPr>
                <w:rFonts w:ascii="Aptos" w:hAnsi="Aptos"/>
                <w:b w:val="0"/>
                <w:sz w:val="16"/>
              </w:rPr>
              <w:t>Repeated nonresponse or distress should trigger reassessment—not automatic continuation or blame.</w:t>
            </w:r>
          </w:p>
        </w:tc>
      </w:tr>
      <w:tr>
        <w:tc>
          <w:tcPr>
            <w:tcW w:type="dxa" w:w="2376"/>
            <w:vAlign w:val="top"/>
            <w:shd w:fill="F7F9FA"/>
          </w:tcPr>
          <w:p>
            <w:pPr>
              <w:spacing w:after="0"/>
            </w:pPr>
            <w:r/>
            <w:r>
              <w:rPr>
                <w:rFonts w:ascii="Aptos" w:hAnsi="Aptos"/>
                <w:b/>
                <w:sz w:val="16"/>
              </w:rPr>
              <w:t>Coursework and Specialized Skill</w:t>
            </w:r>
          </w:p>
        </w:tc>
        <w:tc>
          <w:tcPr>
            <w:tcW w:type="dxa" w:w="5256"/>
            <w:vAlign w:val="top"/>
            <w:shd w:fill="F7F9FA"/>
          </w:tcPr>
          <w:p>
            <w:pPr>
              <w:spacing w:after="0"/>
            </w:pPr>
            <w:r/>
            <w:r>
              <w:rPr>
                <w:rFonts w:ascii="Aptos" w:hAnsi="Aptos"/>
                <w:b w:val="0"/>
                <w:sz w:val="16"/>
              </w:rPr>
              <w:t>The therapist should assess whether the course provided sufficient practical preparation for the intervention and risk level before using it.</w:t>
            </w:r>
          </w:p>
        </w:tc>
        <w:tc>
          <w:tcPr>
            <w:tcW w:type="dxa" w:w="2520"/>
            <w:vAlign w:val="top"/>
            <w:shd w:fill="F7F9FA"/>
          </w:tcPr>
          <w:p>
            <w:pPr>
              <w:spacing w:after="0"/>
            </w:pPr>
            <w:r/>
            <w:r>
              <w:rPr>
                <w:rFonts w:ascii="Aptos" w:hAnsi="Aptos"/>
                <w:b w:val="0"/>
                <w:sz w:val="16"/>
              </w:rPr>
              <w:t>Match the depth of preparation to the complexity and risk of the service.</w:t>
            </w:r>
          </w:p>
        </w:tc>
      </w:tr>
      <w:tr>
        <w:tc>
          <w:tcPr>
            <w:tcW w:type="dxa" w:w="2376"/>
            <w:vAlign w:val="top"/>
          </w:tcPr>
          <w:p>
            <w:pPr>
              <w:spacing w:after="0"/>
            </w:pPr>
            <w:r/>
            <w:r>
              <w:rPr>
                <w:rFonts w:ascii="Aptos" w:hAnsi="Aptos"/>
                <w:b/>
                <w:sz w:val="16"/>
              </w:rPr>
              <w:t>Cultural Responsiveness</w:t>
            </w:r>
          </w:p>
        </w:tc>
        <w:tc>
          <w:tcPr>
            <w:tcW w:type="dxa" w:w="5256"/>
            <w:vAlign w:val="top"/>
          </w:tcPr>
          <w:p>
            <w:pPr>
              <w:spacing w:after="0"/>
            </w:pPr>
            <w:r/>
            <w:r>
              <w:rPr>
                <w:rFonts w:ascii="Aptos" w:hAnsi="Aptos"/>
                <w:b w:val="0"/>
                <w:sz w:val="16"/>
              </w:rPr>
              <w:t>The therapist may need additional culturally responsive preparation and should evaluate how the unfamiliar context affects assessment and treatment.</w:t>
            </w:r>
          </w:p>
        </w:tc>
        <w:tc>
          <w:tcPr>
            <w:tcW w:type="dxa" w:w="2520"/>
            <w:vAlign w:val="top"/>
          </w:tcPr>
          <w:p>
            <w:pPr>
              <w:spacing w:after="0"/>
            </w:pPr>
            <w:r/>
            <w:r>
              <w:rPr>
                <w:rFonts w:ascii="Aptos" w:hAnsi="Aptos"/>
                <w:b w:val="0"/>
                <w:sz w:val="16"/>
              </w:rPr>
              <w:t>Cultural competence questions favor curiosity, individualized assessment, and appropriate learning—not stereotypes or impossible perfection.</w:t>
            </w:r>
          </w:p>
        </w:tc>
      </w:tr>
      <w:tr>
        <w:tc>
          <w:tcPr>
            <w:tcW w:type="dxa" w:w="2376"/>
            <w:vAlign w:val="top"/>
            <w:shd w:fill="F7F9FA"/>
          </w:tcPr>
          <w:p>
            <w:pPr>
              <w:spacing w:after="0"/>
            </w:pPr>
            <w:r/>
            <w:r>
              <w:rPr>
                <w:rFonts w:ascii="Aptos" w:hAnsi="Aptos"/>
                <w:b/>
                <w:sz w:val="16"/>
              </w:rPr>
              <w:t>Recurring Feedback</w:t>
            </w:r>
          </w:p>
        </w:tc>
        <w:tc>
          <w:tcPr>
            <w:tcW w:type="dxa" w:w="5256"/>
            <w:vAlign w:val="top"/>
            <w:shd w:fill="F7F9FA"/>
          </w:tcPr>
          <w:p>
            <w:pPr>
              <w:spacing w:after="0"/>
            </w:pPr>
            <w:r/>
            <w:r>
              <w:rPr>
                <w:rFonts w:ascii="Aptos" w:hAnsi="Aptos"/>
                <w:b w:val="0"/>
                <w:sz w:val="16"/>
              </w:rPr>
              <w:t>Identify the underlying knowledge or skill deficit and complete targeted improvement while protecting current clients.</w:t>
            </w:r>
          </w:p>
        </w:tc>
        <w:tc>
          <w:tcPr>
            <w:tcW w:type="dxa" w:w="2520"/>
            <w:vAlign w:val="top"/>
            <w:shd w:fill="F7F9FA"/>
          </w:tcPr>
          <w:p>
            <w:pPr>
              <w:spacing w:after="0"/>
            </w:pPr>
            <w:r/>
            <w:r>
              <w:rPr>
                <w:rFonts w:ascii="Aptos" w:hAnsi="Aptos"/>
                <w:b w:val="0"/>
                <w:sz w:val="16"/>
              </w:rPr>
              <w:t>Repeated errors indicate a pattern. Address the source, not only each individual example.</w:t>
            </w:r>
          </w:p>
        </w:tc>
      </w:tr>
      <w:tr>
        <w:tc>
          <w:tcPr>
            <w:tcW w:type="dxa" w:w="2376"/>
            <w:vAlign w:val="top"/>
          </w:tcPr>
          <w:p>
            <w:pPr>
              <w:spacing w:after="0"/>
            </w:pPr>
            <w:r/>
            <w:r>
              <w:rPr>
                <w:rFonts w:ascii="Aptos" w:hAnsi="Aptos"/>
                <w:b/>
                <w:sz w:val="16"/>
              </w:rPr>
              <w:t>Professional Development Planning</w:t>
            </w:r>
          </w:p>
        </w:tc>
        <w:tc>
          <w:tcPr>
            <w:tcW w:type="dxa" w:w="5256"/>
            <w:vAlign w:val="top"/>
          </w:tcPr>
          <w:p>
            <w:pPr>
              <w:spacing w:after="0"/>
            </w:pPr>
            <w:r/>
            <w:r>
              <w:rPr>
                <w:rFonts w:ascii="Aptos" w:hAnsi="Aptos"/>
                <w:b w:val="0"/>
                <w:sz w:val="16"/>
              </w:rPr>
              <w:t>Reassess the competence demands of the current caseload, obtain relevant education and skill development, and limit or coordinate services when needed to protect clients.</w:t>
            </w:r>
          </w:p>
        </w:tc>
        <w:tc>
          <w:tcPr>
            <w:tcW w:type="dxa" w:w="2520"/>
            <w:vAlign w:val="top"/>
          </w:tcPr>
          <w:p>
            <w:pPr>
              <w:spacing w:after="0"/>
            </w:pPr>
            <w:r/>
            <w:r>
              <w:rPr>
                <w:rFonts w:ascii="Aptos" w:hAnsi="Aptos"/>
                <w:b w:val="0"/>
                <w:sz w:val="16"/>
              </w:rPr>
              <w:t>When the practice changes, the learning plan must change with it.</w:t>
            </w:r>
          </w:p>
        </w:tc>
      </w:tr>
      <w:tr>
        <w:tc>
          <w:tcPr>
            <w:tcW w:type="dxa" w:w="2376"/>
            <w:vAlign w:val="top"/>
            <w:shd w:fill="F7F9FA"/>
          </w:tcPr>
          <w:p>
            <w:pPr>
              <w:spacing w:after="0"/>
            </w:pPr>
            <w:r/>
            <w:r>
              <w:rPr>
                <w:rFonts w:ascii="Aptos" w:hAnsi="Aptos"/>
                <w:b/>
                <w:sz w:val="16"/>
              </w:rPr>
              <w:t>Evaluating New Evidence</w:t>
            </w:r>
          </w:p>
        </w:tc>
        <w:tc>
          <w:tcPr>
            <w:tcW w:type="dxa" w:w="5256"/>
            <w:vAlign w:val="top"/>
            <w:shd w:fill="F7F9FA"/>
          </w:tcPr>
          <w:p>
            <w:pPr>
              <w:spacing w:after="0"/>
            </w:pPr>
            <w:r/>
            <w:r>
              <w:rPr>
                <w:rFonts w:ascii="Aptos" w:hAnsi="Aptos"/>
                <w:b w:val="0"/>
                <w:sz w:val="16"/>
              </w:rPr>
              <w:t>Review the quality and relevance of the evidence, compare it with current standards and client needs, and modify practice when warranted.</w:t>
            </w:r>
          </w:p>
        </w:tc>
        <w:tc>
          <w:tcPr>
            <w:tcW w:type="dxa" w:w="2520"/>
            <w:vAlign w:val="top"/>
            <w:shd w:fill="F7F9FA"/>
          </w:tcPr>
          <w:p>
            <w:pPr>
              <w:spacing w:after="0"/>
            </w:pPr>
            <w:r/>
            <w:r>
              <w:rPr>
                <w:rFonts w:ascii="Aptos" w:hAnsi="Aptos"/>
                <w:b w:val="0"/>
                <w:sz w:val="16"/>
              </w:rPr>
              <w:t>The exam favors critical evaluation—not reflexive resistance or trend chasing.</w:t>
            </w:r>
          </w:p>
        </w:tc>
      </w:tr>
      <w:tr>
        <w:tc>
          <w:tcPr>
            <w:tcW w:type="dxa" w:w="2376"/>
            <w:vAlign w:val="top"/>
          </w:tcPr>
          <w:p>
            <w:pPr>
              <w:spacing w:after="0"/>
            </w:pPr>
            <w:r/>
            <w:r>
              <w:rPr>
                <w:rFonts w:ascii="Aptos" w:hAnsi="Aptos"/>
                <w:b/>
                <w:sz w:val="16"/>
              </w:rPr>
              <w:t>New Trends and Competence</w:t>
            </w:r>
          </w:p>
        </w:tc>
        <w:tc>
          <w:tcPr>
            <w:tcW w:type="dxa" w:w="5256"/>
            <w:vAlign w:val="top"/>
          </w:tcPr>
          <w:p>
            <w:pPr>
              <w:spacing w:after="0"/>
            </w:pPr>
            <w:r/>
            <w:r>
              <w:rPr>
                <w:rFonts w:ascii="Aptos" w:hAnsi="Aptos"/>
                <w:b w:val="0"/>
                <w:sz w:val="16"/>
              </w:rPr>
              <w:t>Evaluate the evidence, risks, training requirements, and client fit before deciding whether to use the intervention.</w:t>
            </w:r>
          </w:p>
        </w:tc>
        <w:tc>
          <w:tcPr>
            <w:tcW w:type="dxa" w:w="2520"/>
            <w:vAlign w:val="top"/>
          </w:tcPr>
          <w:p>
            <w:pPr>
              <w:spacing w:after="0"/>
            </w:pPr>
            <w:r/>
            <w:r>
              <w:rPr>
                <w:rFonts w:ascii="Aptos" w:hAnsi="Aptos"/>
                <w:b w:val="0"/>
                <w:sz w:val="16"/>
              </w:rPr>
              <w:t>Neither popularity nor client waiver replaces evidence and adequate preparation.</w:t>
            </w:r>
          </w:p>
        </w:tc>
      </w:tr>
      <w:tr>
        <w:tc>
          <w:tcPr>
            <w:tcW w:type="dxa" w:w="2376"/>
            <w:vAlign w:val="top"/>
            <w:shd w:fill="F7F9FA"/>
          </w:tcPr>
          <w:p>
            <w:pPr>
              <w:spacing w:after="0"/>
            </w:pPr>
            <w:r/>
            <w:r>
              <w:rPr>
                <w:rFonts w:ascii="Aptos" w:hAnsi="Aptos"/>
                <w:b/>
                <w:sz w:val="16"/>
              </w:rPr>
              <w:t>Comprehensive Competence Maintenance</w:t>
            </w:r>
          </w:p>
        </w:tc>
        <w:tc>
          <w:tcPr>
            <w:tcW w:type="dxa" w:w="5256"/>
            <w:vAlign w:val="top"/>
            <w:shd w:fill="F7F9FA"/>
          </w:tcPr>
          <w:p>
            <w:pPr>
              <w:spacing w:after="0"/>
            </w:pPr>
            <w:r/>
            <w:r>
              <w:rPr>
                <w:rFonts w:ascii="Aptos" w:hAnsi="Aptos"/>
                <w:b w:val="0"/>
                <w:sz w:val="16"/>
              </w:rPr>
              <w:t>Identify and prioritize the specific gaps, verify current standards, obtain targeted learning, correct unsafe procedures, monitor outcomes, and protect clients while competence is strengthened.</w:t>
            </w:r>
          </w:p>
        </w:tc>
        <w:tc>
          <w:tcPr>
            <w:tcW w:type="dxa" w:w="2520"/>
            <w:vAlign w:val="top"/>
            <w:shd w:fill="F7F9FA"/>
          </w:tcPr>
          <w:p>
            <w:pPr>
              <w:spacing w:after="0"/>
            </w:pPr>
            <w:r/>
            <w:r>
              <w:rPr>
                <w:rFonts w:ascii="Aptos" w:hAnsi="Aptos"/>
                <w:b w:val="0"/>
                <w:sz w:val="16"/>
              </w:rPr>
              <w:t>For integrated questions, organize the concerns: current authority, actual performance, specific gaps, client risk, corrective learning, and follow-through.</w:t>
            </w:r>
          </w:p>
        </w:tc>
      </w:tr>
    </w:tbl>
    <w:p>
      <w:pPr>
        <w:pStyle w:val="Heading2"/>
      </w:pPr>
      <w:r>
        <w:t>Exam Reasoning Checklist</w:t>
      </w:r>
    </w:p>
    <w:p>
      <w:pPr>
        <w:pStyle w:val="ListBullet"/>
        <w:spacing w:after="30"/>
      </w:pPr>
      <w:r>
        <w:t>When the question contrasts a past credential with current ability, choose the answer emphasizing ongoing monitoring and updating.</w:t>
      </w:r>
    </w:p>
    <w:p>
      <w:pPr>
        <w:pStyle w:val="ListBullet"/>
        <w:spacing w:after="30"/>
      </w:pPr>
      <w:r>
        <w:t>CE supports competence; it does not guarantee outcomes or instantly create expertise.</w:t>
      </w:r>
    </w:p>
    <w:p>
      <w:pPr>
        <w:pStyle w:val="ListBullet"/>
        <w:spacing w:after="30"/>
      </w:pPr>
      <w:r>
        <w:t>Old legal knowledge is a cue to verify current authority—not rely on memory.</w:t>
      </w:r>
    </w:p>
    <w:p>
      <w:pPr>
        <w:pStyle w:val="ListBullet"/>
        <w:spacing w:after="30"/>
      </w:pPr>
      <w:r>
        <w:t>The first step is usually to identify the gap and assess its impact before choosing a corrective action.</w:t>
      </w:r>
    </w:p>
    <w:p>
      <w:pPr>
        <w:pStyle w:val="ListBullet"/>
        <w:spacing w:after="30"/>
      </w:pPr>
      <w:r>
        <w:t>Experience is evidence only when it is relevant, current, and evaluated.</w:t>
      </w:r>
    </w:p>
    <w:p>
      <w:pPr>
        <w:pStyle w:val="ListBullet"/>
        <w:spacing w:after="30"/>
      </w:pPr>
      <w:r>
        <w:t>Separate CE compliance from whether the education actually addresses current practice.</w:t>
      </w:r>
    </w:p>
    <w:p>
      <w:pPr>
        <w:pStyle w:val="ListBullet"/>
        <w:spacing w:after="30"/>
      </w:pPr>
      <w:r>
        <w:t>“We have always used this form” is a red flag for outdated practice.</w:t>
      </w:r>
    </w:p>
    <w:p>
      <w:pPr>
        <w:pStyle w:val="ListBullet"/>
        <w:spacing w:after="30"/>
      </w:pPr>
      <w:r>
        <w:t>For new technology, look for training, limitations, privacy, independent review, and continued accountability.</w:t>
      </w:r>
    </w:p>
    <w:p>
      <w:pPr>
        <w:pStyle w:val="Heading2"/>
      </w:pPr>
      <w:r>
        <w:t>Chapter Rapid Review</w:t>
      </w:r>
    </w:p>
    <w:p>
      <w:r>
        <w:rPr>
          <w:b/>
        </w:rPr>
        <w:t xml:space="preserve">Know these concepts: </w:t>
      </w:r>
      <w:r>
        <w:t>Ongoing Competence; Purpose of Continuing Education; Current Legal Knowledge; Self-Assessment; Experience and Learning; CE Compliance vs. Competence; Outdated Legal Practice; New Technology; Outcome Monitoring; Coursework and Specialized Skill; Cultural Responsiveness; Recurring Feedback; Professional Development Planning; Evaluating New Evidence; New Trends and Competence; Comprehensive Competence Maintenance</w:t>
      </w:r>
    </w:p>
    <w:p>
      <w:r>
        <w:br w:type="page"/>
      </w:r>
    </w:p>
    <w:p>
      <w:pPr>
        <w:pStyle w:val="Heading2"/>
      </w:pPr>
      <w:r>
        <w:t>Chapter 4</w:t>
      </w:r>
    </w:p>
    <w:p>
      <w:pPr>
        <w:pStyle w:val="Heading1"/>
      </w:pPr>
      <w:r>
        <w:t>Consultation and Seeking Professional Assistance</w:t>
      </w:r>
    </w:p>
    <w:tbl>
      <w:tblPr>
        <w:tblStyle w:val="TableGrid"/>
        <w:tblW w:type="auto" w:w="0"/>
        <w:jc w:val="center"/>
        <w:tblLook w:firstColumn="1" w:firstRow="1" w:lastColumn="0" w:lastRow="0" w:noHBand="0" w:noVBand="1" w:val="04A0"/>
      </w:tblPr>
      <w:tblGrid>
        <w:gridCol w:w="10368"/>
      </w:tblGrid>
      <w:tr>
        <w:tc>
          <w:tcPr>
            <w:tcW w:type="dxa" w:w="10368"/>
            <w:shd w:fill="E9F7F6"/>
            <w:vAlign w:val="top"/>
          </w:tcPr>
          <w:p>
            <w:pPr>
              <w:spacing w:after="0"/>
            </w:pPr>
            <w:r/>
            <w:r>
              <w:rPr>
                <w:rFonts w:ascii="Aptos" w:hAnsi="Aptos"/>
                <w:b/>
                <w:sz w:val="18"/>
              </w:rPr>
              <w:t>BIG IDEA | Consultation adds expertise, perspective, or clarification without automatically changing the treating relationship or final responsibility. Consultation informs a decision. The treating clinician remains responsible for applying governing law and professional judgment to the client’s circumstances.</w:t>
            </w:r>
          </w:p>
        </w:tc>
      </w:tr>
    </w:tbl>
    <w:p>
      <w:pPr>
        <w:pStyle w:val="Heading2"/>
      </w:pPr>
      <w:r>
        <w:t>What to Learn</w:t>
      </w:r>
    </w:p>
    <w:p>
      <w:pPr>
        <w:pStyle w:val="ListBullet"/>
        <w:spacing w:after="30"/>
      </w:pPr>
      <w:r>
        <w:t>Explain and apply Purpose of Consultation.</w:t>
      </w:r>
    </w:p>
    <w:p>
      <w:pPr>
        <w:pStyle w:val="ListBullet"/>
        <w:spacing w:after="30"/>
      </w:pPr>
      <w:r>
        <w:t>Explain and apply Responsibility After Consultation.</w:t>
      </w:r>
    </w:p>
    <w:p>
      <w:pPr>
        <w:pStyle w:val="ListBullet"/>
        <w:spacing w:after="30"/>
      </w:pPr>
      <w:r>
        <w:t>Explain and apply Consultation vs. Referral.</w:t>
      </w:r>
    </w:p>
    <w:p>
      <w:pPr>
        <w:pStyle w:val="ListBullet"/>
        <w:spacing w:after="30"/>
      </w:pPr>
      <w:r>
        <w:t>Explain and apply Consultation vs. Required Supervision.</w:t>
      </w:r>
    </w:p>
    <w:p>
      <w:pPr>
        <w:pStyle w:val="ListBullet"/>
        <w:spacing w:after="30"/>
      </w:pPr>
      <w:r>
        <w:t>Explain and apply Confidentiality Check.</w:t>
      </w:r>
    </w:p>
    <w:p>
      <w:pPr>
        <w:pStyle w:val="ListBullet"/>
        <w:spacing w:after="30"/>
      </w:pPr>
      <w:r>
        <w:t>Explain and apply Personal Reactions and Objectivity.</w:t>
      </w:r>
    </w:p>
    <w:p>
      <w:pPr>
        <w:pStyle w:val="ListBullet"/>
        <w:spacing w:after="30"/>
      </w:pPr>
      <w:r>
        <w:t>Explain and apply Selecting a Consultant.</w:t>
      </w:r>
    </w:p>
    <w:p>
      <w:pPr>
        <w:pStyle w:val="Heading2"/>
      </w:pPr>
      <w:r>
        <w:t>Core Study Rules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76"/>
            <w:vAlign w:val="top"/>
            <w:shd w:fill="17365D"/>
          </w:tcPr>
          <w:p>
            <w:pPr>
              <w:spacing w:after="0"/>
            </w:pPr>
            <w:r/>
            <w:r>
              <w:rPr>
                <w:rFonts w:ascii="Aptos" w:hAnsi="Aptos"/>
                <w:b/>
                <w:color w:val="FFFFFF"/>
                <w:sz w:val="17"/>
              </w:rPr>
              <w:t>Concept</w:t>
            </w:r>
          </w:p>
        </w:tc>
        <w:tc>
          <w:tcPr>
            <w:tcW w:type="dxa" w:w="5256"/>
            <w:vAlign w:val="top"/>
            <w:shd w:fill="17365D"/>
          </w:tcPr>
          <w:p>
            <w:pPr>
              <w:spacing w:after="0"/>
            </w:pPr>
            <w:r/>
            <w:r>
              <w:rPr>
                <w:rFonts w:ascii="Aptos" w:hAnsi="Aptos"/>
                <w:b/>
                <w:color w:val="FFFFFF"/>
                <w:sz w:val="17"/>
              </w:rPr>
              <w:t>Controlling Study Rule</w:t>
            </w:r>
          </w:p>
        </w:tc>
        <w:tc>
          <w:tcPr>
            <w:tcW w:type="dxa" w:w="2520"/>
            <w:vAlign w:val="top"/>
            <w:shd w:fill="17365D"/>
          </w:tcPr>
          <w:p>
            <w:pPr>
              <w:spacing w:after="0"/>
            </w:pPr>
            <w:r/>
            <w:r>
              <w:rPr>
                <w:rFonts w:ascii="Aptos" w:hAnsi="Aptos"/>
                <w:b/>
                <w:color w:val="FFFFFF"/>
                <w:sz w:val="17"/>
              </w:rPr>
              <w:t>Memory Cue</w:t>
            </w:r>
          </w:p>
        </w:tc>
      </w:tr>
      <w:tr>
        <w:tc>
          <w:tcPr>
            <w:tcW w:type="dxa" w:w="2376"/>
            <w:vAlign w:val="top"/>
          </w:tcPr>
          <w:p>
            <w:pPr>
              <w:spacing w:after="0"/>
            </w:pPr>
            <w:r/>
            <w:r>
              <w:rPr>
                <w:rFonts w:ascii="Aptos" w:hAnsi="Aptos"/>
                <w:b/>
                <w:sz w:val="16"/>
              </w:rPr>
              <w:t>Purpose of Consultation</w:t>
            </w:r>
          </w:p>
        </w:tc>
        <w:tc>
          <w:tcPr>
            <w:tcW w:type="dxa" w:w="5256"/>
            <w:vAlign w:val="top"/>
          </w:tcPr>
          <w:p>
            <w:pPr>
              <w:spacing w:after="0"/>
            </w:pPr>
            <w:r/>
            <w:r>
              <w:rPr>
                <w:rFonts w:ascii="Aptos" w:hAnsi="Aptos"/>
                <w:b w:val="0"/>
                <w:sz w:val="16"/>
              </w:rPr>
              <w:t>Consultation adds expertise, perspective, or clarification without automatically changing the treating relationship or final responsibility.</w:t>
            </w:r>
          </w:p>
        </w:tc>
        <w:tc>
          <w:tcPr>
            <w:tcW w:type="dxa" w:w="2520"/>
            <w:vAlign w:val="top"/>
          </w:tcPr>
          <w:p>
            <w:pPr>
              <w:spacing w:after="0"/>
            </w:pPr>
            <w:r/>
            <w:r>
              <w:rPr>
                <w:rFonts w:ascii="Aptos" w:hAnsi="Aptos"/>
                <w:b w:val="0"/>
                <w:sz w:val="16"/>
              </w:rPr>
              <w:t>Separate the function of consultation from the legal role of the treating clinician.</w:t>
            </w:r>
          </w:p>
        </w:tc>
      </w:tr>
      <w:tr>
        <w:tc>
          <w:tcPr>
            <w:tcW w:type="dxa" w:w="2376"/>
            <w:vAlign w:val="top"/>
            <w:shd w:fill="F7F9FA"/>
          </w:tcPr>
          <w:p>
            <w:pPr>
              <w:spacing w:after="0"/>
            </w:pPr>
            <w:r/>
            <w:r>
              <w:rPr>
                <w:rFonts w:ascii="Aptos" w:hAnsi="Aptos"/>
                <w:b/>
                <w:sz w:val="16"/>
              </w:rPr>
              <w:t>Responsibility After Consultation</w:t>
            </w:r>
          </w:p>
        </w:tc>
        <w:tc>
          <w:tcPr>
            <w:tcW w:type="dxa" w:w="5256"/>
            <w:vAlign w:val="top"/>
            <w:shd w:fill="F7F9FA"/>
          </w:tcPr>
          <w:p>
            <w:pPr>
              <w:spacing w:after="0"/>
            </w:pPr>
            <w:r/>
            <w:r>
              <w:rPr>
                <w:rFonts w:ascii="Aptos" w:hAnsi="Aptos"/>
                <w:b w:val="0"/>
                <w:sz w:val="16"/>
              </w:rPr>
              <w:t>Consultation informs a decision. The treating clinician remains responsible for applying governing law and professional judgment to the client’s circumstances.</w:t>
            </w:r>
          </w:p>
        </w:tc>
        <w:tc>
          <w:tcPr>
            <w:tcW w:type="dxa" w:w="2520"/>
            <w:vAlign w:val="top"/>
            <w:shd w:fill="F7F9FA"/>
          </w:tcPr>
          <w:p>
            <w:pPr>
              <w:spacing w:after="0"/>
            </w:pPr>
            <w:r/>
            <w:r>
              <w:rPr>
                <w:rFonts w:ascii="Aptos" w:hAnsi="Aptos"/>
                <w:b w:val="0"/>
                <w:sz w:val="16"/>
              </w:rPr>
              <w:t>On the exam, “consult” rarely means “obey without analysis.”</w:t>
            </w:r>
          </w:p>
        </w:tc>
      </w:tr>
      <w:tr>
        <w:tc>
          <w:tcPr>
            <w:tcW w:type="dxa" w:w="2376"/>
            <w:vAlign w:val="top"/>
          </w:tcPr>
          <w:p>
            <w:pPr>
              <w:spacing w:after="0"/>
            </w:pPr>
            <w:r/>
            <w:r>
              <w:rPr>
                <w:rFonts w:ascii="Aptos" w:hAnsi="Aptos"/>
                <w:b/>
                <w:sz w:val="16"/>
              </w:rPr>
              <w:t>Consultation vs. Referral</w:t>
            </w:r>
          </w:p>
        </w:tc>
        <w:tc>
          <w:tcPr>
            <w:tcW w:type="dxa" w:w="5256"/>
            <w:vAlign w:val="top"/>
          </w:tcPr>
          <w:p>
            <w:pPr>
              <w:spacing w:after="0"/>
            </w:pPr>
            <w:r/>
            <w:r>
              <w:rPr>
                <w:rFonts w:ascii="Aptos" w:hAnsi="Aptos"/>
                <w:b w:val="0"/>
                <w:sz w:val="16"/>
              </w:rPr>
              <w:t>Consultation strengthens decision-making; referral connects the client with different or additional care. They may occur together, but they serve different functions.</w:t>
            </w:r>
          </w:p>
        </w:tc>
        <w:tc>
          <w:tcPr>
            <w:tcW w:type="dxa" w:w="2520"/>
            <w:vAlign w:val="top"/>
          </w:tcPr>
          <w:p>
            <w:pPr>
              <w:spacing w:after="0"/>
            </w:pPr>
            <w:r/>
            <w:r>
              <w:rPr>
                <w:rFonts w:ascii="Aptos" w:hAnsi="Aptos"/>
                <w:b w:val="0"/>
                <w:sz w:val="16"/>
              </w:rPr>
              <w:t>Ask who remains involved in care and whether the arrangement actually changes providers.</w:t>
            </w:r>
          </w:p>
        </w:tc>
      </w:tr>
      <w:tr>
        <w:tc>
          <w:tcPr>
            <w:tcW w:type="dxa" w:w="2376"/>
            <w:vAlign w:val="top"/>
            <w:shd w:fill="F7F9FA"/>
          </w:tcPr>
          <w:p>
            <w:pPr>
              <w:spacing w:after="0"/>
            </w:pPr>
            <w:r/>
            <w:r>
              <w:rPr>
                <w:rFonts w:ascii="Aptos" w:hAnsi="Aptos"/>
                <w:b/>
                <w:sz w:val="16"/>
              </w:rPr>
              <w:t>Consultation vs. Required Supervision</w:t>
            </w:r>
          </w:p>
        </w:tc>
        <w:tc>
          <w:tcPr>
            <w:tcW w:type="dxa" w:w="5256"/>
            <w:vAlign w:val="top"/>
            <w:shd w:fill="F7F9FA"/>
          </w:tcPr>
          <w:p>
            <w:pPr>
              <w:spacing w:after="0"/>
            </w:pPr>
            <w:r/>
            <w:r>
              <w:rPr>
                <w:rFonts w:ascii="Aptos" w:hAnsi="Aptos"/>
                <w:b w:val="0"/>
                <w:sz w:val="16"/>
              </w:rPr>
              <w:t>Consultation can be helpful, but required APCC supervision, oversight, and direct supervisor contact remain in force. [Bus. &amp; Prof. Code § 4999.46.2]</w:t>
            </w:r>
          </w:p>
        </w:tc>
        <w:tc>
          <w:tcPr>
            <w:tcW w:type="dxa" w:w="2520"/>
            <w:vAlign w:val="top"/>
            <w:shd w:fill="F7F9FA"/>
          </w:tcPr>
          <w:p>
            <w:pPr>
              <w:spacing w:after="0"/>
            </w:pPr>
            <w:r/>
            <w:r>
              <w:rPr>
                <w:rFonts w:ascii="Aptos" w:hAnsi="Aptos"/>
                <w:b w:val="0"/>
                <w:sz w:val="16"/>
              </w:rPr>
              <w:t>When a supervisee appears, test formal supervision before rewarding peer consultation.</w:t>
            </w:r>
          </w:p>
        </w:tc>
      </w:tr>
      <w:tr>
        <w:tc>
          <w:tcPr>
            <w:tcW w:type="dxa" w:w="2376"/>
            <w:vAlign w:val="top"/>
          </w:tcPr>
          <w:p>
            <w:pPr>
              <w:spacing w:after="0"/>
            </w:pPr>
            <w:r/>
            <w:r>
              <w:rPr>
                <w:rFonts w:ascii="Aptos" w:hAnsi="Aptos"/>
                <w:b/>
                <w:sz w:val="16"/>
              </w:rPr>
              <w:t>Confidentiality Check</w:t>
            </w:r>
          </w:p>
        </w:tc>
        <w:tc>
          <w:tcPr>
            <w:tcW w:type="dxa" w:w="5256"/>
            <w:vAlign w:val="top"/>
          </w:tcPr>
          <w:p>
            <w:pPr>
              <w:spacing w:after="0"/>
            </w:pPr>
            <w:r/>
            <w:r>
              <w:rPr>
                <w:rFonts w:ascii="Aptos" w:hAnsi="Aptos"/>
                <w:b w:val="0"/>
                <w:sz w:val="16"/>
              </w:rPr>
              <w:t>Identify the purpose and recipient, determine the legal disclosure basis, and limit information to the legitimate consultation need This sequence recognizes that legal permission and proportional disclosure are context-dependent. [Civ. Code § 56.10]</w:t>
            </w:r>
          </w:p>
        </w:tc>
        <w:tc>
          <w:tcPr>
            <w:tcW w:type="dxa" w:w="2520"/>
            <w:vAlign w:val="top"/>
          </w:tcPr>
          <w:p>
            <w:pPr>
              <w:spacing w:after="0"/>
            </w:pPr>
            <w:r/>
            <w:r>
              <w:rPr>
                <w:rFonts w:ascii="Aptos" w:hAnsi="Aptos"/>
                <w:b w:val="0"/>
                <w:sz w:val="16"/>
              </w:rPr>
              <w:t>Avoid “always” and “never” answers in consultation-confidentiality questions unless a specific rule supports them.</w:t>
            </w:r>
          </w:p>
        </w:tc>
      </w:tr>
      <w:tr>
        <w:tc>
          <w:tcPr>
            <w:tcW w:type="dxa" w:w="2376"/>
            <w:vAlign w:val="top"/>
            <w:shd w:fill="F7F9FA"/>
          </w:tcPr>
          <w:p>
            <w:pPr>
              <w:spacing w:after="0"/>
            </w:pPr>
            <w:r/>
            <w:r>
              <w:rPr>
                <w:rFonts w:ascii="Aptos" w:hAnsi="Aptos"/>
                <w:b/>
                <w:sz w:val="16"/>
              </w:rPr>
              <w:t>Personal Reactions and Objectivity</w:t>
            </w:r>
          </w:p>
        </w:tc>
        <w:tc>
          <w:tcPr>
            <w:tcW w:type="dxa" w:w="5256"/>
            <w:vAlign w:val="top"/>
            <w:shd w:fill="F7F9FA"/>
          </w:tcPr>
          <w:p>
            <w:pPr>
              <w:spacing w:after="0"/>
            </w:pPr>
            <w:r/>
            <w:r>
              <w:rPr>
                <w:rFonts w:ascii="Aptos" w:hAnsi="Aptos"/>
                <w:b w:val="0"/>
                <w:sz w:val="16"/>
              </w:rPr>
              <w:t>The BBS outlines test awareness and management of personal values, beliefs, and reactions, including situations indicating professional assistance or consultation.</w:t>
            </w:r>
          </w:p>
        </w:tc>
        <w:tc>
          <w:tcPr>
            <w:tcW w:type="dxa" w:w="2520"/>
            <w:vAlign w:val="top"/>
            <w:shd w:fill="F7F9FA"/>
          </w:tcPr>
          <w:p>
            <w:pPr>
              <w:spacing w:after="0"/>
            </w:pPr>
            <w:r/>
            <w:r>
              <w:rPr>
                <w:rFonts w:ascii="Aptos" w:hAnsi="Aptos"/>
                <w:b w:val="0"/>
                <w:sz w:val="16"/>
              </w:rPr>
              <w:t>Choose the response that protects the client while addressing the clinician factor directly and proportionately.</w:t>
            </w:r>
          </w:p>
        </w:tc>
      </w:tr>
      <w:tr>
        <w:tc>
          <w:tcPr>
            <w:tcW w:type="dxa" w:w="2376"/>
            <w:vAlign w:val="top"/>
          </w:tcPr>
          <w:p>
            <w:pPr>
              <w:spacing w:after="0"/>
            </w:pPr>
            <w:r/>
            <w:r>
              <w:rPr>
                <w:rFonts w:ascii="Aptos" w:hAnsi="Aptos"/>
                <w:b/>
                <w:sz w:val="16"/>
              </w:rPr>
              <w:t>Selecting a Consultant</w:t>
            </w:r>
          </w:p>
        </w:tc>
        <w:tc>
          <w:tcPr>
            <w:tcW w:type="dxa" w:w="5256"/>
            <w:vAlign w:val="top"/>
          </w:tcPr>
          <w:p>
            <w:pPr>
              <w:spacing w:after="0"/>
            </w:pPr>
            <w:r/>
            <w:r>
              <w:rPr>
                <w:rFonts w:ascii="Aptos" w:hAnsi="Aptos"/>
                <w:b w:val="0"/>
                <w:sz w:val="16"/>
              </w:rPr>
              <w:t>The consultant must fit the actual question and be able to receive and handle information appropriately.</w:t>
            </w:r>
          </w:p>
        </w:tc>
        <w:tc>
          <w:tcPr>
            <w:tcW w:type="dxa" w:w="2520"/>
            <w:vAlign w:val="top"/>
          </w:tcPr>
          <w:p>
            <w:pPr>
              <w:spacing w:after="0"/>
            </w:pPr>
            <w:r/>
            <w:r>
              <w:rPr>
                <w:rFonts w:ascii="Aptos" w:hAnsi="Aptos"/>
                <w:b w:val="0"/>
                <w:sz w:val="16"/>
              </w:rPr>
              <w:t>Match the consultant to the issue, not to the clinician’s comfort or desired answer.</w:t>
            </w:r>
          </w:p>
        </w:tc>
      </w:tr>
      <w:tr>
        <w:tc>
          <w:tcPr>
            <w:tcW w:type="dxa" w:w="2376"/>
            <w:vAlign w:val="top"/>
            <w:shd w:fill="F7F9FA"/>
          </w:tcPr>
          <w:p>
            <w:pPr>
              <w:spacing w:after="0"/>
            </w:pPr>
            <w:r/>
            <w:r>
              <w:rPr>
                <w:rFonts w:ascii="Aptos" w:hAnsi="Aptos"/>
                <w:b/>
                <w:sz w:val="16"/>
              </w:rPr>
              <w:t>Treatment Consultation and Disclosure</w:t>
            </w:r>
          </w:p>
        </w:tc>
        <w:tc>
          <w:tcPr>
            <w:tcW w:type="dxa" w:w="5256"/>
            <w:vAlign w:val="top"/>
            <w:shd w:fill="F7F9FA"/>
          </w:tcPr>
          <w:p>
            <w:pPr>
              <w:spacing w:after="0"/>
            </w:pPr>
            <w:r/>
            <w:r>
              <w:rPr>
                <w:rFonts w:ascii="Aptos" w:hAnsi="Aptos"/>
                <w:b w:val="0"/>
                <w:sz w:val="16"/>
              </w:rPr>
              <w:t>The LPCC should confirm the treatment purpose and legal basis, use relevant information, and de-identify or limit details when feasible. This approach identifies the permission first and then manages the scope and identifiability of the information. [Civ. Code § 56.10(c)(1); 45 C.F.R. § 164.506]</w:t>
            </w:r>
          </w:p>
        </w:tc>
        <w:tc>
          <w:tcPr>
            <w:tcW w:type="dxa" w:w="2520"/>
            <w:vAlign w:val="top"/>
            <w:shd w:fill="F7F9FA"/>
          </w:tcPr>
          <w:p>
            <w:pPr>
              <w:spacing w:after="0"/>
            </w:pPr>
            <w:r/>
            <w:r>
              <w:rPr>
                <w:rFonts w:ascii="Aptos" w:hAnsi="Aptos"/>
                <w:b w:val="0"/>
                <w:sz w:val="16"/>
              </w:rPr>
              <w:t>Do not collapse “treatment exception” into “anything goes.” Analyze both permission and scope.</w:t>
            </w:r>
          </w:p>
        </w:tc>
      </w:tr>
      <w:tr>
        <w:tc>
          <w:tcPr>
            <w:tcW w:type="dxa" w:w="2376"/>
            <w:vAlign w:val="top"/>
          </w:tcPr>
          <w:p>
            <w:pPr>
              <w:spacing w:after="0"/>
            </w:pPr>
            <w:r/>
            <w:r>
              <w:rPr>
                <w:rFonts w:ascii="Aptos" w:hAnsi="Aptos"/>
                <w:b/>
                <w:sz w:val="16"/>
              </w:rPr>
              <w:t>Documentation</w:t>
            </w:r>
          </w:p>
        </w:tc>
        <w:tc>
          <w:tcPr>
            <w:tcW w:type="dxa" w:w="5256"/>
            <w:vAlign w:val="top"/>
          </w:tcPr>
          <w:p>
            <w:pPr>
              <w:spacing w:after="0"/>
            </w:pPr>
            <w:r/>
            <w:r>
              <w:rPr>
                <w:rFonts w:ascii="Aptos" w:hAnsi="Aptos"/>
                <w:b w:val="0"/>
                <w:sz w:val="16"/>
              </w:rPr>
              <w:t>A timely record of the reason for consultation, significant input, the counselor's independent assessment, action, and follow-up captures the material reasoning and shows that the treating clinician evaluated the advice and acted. [Bus. &amp; Prof. Code § 4999.90]</w:t>
            </w:r>
          </w:p>
        </w:tc>
        <w:tc>
          <w:tcPr>
            <w:tcW w:type="dxa" w:w="2520"/>
            <w:vAlign w:val="top"/>
          </w:tcPr>
          <w:p>
            <w:pPr>
              <w:spacing w:after="0"/>
            </w:pPr>
            <w:r/>
            <w:r>
              <w:rPr>
                <w:rFonts w:ascii="Aptos" w:hAnsi="Aptos"/>
                <w:b w:val="0"/>
                <w:sz w:val="16"/>
              </w:rPr>
              <w:t>Document the decision pathway, not a liability-shifting story or an unnecessary transcript.</w:t>
            </w:r>
          </w:p>
        </w:tc>
      </w:tr>
      <w:tr>
        <w:tc>
          <w:tcPr>
            <w:tcW w:type="dxa" w:w="2376"/>
            <w:vAlign w:val="top"/>
            <w:shd w:fill="F7F9FA"/>
          </w:tcPr>
          <w:p>
            <w:pPr>
              <w:spacing w:after="0"/>
            </w:pPr>
            <w:r/>
            <w:r>
              <w:rPr>
                <w:rFonts w:ascii="Aptos" w:hAnsi="Aptos"/>
                <w:b/>
                <w:sz w:val="16"/>
              </w:rPr>
              <w:t>Urgent Threat and Consultation</w:t>
            </w:r>
          </w:p>
        </w:tc>
        <w:tc>
          <w:tcPr>
            <w:tcW w:type="dxa" w:w="5256"/>
            <w:vAlign w:val="top"/>
            <w:shd w:fill="F7F9FA"/>
          </w:tcPr>
          <w:p>
            <w:pPr>
              <w:spacing w:after="0"/>
            </w:pPr>
            <w:r/>
            <w:r>
              <w:rPr>
                <w:rFonts w:ascii="Aptos" w:hAnsi="Aptos"/>
                <w:b w:val="0"/>
                <w:sz w:val="16"/>
              </w:rPr>
              <w:t>California Civil Code section 43.92 requires a duty-to-protect analysis under specified facts; consultation may occur promptly but cannot postpone necessary protection.</w:t>
            </w:r>
          </w:p>
        </w:tc>
        <w:tc>
          <w:tcPr>
            <w:tcW w:type="dxa" w:w="2520"/>
            <w:vAlign w:val="top"/>
            <w:shd w:fill="F7F9FA"/>
          </w:tcPr>
          <w:p>
            <w:pPr>
              <w:spacing w:after="0"/>
            </w:pPr>
            <w:r/>
            <w:r>
              <w:rPr>
                <w:rFonts w:ascii="Aptos" w:hAnsi="Aptos"/>
                <w:b w:val="0"/>
                <w:sz w:val="16"/>
              </w:rPr>
              <w:t>In urgent scenarios, reject answers that make routine consultation a reason to wait.</w:t>
            </w:r>
          </w:p>
        </w:tc>
      </w:tr>
      <w:tr>
        <w:tc>
          <w:tcPr>
            <w:tcW w:type="dxa" w:w="2376"/>
            <w:vAlign w:val="top"/>
          </w:tcPr>
          <w:p>
            <w:pPr>
              <w:spacing w:after="0"/>
            </w:pPr>
            <w:r/>
            <w:r>
              <w:rPr>
                <w:rFonts w:ascii="Aptos" w:hAnsi="Aptos"/>
                <w:b/>
                <w:sz w:val="16"/>
              </w:rPr>
              <w:t>Individual Mandated-Reporting Duty</w:t>
            </w:r>
          </w:p>
        </w:tc>
        <w:tc>
          <w:tcPr>
            <w:tcW w:type="dxa" w:w="5256"/>
            <w:vAlign w:val="top"/>
          </w:tcPr>
          <w:p>
            <w:pPr>
              <w:spacing w:after="0"/>
            </w:pPr>
            <w:r/>
            <w:r>
              <w:rPr>
                <w:rFonts w:ascii="Aptos" w:hAnsi="Aptos"/>
                <w:b w:val="0"/>
                <w:sz w:val="16"/>
              </w:rPr>
              <w:t>Reasonable suspicion is sufficient, the duty is individual, and a supervisor may not impede it. [Pen. Code § 11166]</w:t>
            </w:r>
          </w:p>
        </w:tc>
        <w:tc>
          <w:tcPr>
            <w:tcW w:type="dxa" w:w="2520"/>
            <w:vAlign w:val="top"/>
          </w:tcPr>
          <w:p>
            <w:pPr>
              <w:spacing w:after="0"/>
            </w:pPr>
            <w:r/>
            <w:r>
              <w:rPr>
                <w:rFonts w:ascii="Aptos" w:hAnsi="Aptos"/>
                <w:b w:val="0"/>
                <w:sz w:val="16"/>
              </w:rPr>
              <w:t>When the statute states an individual duty, neither consultation nor supervision can veto it.</w:t>
            </w:r>
          </w:p>
        </w:tc>
      </w:tr>
      <w:tr>
        <w:tc>
          <w:tcPr>
            <w:tcW w:type="dxa" w:w="2376"/>
            <w:vAlign w:val="top"/>
            <w:shd w:fill="F7F9FA"/>
          </w:tcPr>
          <w:p>
            <w:pPr>
              <w:spacing w:after="0"/>
            </w:pPr>
            <w:r/>
            <w:r>
              <w:rPr>
                <w:rFonts w:ascii="Aptos" w:hAnsi="Aptos"/>
                <w:b/>
                <w:sz w:val="16"/>
              </w:rPr>
              <w:t>Consultation and Competence</w:t>
            </w:r>
          </w:p>
        </w:tc>
        <w:tc>
          <w:tcPr>
            <w:tcW w:type="dxa" w:w="5256"/>
            <w:vAlign w:val="top"/>
            <w:shd w:fill="F7F9FA"/>
          </w:tcPr>
          <w:p>
            <w:pPr>
              <w:spacing w:after="0"/>
            </w:pPr>
            <w:r/>
            <w:r>
              <w:rPr>
                <w:rFonts w:ascii="Aptos" w:hAnsi="Aptos"/>
                <w:b w:val="0"/>
                <w:sz w:val="16"/>
              </w:rPr>
              <w:t>The response matches assistance to the actual competence gap and protects continuity rather than assuming one conversation is enough.</w:t>
            </w:r>
          </w:p>
        </w:tc>
        <w:tc>
          <w:tcPr>
            <w:tcW w:type="dxa" w:w="2520"/>
            <w:vAlign w:val="top"/>
            <w:shd w:fill="F7F9FA"/>
          </w:tcPr>
          <w:p>
            <w:pPr>
              <w:spacing w:after="0"/>
            </w:pPr>
            <w:r/>
            <w:r>
              <w:rPr>
                <w:rFonts w:ascii="Aptos" w:hAnsi="Aptos"/>
                <w:b w:val="0"/>
                <w:sz w:val="16"/>
              </w:rPr>
              <w:t>Consultation can identify a pathway to competence; it is not itself proof that the pathway is complete.</w:t>
            </w:r>
          </w:p>
        </w:tc>
      </w:tr>
      <w:tr>
        <w:tc>
          <w:tcPr>
            <w:tcW w:type="dxa" w:w="2376"/>
            <w:vAlign w:val="top"/>
          </w:tcPr>
          <w:p>
            <w:pPr>
              <w:spacing w:after="0"/>
            </w:pPr>
            <w:r/>
            <w:r>
              <w:rPr>
                <w:rFonts w:ascii="Aptos" w:hAnsi="Aptos"/>
                <w:b/>
                <w:sz w:val="16"/>
              </w:rPr>
              <w:t>Legal Consultation and Records Request</w:t>
            </w:r>
          </w:p>
        </w:tc>
        <w:tc>
          <w:tcPr>
            <w:tcW w:type="dxa" w:w="5256"/>
            <w:vAlign w:val="top"/>
          </w:tcPr>
          <w:p>
            <w:pPr>
              <w:spacing w:after="0"/>
            </w:pPr>
            <w:r/>
            <w:r>
              <w:rPr>
                <w:rFonts w:ascii="Aptos" w:hAnsi="Aptos"/>
                <w:b w:val="0"/>
                <w:sz w:val="16"/>
              </w:rPr>
              <w:t>The therapist should protect the information, assess validity and jurisdiction, and obtain issue-specific legal guidance. A friend’s clinical license does not make the friend legal counsel.</w:t>
            </w:r>
          </w:p>
        </w:tc>
        <w:tc>
          <w:tcPr>
            <w:tcW w:type="dxa" w:w="2520"/>
            <w:vAlign w:val="top"/>
          </w:tcPr>
          <w:p>
            <w:pPr>
              <w:spacing w:after="0"/>
            </w:pPr>
            <w:r/>
            <w:r>
              <w:rPr>
                <w:rFonts w:ascii="Aptos" w:hAnsi="Aptos"/>
                <w:b w:val="0"/>
                <w:sz w:val="16"/>
              </w:rPr>
              <w:t>When a legal document is ambiguous, do not choose automatic disclosure or automatic refusal; preserve and verify.</w:t>
            </w:r>
          </w:p>
        </w:tc>
      </w:tr>
      <w:tr>
        <w:tc>
          <w:tcPr>
            <w:tcW w:type="dxa" w:w="2376"/>
            <w:vAlign w:val="top"/>
            <w:shd w:fill="F7F9FA"/>
          </w:tcPr>
          <w:p>
            <w:pPr>
              <w:spacing w:after="0"/>
            </w:pPr>
            <w:r/>
            <w:r>
              <w:rPr>
                <w:rFonts w:ascii="Aptos" w:hAnsi="Aptos"/>
                <w:b/>
                <w:sz w:val="16"/>
              </w:rPr>
              <w:t>Conflicting Consultation</w:t>
            </w:r>
          </w:p>
        </w:tc>
        <w:tc>
          <w:tcPr>
            <w:tcW w:type="dxa" w:w="5256"/>
            <w:vAlign w:val="top"/>
            <w:shd w:fill="F7F9FA"/>
          </w:tcPr>
          <w:p>
            <w:pPr>
              <w:spacing w:after="0"/>
            </w:pPr>
            <w:r/>
            <w:r>
              <w:rPr>
                <w:rFonts w:ascii="Aptos" w:hAnsi="Aptos"/>
                <w:b w:val="0"/>
                <w:sz w:val="16"/>
              </w:rPr>
              <w:t>Conflicting opinions signal a need to identify missing facts and assumptions, not to surrender judgment. The client’s risk and continuity remain central.</w:t>
            </w:r>
          </w:p>
        </w:tc>
        <w:tc>
          <w:tcPr>
            <w:tcW w:type="dxa" w:w="2520"/>
            <w:vAlign w:val="top"/>
            <w:shd w:fill="F7F9FA"/>
          </w:tcPr>
          <w:p>
            <w:pPr>
              <w:spacing w:after="0"/>
            </w:pPr>
            <w:r/>
            <w:r>
              <w:rPr>
                <w:rFonts w:ascii="Aptos" w:hAnsi="Aptos"/>
                <w:b w:val="0"/>
                <w:sz w:val="16"/>
              </w:rPr>
              <w:t>Conflicting consultation calls for synthesis, not a vote or seniority rule.</w:t>
            </w:r>
          </w:p>
        </w:tc>
      </w:tr>
      <w:tr>
        <w:tc>
          <w:tcPr>
            <w:tcW w:type="dxa" w:w="2376"/>
            <w:vAlign w:val="top"/>
          </w:tcPr>
          <w:p>
            <w:pPr>
              <w:spacing w:after="0"/>
            </w:pPr>
            <w:r/>
            <w:r>
              <w:rPr>
                <w:rFonts w:ascii="Aptos" w:hAnsi="Aptos"/>
                <w:b/>
                <w:sz w:val="16"/>
              </w:rPr>
              <w:t>Access Limits and Safe Continuity</w:t>
            </w:r>
          </w:p>
        </w:tc>
        <w:tc>
          <w:tcPr>
            <w:tcW w:type="dxa" w:w="5256"/>
            <w:vAlign w:val="top"/>
          </w:tcPr>
          <w:p>
            <w:pPr>
              <w:spacing w:after="0"/>
            </w:pPr>
            <w:r/>
            <w:r>
              <w:rPr>
                <w:rFonts w:ascii="Aptos" w:hAnsi="Aptos"/>
                <w:b w:val="0"/>
                <w:sz w:val="16"/>
              </w:rPr>
              <w:t>Assess risk and the specific gap, obtain qualified consultation or collaboration, add needed training or supervision, and modify or refer/transfer if safe care cannot be maintained This proportionate response protects access while testing whether supports can make continued care safe; it also preserves referral or higher care when supports are insufficient.</w:t>
            </w:r>
          </w:p>
        </w:tc>
        <w:tc>
          <w:tcPr>
            <w:tcW w:type="dxa" w:w="2520"/>
            <w:vAlign w:val="top"/>
          </w:tcPr>
          <w:p>
            <w:pPr>
              <w:spacing w:after="0"/>
            </w:pPr>
            <w:r/>
            <w:r>
              <w:rPr>
                <w:rFonts w:ascii="Aptos" w:hAnsi="Aptos"/>
                <w:b w:val="0"/>
                <w:sz w:val="16"/>
              </w:rPr>
              <w:t>The best exam answer often uses the least disruptive option that actually protects the client—not the least disruptive option at any cost.</w:t>
            </w:r>
          </w:p>
        </w:tc>
      </w:tr>
      <w:tr>
        <w:tc>
          <w:tcPr>
            <w:tcW w:type="dxa" w:w="2376"/>
            <w:vAlign w:val="top"/>
            <w:shd w:fill="F7F9FA"/>
          </w:tcPr>
          <w:p>
            <w:pPr>
              <w:spacing w:after="0"/>
            </w:pPr>
            <w:r/>
            <w:r>
              <w:rPr>
                <w:rFonts w:ascii="Aptos" w:hAnsi="Aptos"/>
                <w:b/>
                <w:sz w:val="16"/>
              </w:rPr>
              <w:t>Authorization and Community Consultation</w:t>
            </w:r>
          </w:p>
        </w:tc>
        <w:tc>
          <w:tcPr>
            <w:tcW w:type="dxa" w:w="5256"/>
            <w:vAlign w:val="top"/>
            <w:shd w:fill="F7F9FA"/>
          </w:tcPr>
          <w:p>
            <w:pPr>
              <w:spacing w:after="0"/>
            </w:pPr>
            <w:r/>
            <w:r>
              <w:rPr>
                <w:rFonts w:ascii="Aptos" w:hAnsi="Aptos"/>
                <w:b w:val="0"/>
                <w:sz w:val="16"/>
              </w:rPr>
              <w:t>The therapist can seek general, de-identified cultural knowledge or another resource while respecting the client’s refusal and confidentiality.</w:t>
            </w:r>
          </w:p>
        </w:tc>
        <w:tc>
          <w:tcPr>
            <w:tcW w:type="dxa" w:w="2520"/>
            <w:vAlign w:val="top"/>
            <w:shd w:fill="F7F9FA"/>
          </w:tcPr>
          <w:p>
            <w:pPr>
              <w:spacing w:after="0"/>
            </w:pPr>
            <w:r/>
            <w:r>
              <w:rPr>
                <w:rFonts w:ascii="Aptos" w:hAnsi="Aptos"/>
                <w:b w:val="0"/>
                <w:sz w:val="16"/>
              </w:rPr>
              <w:t>Distinguish valuable cultural knowledge from legal status as a treating health care professional.</w:t>
            </w:r>
          </w:p>
        </w:tc>
      </w:tr>
      <w:tr>
        <w:tc>
          <w:tcPr>
            <w:tcW w:type="dxa" w:w="2376"/>
            <w:vAlign w:val="top"/>
          </w:tcPr>
          <w:p>
            <w:pPr>
              <w:spacing w:after="0"/>
            </w:pPr>
            <w:r/>
            <w:r>
              <w:rPr>
                <w:rFonts w:ascii="Aptos" w:hAnsi="Aptos"/>
                <w:b/>
                <w:sz w:val="16"/>
              </w:rPr>
              <w:t>Integrated Risk, Supervision, Competence, and Consultation</w:t>
            </w:r>
          </w:p>
        </w:tc>
        <w:tc>
          <w:tcPr>
            <w:tcW w:type="dxa" w:w="5256"/>
            <w:vAlign w:val="top"/>
          </w:tcPr>
          <w:p>
            <w:pPr>
              <w:spacing w:after="0"/>
            </w:pPr>
            <w:r/>
            <w:r>
              <w:rPr>
                <w:rFonts w:ascii="Aptos" w:hAnsi="Aptos"/>
                <w:b w:val="0"/>
                <w:sz w:val="16"/>
              </w:rPr>
              <w:t>Assess immediate medical and safety risk, involve the approved supervisor promptly, obtain specialized consultation or collaboration as appropriate, arrange higher care or transfer if indicated, protect confidentiality, and document the APCC’s reasoning and actions This sequence addresses immediate risk first, restores required supervision, obtains issue-specific expertise, escalates the level of care when needed, and preserves accountability and documentation.</w:t>
            </w:r>
          </w:p>
        </w:tc>
        <w:tc>
          <w:tcPr>
            <w:tcW w:type="dxa" w:w="2520"/>
            <w:vAlign w:val="top"/>
          </w:tcPr>
          <w:p>
            <w:pPr>
              <w:spacing w:after="0"/>
            </w:pPr>
            <w:r/>
            <w:r>
              <w:rPr>
                <w:rFonts w:ascii="Aptos" w:hAnsi="Aptos"/>
                <w:b w:val="0"/>
                <w:sz w:val="16"/>
              </w:rPr>
              <w:t>Integrated questions reward correct ordering: risk → duty/supervision → competence support → continuity → confidentiality → documentation.</w:t>
            </w:r>
          </w:p>
        </w:tc>
      </w:tr>
    </w:tbl>
    <w:p>
      <w:pPr>
        <w:pStyle w:val="Heading2"/>
      </w:pPr>
      <w:r>
        <w:t>Exam Reasoning Checklist</w:t>
      </w:r>
    </w:p>
    <w:p>
      <w:pPr>
        <w:pStyle w:val="ListBullet"/>
        <w:spacing w:after="30"/>
      </w:pPr>
      <w:r>
        <w:t>Separate the function of consultation from the legal role of the treating clinician.</w:t>
      </w:r>
    </w:p>
    <w:p>
      <w:pPr>
        <w:pStyle w:val="ListBullet"/>
        <w:spacing w:after="30"/>
      </w:pPr>
      <w:r>
        <w:t>On the exam, “consult” rarely means “obey without analysis.”</w:t>
      </w:r>
    </w:p>
    <w:p>
      <w:pPr>
        <w:pStyle w:val="ListBullet"/>
        <w:spacing w:after="30"/>
      </w:pPr>
      <w:r>
        <w:t>Ask who remains involved in care and whether the arrangement actually changes providers.</w:t>
      </w:r>
    </w:p>
    <w:p>
      <w:pPr>
        <w:pStyle w:val="ListBullet"/>
        <w:spacing w:after="30"/>
      </w:pPr>
      <w:r>
        <w:t>When a supervisee appears, test formal supervision before rewarding peer consultation.</w:t>
      </w:r>
    </w:p>
    <w:p>
      <w:pPr>
        <w:pStyle w:val="ListBullet"/>
        <w:spacing w:after="30"/>
      </w:pPr>
      <w:r>
        <w:t>Avoid “always” and “never” answers in consultation-confidentiality questions unless a specific rule supports them.</w:t>
      </w:r>
    </w:p>
    <w:p>
      <w:pPr>
        <w:pStyle w:val="ListBullet"/>
        <w:spacing w:after="30"/>
      </w:pPr>
      <w:r>
        <w:t>Choose the response that protects the client while addressing the clinician factor directly and proportionately.</w:t>
      </w:r>
    </w:p>
    <w:p>
      <w:pPr>
        <w:pStyle w:val="ListBullet"/>
        <w:spacing w:after="30"/>
      </w:pPr>
      <w:r>
        <w:t>Match the consultant to the issue, not to the clinician’s comfort or desired answer.</w:t>
      </w:r>
    </w:p>
    <w:p>
      <w:pPr>
        <w:pStyle w:val="ListBullet"/>
        <w:spacing w:after="30"/>
      </w:pPr>
      <w:r>
        <w:t>Do not collapse “treatment exception” into “anything goes.” Analyze both permission and scope.</w:t>
      </w:r>
    </w:p>
    <w:p>
      <w:pPr>
        <w:pStyle w:val="Heading2"/>
      </w:pPr>
      <w:r>
        <w:t>Chapter Rapid Review</w:t>
      </w:r>
    </w:p>
    <w:p>
      <w:r>
        <w:rPr>
          <w:b/>
        </w:rPr>
        <w:t xml:space="preserve">Know these concepts: </w:t>
      </w:r>
      <w:r>
        <w:t>Purpose of Consultation; Responsibility After Consultation; Consultation vs. Referral; Consultation vs. Required Supervision; Confidentiality Check; Personal Reactions and Objectivity; Selecting a Consultant; Treatment Consultation and Disclosure; Documentation; Urgent Threat and Consultation; Individual Mandated-Reporting Duty; Consultation and Competence; Legal Consultation and Records Request; Conflicting Consultation; Access Limits and Safe Continuity; Authorization and Community Consultation; Integrated Risk, Supervision, Competence, and Consultation</w:t>
      </w:r>
    </w:p>
    <w:p>
      <w:r>
        <w:br w:type="page"/>
      </w:r>
    </w:p>
    <w:p>
      <w:pPr>
        <w:pStyle w:val="Heading2"/>
      </w:pPr>
      <w:r>
        <w:t>Chapter 5</w:t>
      </w:r>
    </w:p>
    <w:p>
      <w:pPr>
        <w:pStyle w:val="Heading1"/>
      </w:pPr>
      <w:r>
        <w:t>Clinical Supervision, Feedback, and Accountability</w:t>
      </w:r>
    </w:p>
    <w:tbl>
      <w:tblPr>
        <w:tblStyle w:val="TableGrid"/>
        <w:tblW w:type="auto" w:w="0"/>
        <w:jc w:val="center"/>
        <w:tblLook w:firstColumn="1" w:firstRow="1" w:lastColumn="0" w:lastRow="0" w:noHBand="0" w:noVBand="1" w:val="04A0"/>
      </w:tblPr>
      <w:tblGrid>
        <w:gridCol w:w="10368"/>
      </w:tblGrid>
      <w:tr>
        <w:tc>
          <w:tcPr>
            <w:tcW w:type="dxa" w:w="10368"/>
            <w:shd w:fill="E9F7F6"/>
            <w:vAlign w:val="top"/>
          </w:tcPr>
          <w:p>
            <w:pPr>
              <w:spacing w:after="0"/>
            </w:pPr>
            <w:r/>
            <w:r>
              <w:rPr>
                <w:rFonts w:ascii="Aptos" w:hAnsi="Aptos"/>
                <w:b/>
                <w:sz w:val="18"/>
              </w:rPr>
              <w:t>BIG IDEA | California’s current supervision framework defines supervision as responsibility for and control of service quality, which requires active monitoring rather than passive availability. California expressly distinguishes consultation or peer discussion from supervision and does not allow it to qualify as supervised experience.</w:t>
            </w:r>
          </w:p>
        </w:tc>
      </w:tr>
    </w:tbl>
    <w:p>
      <w:pPr>
        <w:pStyle w:val="Heading2"/>
      </w:pPr>
      <w:r>
        <w:t>What to Learn</w:t>
      </w:r>
    </w:p>
    <w:p>
      <w:pPr>
        <w:pStyle w:val="ListBullet"/>
        <w:spacing w:after="30"/>
      </w:pPr>
      <w:r>
        <w:t>Explain and apply Definition of Clinical Supervision.</w:t>
      </w:r>
    </w:p>
    <w:p>
      <w:pPr>
        <w:pStyle w:val="ListBullet"/>
        <w:spacing w:after="30"/>
      </w:pPr>
      <w:r>
        <w:t>Explain and apply Supervision vs. Consultation.</w:t>
      </w:r>
    </w:p>
    <w:p>
      <w:pPr>
        <w:pStyle w:val="ListBullet"/>
        <w:spacing w:after="30"/>
      </w:pPr>
      <w:r>
        <w:t>Explain and apply Agreement and Supervisory Plan.</w:t>
      </w:r>
    </w:p>
    <w:p>
      <w:pPr>
        <w:pStyle w:val="ListBullet"/>
        <w:spacing w:after="30"/>
      </w:pPr>
      <w:r>
        <w:t>Explain and apply Performance Assessment.</w:t>
      </w:r>
    </w:p>
    <w:p>
      <w:pPr>
        <w:pStyle w:val="ListBullet"/>
        <w:spacing w:after="30"/>
      </w:pPr>
      <w:r>
        <w:t>Explain and apply Regular Feedback.</w:t>
      </w:r>
    </w:p>
    <w:p>
      <w:pPr>
        <w:pStyle w:val="ListBullet"/>
        <w:spacing w:after="30"/>
      </w:pPr>
      <w:r>
        <w:t>Explain and apply Associate Supervision Units.</w:t>
      </w:r>
    </w:p>
    <w:p>
      <w:pPr>
        <w:pStyle w:val="ListBullet"/>
        <w:spacing w:after="30"/>
      </w:pPr>
      <w:r>
        <w:t>Explain and apply Prompt Disclosure and Risk.</w:t>
      </w:r>
    </w:p>
    <w:p>
      <w:pPr>
        <w:pStyle w:val="Heading2"/>
      </w:pPr>
      <w:r>
        <w:t>Core Study Rules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76"/>
            <w:vAlign w:val="top"/>
            <w:shd w:fill="17365D"/>
          </w:tcPr>
          <w:p>
            <w:pPr>
              <w:spacing w:after="0"/>
            </w:pPr>
            <w:r/>
            <w:r>
              <w:rPr>
                <w:rFonts w:ascii="Aptos" w:hAnsi="Aptos"/>
                <w:b/>
                <w:color w:val="FFFFFF"/>
                <w:sz w:val="17"/>
              </w:rPr>
              <w:t>Concept</w:t>
            </w:r>
          </w:p>
        </w:tc>
        <w:tc>
          <w:tcPr>
            <w:tcW w:type="dxa" w:w="5256"/>
            <w:vAlign w:val="top"/>
            <w:shd w:fill="17365D"/>
          </w:tcPr>
          <w:p>
            <w:pPr>
              <w:spacing w:after="0"/>
            </w:pPr>
            <w:r/>
            <w:r>
              <w:rPr>
                <w:rFonts w:ascii="Aptos" w:hAnsi="Aptos"/>
                <w:b/>
                <w:color w:val="FFFFFF"/>
                <w:sz w:val="17"/>
              </w:rPr>
              <w:t>Controlling Study Rule</w:t>
            </w:r>
          </w:p>
        </w:tc>
        <w:tc>
          <w:tcPr>
            <w:tcW w:type="dxa" w:w="2520"/>
            <w:vAlign w:val="top"/>
            <w:shd w:fill="17365D"/>
          </w:tcPr>
          <w:p>
            <w:pPr>
              <w:spacing w:after="0"/>
            </w:pPr>
            <w:r/>
            <w:r>
              <w:rPr>
                <w:rFonts w:ascii="Aptos" w:hAnsi="Aptos"/>
                <w:b/>
                <w:color w:val="FFFFFF"/>
                <w:sz w:val="17"/>
              </w:rPr>
              <w:t>Memory Cue</w:t>
            </w:r>
          </w:p>
        </w:tc>
      </w:tr>
      <w:tr>
        <w:tc>
          <w:tcPr>
            <w:tcW w:type="dxa" w:w="2376"/>
            <w:vAlign w:val="top"/>
          </w:tcPr>
          <w:p>
            <w:pPr>
              <w:spacing w:after="0"/>
            </w:pPr>
            <w:r/>
            <w:r>
              <w:rPr>
                <w:rFonts w:ascii="Aptos" w:hAnsi="Aptos"/>
                <w:b/>
                <w:sz w:val="16"/>
              </w:rPr>
              <w:t>Definition of Clinical Supervision</w:t>
            </w:r>
          </w:p>
        </w:tc>
        <w:tc>
          <w:tcPr>
            <w:tcW w:type="dxa" w:w="5256"/>
            <w:vAlign w:val="top"/>
          </w:tcPr>
          <w:p>
            <w:pPr>
              <w:spacing w:after="0"/>
            </w:pPr>
            <w:r/>
            <w:r>
              <w:rPr>
                <w:rFonts w:ascii="Aptos" w:hAnsi="Aptos"/>
                <w:b w:val="0"/>
                <w:sz w:val="16"/>
              </w:rPr>
              <w:t>California’s current supervision framework defines supervision as responsibility for and control of service quality, which requires active monitoring rather than passive availability.</w:t>
            </w:r>
          </w:p>
        </w:tc>
        <w:tc>
          <w:tcPr>
            <w:tcW w:type="dxa" w:w="2520"/>
            <w:vAlign w:val="top"/>
          </w:tcPr>
          <w:p>
            <w:pPr>
              <w:spacing w:after="0"/>
            </w:pPr>
            <w:r/>
            <w:r>
              <w:rPr>
                <w:rFonts w:ascii="Aptos" w:hAnsi="Aptos"/>
                <w:b w:val="0"/>
                <w:sz w:val="16"/>
              </w:rPr>
              <w:t>When the stem asks for a legal definition, choose the answer that includes responsibility and control of quality—not merely advice, seniority, or management.</w:t>
            </w:r>
          </w:p>
        </w:tc>
      </w:tr>
      <w:tr>
        <w:tc>
          <w:tcPr>
            <w:tcW w:type="dxa" w:w="2376"/>
            <w:vAlign w:val="top"/>
            <w:shd w:fill="F7F9FA"/>
          </w:tcPr>
          <w:p>
            <w:pPr>
              <w:spacing w:after="0"/>
            </w:pPr>
            <w:r/>
            <w:r>
              <w:rPr>
                <w:rFonts w:ascii="Aptos" w:hAnsi="Aptos"/>
                <w:b/>
                <w:sz w:val="16"/>
              </w:rPr>
              <w:t>Supervision vs. Consultation</w:t>
            </w:r>
          </w:p>
        </w:tc>
        <w:tc>
          <w:tcPr>
            <w:tcW w:type="dxa" w:w="5256"/>
            <w:vAlign w:val="top"/>
            <w:shd w:fill="F7F9FA"/>
          </w:tcPr>
          <w:p>
            <w:pPr>
              <w:spacing w:after="0"/>
            </w:pPr>
            <w:r/>
            <w:r>
              <w:rPr>
                <w:rFonts w:ascii="Aptos" w:hAnsi="Aptos"/>
                <w:b w:val="0"/>
                <w:sz w:val="16"/>
              </w:rPr>
              <w:t>California expressly distinguishes consultation or peer discussion from supervision and does not allow it to qualify as supervised experience.</w:t>
            </w:r>
          </w:p>
        </w:tc>
        <w:tc>
          <w:tcPr>
            <w:tcW w:type="dxa" w:w="2520"/>
            <w:vAlign w:val="top"/>
            <w:shd w:fill="F7F9FA"/>
          </w:tcPr>
          <w:p>
            <w:pPr>
              <w:spacing w:after="0"/>
            </w:pPr>
            <w:r/>
            <w:r>
              <w:rPr>
                <w:rFonts w:ascii="Aptos" w:hAnsi="Aptos"/>
                <w:b w:val="0"/>
                <w:sz w:val="16"/>
              </w:rPr>
              <w:t>Do not let “licensed,” “helpful,” or “two hours” distract you. Look for the legal supervisory relationship and responsibility for quality.</w:t>
            </w:r>
          </w:p>
        </w:tc>
      </w:tr>
      <w:tr>
        <w:tc>
          <w:tcPr>
            <w:tcW w:type="dxa" w:w="2376"/>
            <w:vAlign w:val="top"/>
          </w:tcPr>
          <w:p>
            <w:pPr>
              <w:spacing w:after="0"/>
            </w:pPr>
            <w:r/>
            <w:r>
              <w:rPr>
                <w:rFonts w:ascii="Aptos" w:hAnsi="Aptos"/>
                <w:b/>
                <w:sz w:val="16"/>
              </w:rPr>
              <w:t>Agreement and Supervisory Plan</w:t>
            </w:r>
          </w:p>
        </w:tc>
        <w:tc>
          <w:tcPr>
            <w:tcW w:type="dxa" w:w="5256"/>
            <w:vAlign w:val="top"/>
          </w:tcPr>
          <w:p>
            <w:pPr>
              <w:spacing w:after="0"/>
            </w:pPr>
            <w:r/>
            <w:r>
              <w:rPr>
                <w:rFonts w:ascii="Aptos" w:hAnsi="Aptos"/>
                <w:b w:val="0"/>
                <w:sz w:val="16"/>
              </w:rPr>
              <w:t>The current BBS form requires the Supervision Agreement and collaborative Supervisory Plan within 60 days of commencing supervision.</w:t>
            </w:r>
          </w:p>
        </w:tc>
        <w:tc>
          <w:tcPr>
            <w:tcW w:type="dxa" w:w="2520"/>
            <w:vAlign w:val="top"/>
          </w:tcPr>
          <w:p>
            <w:pPr>
              <w:spacing w:after="0"/>
            </w:pPr>
            <w:r/>
            <w:r>
              <w:rPr>
                <w:rFonts w:ascii="Aptos" w:hAnsi="Aptos"/>
                <w:b w:val="0"/>
                <w:sz w:val="16"/>
              </w:rPr>
              <w:t>Associate “60 days” with establishing the supervisory structure: agreement, plan, and—when applicable—supervisor self-assessment or videoconference appropriateness documentation.</w:t>
            </w:r>
          </w:p>
        </w:tc>
      </w:tr>
      <w:tr>
        <w:tc>
          <w:tcPr>
            <w:tcW w:type="dxa" w:w="2376"/>
            <w:vAlign w:val="top"/>
            <w:shd w:fill="F7F9FA"/>
          </w:tcPr>
          <w:p>
            <w:pPr>
              <w:spacing w:after="0"/>
            </w:pPr>
            <w:r/>
            <w:r>
              <w:rPr>
                <w:rFonts w:ascii="Aptos" w:hAnsi="Aptos"/>
                <w:b/>
                <w:sz w:val="16"/>
              </w:rPr>
              <w:t>Performance Assessment</w:t>
            </w:r>
          </w:p>
        </w:tc>
        <w:tc>
          <w:tcPr>
            <w:tcW w:type="dxa" w:w="5256"/>
            <w:vAlign w:val="top"/>
            <w:shd w:fill="F7F9FA"/>
          </w:tcPr>
          <w:p>
            <w:pPr>
              <w:spacing w:after="0"/>
            </w:pPr>
            <w:r/>
            <w:r>
              <w:rPr>
                <w:rFonts w:ascii="Aptos" w:hAnsi="Aptos"/>
                <w:b w:val="0"/>
                <w:sz w:val="16"/>
              </w:rPr>
              <w:t>The supervisor assesses strengths and limitations at least annually and at completion or termination and provides a copy to the supervisee.</w:t>
            </w:r>
          </w:p>
        </w:tc>
        <w:tc>
          <w:tcPr>
            <w:tcW w:type="dxa" w:w="2520"/>
            <w:vAlign w:val="top"/>
            <w:shd w:fill="F7F9FA"/>
          </w:tcPr>
          <w:p>
            <w:pPr>
              <w:spacing w:after="0"/>
            </w:pPr>
            <w:r/>
            <w:r>
              <w:rPr>
                <w:rFonts w:ascii="Aptos" w:hAnsi="Aptos"/>
                <w:b w:val="0"/>
                <w:sz w:val="16"/>
              </w:rPr>
              <w:t>Separate documentation of hours from evaluation of performance. The log is weekly; the formal strengths-and-limitations assessment is at least annual and at the end.</w:t>
            </w:r>
          </w:p>
        </w:tc>
      </w:tr>
      <w:tr>
        <w:tc>
          <w:tcPr>
            <w:tcW w:type="dxa" w:w="2376"/>
            <w:vAlign w:val="top"/>
          </w:tcPr>
          <w:p>
            <w:pPr>
              <w:spacing w:after="0"/>
            </w:pPr>
            <w:r/>
            <w:r>
              <w:rPr>
                <w:rFonts w:ascii="Aptos" w:hAnsi="Aptos"/>
                <w:b/>
                <w:sz w:val="16"/>
              </w:rPr>
              <w:t>Regular Feedback</w:t>
            </w:r>
          </w:p>
        </w:tc>
        <w:tc>
          <w:tcPr>
            <w:tcW w:type="dxa" w:w="5256"/>
            <w:vAlign w:val="top"/>
          </w:tcPr>
          <w:p>
            <w:pPr>
              <w:spacing w:after="0"/>
            </w:pPr>
            <w:r/>
            <w:r>
              <w:rPr>
                <w:rFonts w:ascii="Aptos" w:hAnsi="Aptos"/>
                <w:b w:val="0"/>
                <w:sz w:val="16"/>
              </w:rPr>
              <w:t>Specific, timely, behavior-based feedback paired with correction and follow-up is proportionate and supports both competence and client protection.</w:t>
            </w:r>
          </w:p>
        </w:tc>
        <w:tc>
          <w:tcPr>
            <w:tcW w:type="dxa" w:w="2520"/>
            <w:vAlign w:val="top"/>
          </w:tcPr>
          <w:p>
            <w:pPr>
              <w:spacing w:after="0"/>
            </w:pPr>
            <w:r/>
            <w:r>
              <w:rPr>
                <w:rFonts w:ascii="Aptos" w:hAnsi="Aptos"/>
                <w:b w:val="0"/>
                <w:sz w:val="16"/>
              </w:rPr>
              <w:t>For ordinary performance concerns, look for specific feedback plus a measurable correction and follow-up—not avoidance or an unnecessarily extreme response.</w:t>
            </w:r>
          </w:p>
        </w:tc>
      </w:tr>
      <w:tr>
        <w:tc>
          <w:tcPr>
            <w:tcW w:type="dxa" w:w="2376"/>
            <w:vAlign w:val="top"/>
            <w:shd w:fill="F7F9FA"/>
          </w:tcPr>
          <w:p>
            <w:pPr>
              <w:spacing w:after="0"/>
            </w:pPr>
            <w:r/>
            <w:r>
              <w:rPr>
                <w:rFonts w:ascii="Aptos" w:hAnsi="Aptos"/>
                <w:b/>
                <w:sz w:val="16"/>
              </w:rPr>
              <w:t>Associate Supervision Units</w:t>
            </w:r>
          </w:p>
        </w:tc>
        <w:tc>
          <w:tcPr>
            <w:tcW w:type="dxa" w:w="5256"/>
            <w:vAlign w:val="top"/>
            <w:shd w:fill="F7F9FA"/>
          </w:tcPr>
          <w:p>
            <w:pPr>
              <w:spacing w:after="0"/>
            </w:pPr>
            <w:r/>
            <w:r>
              <w:rPr>
                <w:rFonts w:ascii="Aptos" w:hAnsi="Aptos"/>
                <w:b w:val="0"/>
                <w:sz w:val="16"/>
              </w:rPr>
              <w:t>For an associate, 12 direct clinical counseling hours in one setting trigger two total units for that week and setting.</w:t>
            </w:r>
          </w:p>
        </w:tc>
        <w:tc>
          <w:tcPr>
            <w:tcW w:type="dxa" w:w="2520"/>
            <w:vAlign w:val="top"/>
            <w:shd w:fill="F7F9FA"/>
          </w:tcPr>
          <w:p>
            <w:pPr>
              <w:spacing w:after="0"/>
            </w:pPr>
            <w:r/>
            <w:r>
              <w:rPr>
                <w:rFonts w:ascii="Aptos" w:hAnsi="Aptos"/>
                <w:b w:val="0"/>
                <w:sz w:val="16"/>
              </w:rPr>
              <w:t>Count by week and by setting. For associates: one base unit, then add one unit when direct clinical counseling is greater than 10.</w:t>
            </w:r>
          </w:p>
        </w:tc>
      </w:tr>
      <w:tr>
        <w:tc>
          <w:tcPr>
            <w:tcW w:type="dxa" w:w="2376"/>
            <w:vAlign w:val="top"/>
          </w:tcPr>
          <w:p>
            <w:pPr>
              <w:spacing w:after="0"/>
            </w:pPr>
            <w:r/>
            <w:r>
              <w:rPr>
                <w:rFonts w:ascii="Aptos" w:hAnsi="Aptos"/>
                <w:b/>
                <w:sz w:val="16"/>
              </w:rPr>
              <w:t>Prompt Disclosure and Risk</w:t>
            </w:r>
          </w:p>
        </w:tc>
        <w:tc>
          <w:tcPr>
            <w:tcW w:type="dxa" w:w="5256"/>
            <w:vAlign w:val="top"/>
          </w:tcPr>
          <w:p>
            <w:pPr>
              <w:spacing w:after="0"/>
            </w:pPr>
            <w:r/>
            <w:r>
              <w:rPr>
                <w:rFonts w:ascii="Aptos" w:hAnsi="Aptos"/>
                <w:b w:val="0"/>
                <w:sz w:val="16"/>
              </w:rPr>
              <w:t>Client safety and accurate supervisory disclosure cannot wait. The APCC should address current risk and use the established supervisor or qualified alternative on-call procedure promptly.</w:t>
            </w:r>
          </w:p>
        </w:tc>
        <w:tc>
          <w:tcPr>
            <w:tcW w:type="dxa" w:w="2520"/>
            <w:vAlign w:val="top"/>
          </w:tcPr>
          <w:p>
            <w:pPr>
              <w:spacing w:after="0"/>
            </w:pPr>
            <w:r/>
            <w:r>
              <w:rPr>
                <w:rFonts w:ascii="Aptos" w:hAnsi="Aptos"/>
                <w:b w:val="0"/>
                <w:sz w:val="16"/>
              </w:rPr>
              <w:t>When the facts include possible immediate danger, choose safety action and prompt qualified supervisory contact before routine scheduling concerns.</w:t>
            </w:r>
          </w:p>
        </w:tc>
      </w:tr>
      <w:tr>
        <w:tc>
          <w:tcPr>
            <w:tcW w:type="dxa" w:w="2376"/>
            <w:vAlign w:val="top"/>
            <w:shd w:fill="F7F9FA"/>
          </w:tcPr>
          <w:p>
            <w:pPr>
              <w:spacing w:after="0"/>
            </w:pPr>
            <w:r/>
            <w:r>
              <w:rPr>
                <w:rFonts w:ascii="Aptos" w:hAnsi="Aptos"/>
                <w:b/>
                <w:sz w:val="16"/>
              </w:rPr>
              <w:t>Videoconference Supervision</w:t>
            </w:r>
          </w:p>
        </w:tc>
        <w:tc>
          <w:tcPr>
            <w:tcW w:type="dxa" w:w="5256"/>
            <w:vAlign w:val="top"/>
            <w:shd w:fill="F7F9FA"/>
          </w:tcPr>
          <w:p>
            <w:pPr>
              <w:spacing w:after="0"/>
            </w:pPr>
            <w:r/>
            <w:r>
              <w:rPr>
                <w:rFonts w:ascii="Aptos" w:hAnsi="Aptos"/>
                <w:b w:val="0"/>
                <w:sz w:val="16"/>
              </w:rPr>
              <w:t>The supervisor must determine and document appropriateness and preserve confidentiality. Telephone-only contact does not count toward licensure supervision.</w:t>
            </w:r>
          </w:p>
        </w:tc>
        <w:tc>
          <w:tcPr>
            <w:tcW w:type="dxa" w:w="2520"/>
            <w:vAlign w:val="top"/>
            <w:shd w:fill="F7F9FA"/>
          </w:tcPr>
          <w:p>
            <w:pPr>
              <w:spacing w:after="0"/>
            </w:pPr>
            <w:r/>
            <w:r>
              <w:rPr>
                <w:rFonts w:ascii="Aptos" w:hAnsi="Aptos"/>
                <w:b w:val="0"/>
                <w:sz w:val="16"/>
              </w:rPr>
              <w:t>Technology questions turn on the legally recognized format and documented appropriateness—not convenience or duration alone.</w:t>
            </w:r>
          </w:p>
        </w:tc>
      </w:tr>
      <w:tr>
        <w:tc>
          <w:tcPr>
            <w:tcW w:type="dxa" w:w="2376"/>
            <w:vAlign w:val="top"/>
          </w:tcPr>
          <w:p>
            <w:pPr>
              <w:spacing w:after="0"/>
            </w:pPr>
            <w:r/>
            <w:r>
              <w:rPr>
                <w:rFonts w:ascii="Aptos" w:hAnsi="Aptos"/>
                <w:b/>
                <w:sz w:val="16"/>
              </w:rPr>
              <w:t>Recording Review and Consent</w:t>
            </w:r>
          </w:p>
        </w:tc>
        <w:tc>
          <w:tcPr>
            <w:tcW w:type="dxa" w:w="5256"/>
            <w:vAlign w:val="top"/>
          </w:tcPr>
          <w:p>
            <w:pPr>
              <w:spacing w:after="0"/>
            </w:pPr>
            <w:r/>
            <w:r>
              <w:rPr>
                <w:rFonts w:ascii="Aptos" w:hAnsi="Aptos"/>
                <w:b w:val="0"/>
                <w:sz w:val="16"/>
              </w:rPr>
              <w:t>Direct observation or review of audio or video recordings may be used in an appropriate amount with the client’s written consent and secure handling.</w:t>
            </w:r>
          </w:p>
        </w:tc>
        <w:tc>
          <w:tcPr>
            <w:tcW w:type="dxa" w:w="2520"/>
            <w:vAlign w:val="top"/>
          </w:tcPr>
          <w:p>
            <w:pPr>
              <w:spacing w:after="0"/>
            </w:pPr>
            <w:r/>
            <w:r>
              <w:rPr>
                <w:rFonts w:ascii="Aptos" w:hAnsi="Aptos"/>
                <w:b w:val="0"/>
                <w:sz w:val="16"/>
              </w:rPr>
              <w:t>Distinguish ordinary case discussion from recording review. The explicit clue “audio or video recording” points to written client consent.</w:t>
            </w:r>
          </w:p>
        </w:tc>
      </w:tr>
      <w:tr>
        <w:tc>
          <w:tcPr>
            <w:tcW w:type="dxa" w:w="2376"/>
            <w:vAlign w:val="top"/>
            <w:shd w:fill="F7F9FA"/>
          </w:tcPr>
          <w:p>
            <w:pPr>
              <w:spacing w:after="0"/>
            </w:pPr>
            <w:r/>
            <w:r>
              <w:rPr>
                <w:rFonts w:ascii="Aptos" w:hAnsi="Aptos"/>
                <w:b/>
                <w:sz w:val="16"/>
              </w:rPr>
              <w:t>Corrective Feedback and Follow-Through</w:t>
            </w:r>
          </w:p>
        </w:tc>
        <w:tc>
          <w:tcPr>
            <w:tcW w:type="dxa" w:w="5256"/>
            <w:vAlign w:val="top"/>
            <w:shd w:fill="F7F9FA"/>
          </w:tcPr>
          <w:p>
            <w:pPr>
              <w:spacing w:after="0"/>
            </w:pPr>
            <w:r/>
            <w:r>
              <w:rPr>
                <w:rFonts w:ascii="Aptos" w:hAnsi="Aptos"/>
                <w:b w:val="0"/>
                <w:sz w:val="16"/>
              </w:rPr>
              <w:t>Specific evidence, clear standards, measurable expectations, and follow-up make feedback educational, fair, and protective.</w:t>
            </w:r>
          </w:p>
        </w:tc>
        <w:tc>
          <w:tcPr>
            <w:tcW w:type="dxa" w:w="2520"/>
            <w:vAlign w:val="top"/>
            <w:shd w:fill="F7F9FA"/>
          </w:tcPr>
          <w:p>
            <w:pPr>
              <w:spacing w:after="0"/>
            </w:pPr>
            <w:r/>
            <w:r>
              <w:rPr>
                <w:rFonts w:ascii="Aptos" w:hAnsi="Aptos"/>
                <w:b w:val="0"/>
                <w:sz w:val="16"/>
              </w:rPr>
              <w:t>The best remediation answer includes behavior, standard, action, timeline, and reassessment.</w:t>
            </w:r>
          </w:p>
        </w:tc>
      </w:tr>
      <w:tr>
        <w:tc>
          <w:tcPr>
            <w:tcW w:type="dxa" w:w="2376"/>
            <w:vAlign w:val="top"/>
          </w:tcPr>
          <w:p>
            <w:pPr>
              <w:spacing w:after="0"/>
            </w:pPr>
            <w:r/>
            <w:r>
              <w:rPr>
                <w:rFonts w:ascii="Aptos" w:hAnsi="Aptos"/>
                <w:b/>
                <w:sz w:val="16"/>
              </w:rPr>
              <w:t>Questionable Supervisory Direction</w:t>
            </w:r>
          </w:p>
        </w:tc>
        <w:tc>
          <w:tcPr>
            <w:tcW w:type="dxa" w:w="5256"/>
            <w:vAlign w:val="top"/>
          </w:tcPr>
          <w:p>
            <w:pPr>
              <w:spacing w:after="0"/>
            </w:pPr>
            <w:r/>
            <w:r>
              <w:rPr>
                <w:rFonts w:ascii="Aptos" w:hAnsi="Aptos"/>
                <w:b w:val="0"/>
                <w:sz w:val="16"/>
              </w:rPr>
              <w:t>The APCC should not obey blindly or act secretly. Clarification, immediate client protection, current authority, and appropriate escalation preserve both accountability and the supervisory structure.</w:t>
            </w:r>
          </w:p>
        </w:tc>
        <w:tc>
          <w:tcPr>
            <w:tcW w:type="dxa" w:w="2520"/>
            <w:vAlign w:val="top"/>
          </w:tcPr>
          <w:p>
            <w:pPr>
              <w:spacing w:after="0"/>
            </w:pPr>
            <w:r/>
            <w:r>
              <w:rPr>
                <w:rFonts w:ascii="Aptos" w:hAnsi="Aptos"/>
                <w:b w:val="0"/>
                <w:sz w:val="16"/>
              </w:rPr>
              <w:t>Avoid the paired extremes of blind obedience and silent defiance. Choose respectful clarification plus protection and escalation.</w:t>
            </w:r>
          </w:p>
        </w:tc>
      </w:tr>
      <w:tr>
        <w:tc>
          <w:tcPr>
            <w:tcW w:type="dxa" w:w="2376"/>
            <w:vAlign w:val="top"/>
            <w:shd w:fill="F7F9FA"/>
          </w:tcPr>
          <w:p>
            <w:pPr>
              <w:spacing w:after="0"/>
            </w:pPr>
            <w:r/>
            <w:r>
              <w:rPr>
                <w:rFonts w:ascii="Aptos" w:hAnsi="Aptos"/>
                <w:b/>
                <w:sz w:val="16"/>
              </w:rPr>
              <w:t>Individualized Supervisory Plan</w:t>
            </w:r>
          </w:p>
        </w:tc>
        <w:tc>
          <w:tcPr>
            <w:tcW w:type="dxa" w:w="5256"/>
            <w:vAlign w:val="top"/>
            <w:shd w:fill="F7F9FA"/>
          </w:tcPr>
          <w:p>
            <w:pPr>
              <w:spacing w:after="0"/>
            </w:pPr>
            <w:r/>
            <w:r>
              <w:rPr>
                <w:rFonts w:ascii="Aptos" w:hAnsi="Aptos"/>
                <w:b w:val="0"/>
                <w:sz w:val="16"/>
              </w:rPr>
              <w:t>Collaboration, specificity, oversight, feedback, and assessment make the plan meaningful and consistent with current BBS requirements.</w:t>
            </w:r>
          </w:p>
        </w:tc>
        <w:tc>
          <w:tcPr>
            <w:tcW w:type="dxa" w:w="2520"/>
            <w:vAlign w:val="top"/>
            <w:shd w:fill="F7F9FA"/>
          </w:tcPr>
          <w:p>
            <w:pPr>
              <w:spacing w:after="0"/>
            </w:pPr>
            <w:r/>
            <w:r>
              <w:rPr>
                <w:rFonts w:ascii="Aptos" w:hAnsi="Aptos"/>
                <w:b w:val="0"/>
                <w:sz w:val="16"/>
              </w:rPr>
              <w:t>Look for a plan that is collaborative, individualized, measurable, and connected to ongoing evaluation—not a generic or automatic-signature document.</w:t>
            </w:r>
          </w:p>
        </w:tc>
      </w:tr>
      <w:tr>
        <w:tc>
          <w:tcPr>
            <w:tcW w:type="dxa" w:w="2376"/>
            <w:vAlign w:val="top"/>
          </w:tcPr>
          <w:p>
            <w:pPr>
              <w:spacing w:after="0"/>
            </w:pPr>
            <w:r/>
            <w:r>
              <w:rPr>
                <w:rFonts w:ascii="Aptos" w:hAnsi="Aptos"/>
                <w:b/>
                <w:sz w:val="16"/>
              </w:rPr>
              <w:t>Refusal to Sign Future Hours</w:t>
            </w:r>
          </w:p>
        </w:tc>
        <w:tc>
          <w:tcPr>
            <w:tcW w:type="dxa" w:w="5256"/>
            <w:vAlign w:val="top"/>
          </w:tcPr>
          <w:p>
            <w:pPr>
              <w:spacing w:after="0"/>
            </w:pPr>
            <w:r/>
            <w:r>
              <w:rPr>
                <w:rFonts w:ascii="Aptos" w:hAnsi="Aptos"/>
                <w:b w:val="0"/>
                <w:sz w:val="16"/>
              </w:rPr>
              <w:t>The current BBS Supervision Agreement requires at least one week of prior written notice before the supervisor refuses further hours and protects good-faith hours when notice was not given.</w:t>
            </w:r>
          </w:p>
        </w:tc>
        <w:tc>
          <w:tcPr>
            <w:tcW w:type="dxa" w:w="2520"/>
            <w:vAlign w:val="top"/>
          </w:tcPr>
          <w:p>
            <w:pPr>
              <w:spacing w:after="0"/>
            </w:pPr>
            <w:r/>
            <w:r>
              <w:rPr>
                <w:rFonts w:ascii="Aptos" w:hAnsi="Aptos"/>
                <w:b w:val="0"/>
                <w:sz w:val="16"/>
              </w:rPr>
              <w:t>This is a precise notice rule. Do not replace it with broad assumptions about supervisor discretion or automatic loss of hours.</w:t>
            </w:r>
          </w:p>
        </w:tc>
      </w:tr>
      <w:tr>
        <w:tc>
          <w:tcPr>
            <w:tcW w:type="dxa" w:w="2376"/>
            <w:vAlign w:val="top"/>
            <w:shd w:fill="F7F9FA"/>
          </w:tcPr>
          <w:p>
            <w:pPr>
              <w:spacing w:after="0"/>
            </w:pPr>
            <w:r/>
            <w:r>
              <w:rPr>
                <w:rFonts w:ascii="Aptos" w:hAnsi="Aptos"/>
                <w:b/>
                <w:sz w:val="16"/>
              </w:rPr>
              <w:t>Productivity Pressure and Competence</w:t>
            </w:r>
          </w:p>
        </w:tc>
        <w:tc>
          <w:tcPr>
            <w:tcW w:type="dxa" w:w="5256"/>
            <w:vAlign w:val="top"/>
            <w:shd w:fill="F7F9FA"/>
          </w:tcPr>
          <w:p>
            <w:pPr>
              <w:spacing w:after="0"/>
            </w:pPr>
            <w:r/>
            <w:r>
              <w:rPr>
                <w:rFonts w:ascii="Aptos" w:hAnsi="Aptos"/>
                <w:b w:val="0"/>
                <w:sz w:val="16"/>
              </w:rPr>
              <w:t>The response integrates competence, risk, supervision intensity, assignment limits, and organizational escalation while preserving client protection.</w:t>
            </w:r>
          </w:p>
        </w:tc>
        <w:tc>
          <w:tcPr>
            <w:tcW w:type="dxa" w:w="2520"/>
            <w:vAlign w:val="top"/>
            <w:shd w:fill="F7F9FA"/>
          </w:tcPr>
          <w:p>
            <w:pPr>
              <w:spacing w:after="0"/>
            </w:pPr>
            <w:r/>
            <w:r>
              <w:rPr>
                <w:rFonts w:ascii="Aptos" w:hAnsi="Aptos"/>
                <w:b w:val="0"/>
                <w:sz w:val="16"/>
              </w:rPr>
              <w:t>When administrative pressure conflicts with client protection, the supervisor’s quality-control and gatekeeping duties control the clinical response.</w:t>
            </w:r>
          </w:p>
        </w:tc>
      </w:tr>
      <w:tr>
        <w:tc>
          <w:tcPr>
            <w:tcW w:type="dxa" w:w="2376"/>
            <w:vAlign w:val="top"/>
          </w:tcPr>
          <w:p>
            <w:pPr>
              <w:spacing w:after="0"/>
            </w:pPr>
            <w:r/>
            <w:r>
              <w:rPr>
                <w:rFonts w:ascii="Aptos" w:hAnsi="Aptos"/>
                <w:b/>
                <w:sz w:val="16"/>
              </w:rPr>
              <w:t>Countertransference and Accurate Reporting</w:t>
            </w:r>
          </w:p>
        </w:tc>
        <w:tc>
          <w:tcPr>
            <w:tcW w:type="dxa" w:w="5256"/>
            <w:vAlign w:val="top"/>
          </w:tcPr>
          <w:p>
            <w:pPr>
              <w:spacing w:after="0"/>
            </w:pPr>
            <w:r/>
            <w:r>
              <w:rPr>
                <w:rFonts w:ascii="Aptos" w:hAnsi="Aptos"/>
                <w:b w:val="0"/>
                <w:sz w:val="16"/>
              </w:rPr>
              <w:t>Accurate reporting, reflection on countertransference, and a clinically grounded change in treatment or supervision address both accountability and client welfare.</w:t>
            </w:r>
          </w:p>
        </w:tc>
        <w:tc>
          <w:tcPr>
            <w:tcW w:type="dxa" w:w="2520"/>
            <w:vAlign w:val="top"/>
          </w:tcPr>
          <w:p>
            <w:pPr>
              <w:spacing w:after="0"/>
            </w:pPr>
            <w:r/>
            <w:r>
              <w:rPr>
                <w:rFonts w:ascii="Aptos" w:hAnsi="Aptos"/>
                <w:b w:val="0"/>
                <w:sz w:val="16"/>
              </w:rPr>
              <w:t>Personal reactions become an exam issue when they alter judgment or disclosure. Choose candor, self-awareness, and a client-centered correction.</w:t>
            </w:r>
          </w:p>
        </w:tc>
      </w:tr>
      <w:tr>
        <w:tc>
          <w:tcPr>
            <w:tcW w:type="dxa" w:w="2376"/>
            <w:vAlign w:val="top"/>
            <w:shd w:fill="F7F9FA"/>
          </w:tcPr>
          <w:p>
            <w:pPr>
              <w:spacing w:after="0"/>
            </w:pPr>
            <w:r/>
            <w:r>
              <w:rPr>
                <w:rFonts w:ascii="Aptos" w:hAnsi="Aptos"/>
                <w:b/>
                <w:sz w:val="16"/>
              </w:rPr>
              <w:t>Supervisor Competence</w:t>
            </w:r>
          </w:p>
        </w:tc>
        <w:tc>
          <w:tcPr>
            <w:tcW w:type="dxa" w:w="5256"/>
            <w:vAlign w:val="top"/>
            <w:shd w:fill="F7F9FA"/>
          </w:tcPr>
          <w:p>
            <w:pPr>
              <w:spacing w:after="0"/>
            </w:pPr>
            <w:r/>
            <w:r>
              <w:rPr>
                <w:rFonts w:ascii="Aptos" w:hAnsi="Aptos"/>
                <w:b w:val="0"/>
                <w:sz w:val="16"/>
              </w:rPr>
              <w:t>Supervisors must be competent in the clinical areas and techniques being supervised. Qualified additional oversight and temporary limits are proportionate to the risk.</w:t>
            </w:r>
          </w:p>
        </w:tc>
        <w:tc>
          <w:tcPr>
            <w:tcW w:type="dxa" w:w="2520"/>
            <w:vAlign w:val="top"/>
            <w:shd w:fill="F7F9FA"/>
          </w:tcPr>
          <w:p>
            <w:pPr>
              <w:spacing w:after="0"/>
            </w:pPr>
            <w:r/>
            <w:r>
              <w:rPr>
                <w:rFonts w:ascii="Aptos" w:hAnsi="Aptos"/>
                <w:b w:val="0"/>
                <w:sz w:val="16"/>
              </w:rPr>
              <w:t>Apply scope-of-competence reasoning to the supervisor as well as the supervisee.</w:t>
            </w:r>
          </w:p>
        </w:tc>
      </w:tr>
      <w:tr>
        <w:tc>
          <w:tcPr>
            <w:tcW w:type="dxa" w:w="2376"/>
            <w:vAlign w:val="top"/>
          </w:tcPr>
          <w:p>
            <w:pPr>
              <w:spacing w:after="0"/>
            </w:pPr>
            <w:r/>
            <w:r>
              <w:rPr>
                <w:rFonts w:ascii="Aptos" w:hAnsi="Aptos"/>
                <w:b/>
                <w:sz w:val="16"/>
              </w:rPr>
              <w:t>Risk, Minimum Units, Substitution, and Candor</w:t>
            </w:r>
          </w:p>
        </w:tc>
        <w:tc>
          <w:tcPr>
            <w:tcW w:type="dxa" w:w="5256"/>
            <w:vAlign w:val="top"/>
          </w:tcPr>
          <w:p>
            <w:pPr>
              <w:spacing w:after="0"/>
            </w:pPr>
            <w:r/>
            <w:r>
              <w:rPr>
                <w:rFonts w:ascii="Aptos" w:hAnsi="Aptos"/>
                <w:b w:val="0"/>
                <w:sz w:val="16"/>
              </w:rPr>
              <w:t>Take immediate risk-management action, contact a qualified substitute or on-call supervisor, disclose the material facts accurately, and do not count peer discussion as required supervision; ensure the required two units and substitute-supervision documents are addressed This response integrates urgent client protection, the associate’s two-unit minimum, qualified substitute supervision, accurate disclosure, and the rule that peer discussion is not supervised experience.</w:t>
            </w:r>
          </w:p>
        </w:tc>
        <w:tc>
          <w:tcPr>
            <w:tcW w:type="dxa" w:w="2520"/>
            <w:vAlign w:val="top"/>
          </w:tcPr>
          <w:p>
            <w:pPr>
              <w:spacing w:after="0"/>
            </w:pPr>
            <w:r/>
            <w:r>
              <w:rPr>
                <w:rFonts w:ascii="Aptos" w:hAnsi="Aptos"/>
                <w:b w:val="0"/>
                <w:sz w:val="16"/>
              </w:rPr>
              <w:t>Integrated questions require ordering: protect safety first, use a qualified supervisory pathway, tell the truth, then correct supervision-hour and documentation requirements.</w:t>
            </w:r>
          </w:p>
        </w:tc>
      </w:tr>
    </w:tbl>
    <w:p>
      <w:pPr>
        <w:pStyle w:val="Heading2"/>
      </w:pPr>
      <w:r>
        <w:t>Exam Reasoning Checklist</w:t>
      </w:r>
    </w:p>
    <w:p>
      <w:pPr>
        <w:pStyle w:val="ListBullet"/>
        <w:spacing w:after="30"/>
      </w:pPr>
      <w:r>
        <w:t>When the stem asks for a legal definition, choose the answer that includes responsibility and control of quality—not merely advice, seniority, or management.</w:t>
      </w:r>
    </w:p>
    <w:p>
      <w:pPr>
        <w:pStyle w:val="ListBullet"/>
        <w:spacing w:after="30"/>
      </w:pPr>
      <w:r>
        <w:t>Do not let “licensed,” “helpful,” or “two hours” distract you. Look for the legal supervisory relationship and responsibility for quality.</w:t>
      </w:r>
    </w:p>
    <w:p>
      <w:pPr>
        <w:pStyle w:val="ListBullet"/>
        <w:spacing w:after="30"/>
      </w:pPr>
      <w:r>
        <w:t>Associate “60 days” with establishing the supervisory structure: agreement, plan, and—when applicable—supervisor self-assessment or videoconference appropriateness documentation.</w:t>
      </w:r>
    </w:p>
    <w:p>
      <w:pPr>
        <w:pStyle w:val="ListBullet"/>
        <w:spacing w:after="30"/>
      </w:pPr>
      <w:r>
        <w:t>Separate documentation of hours from evaluation of performance. The log is weekly; the formal strengths-and-limitations assessment is at least annual and at the end.</w:t>
      </w:r>
    </w:p>
    <w:p>
      <w:pPr>
        <w:pStyle w:val="ListBullet"/>
        <w:spacing w:after="30"/>
      </w:pPr>
      <w:r>
        <w:t>For ordinary performance concerns, look for specific feedback plus a measurable correction and follow-up—not avoidance or an unnecessarily extreme response.</w:t>
      </w:r>
    </w:p>
    <w:p>
      <w:pPr>
        <w:pStyle w:val="ListBullet"/>
        <w:spacing w:after="30"/>
      </w:pPr>
      <w:r>
        <w:t>Count by week and by setting. For associates: one base unit, then add one unit when direct clinical counseling is greater than 10.</w:t>
      </w:r>
    </w:p>
    <w:p>
      <w:pPr>
        <w:pStyle w:val="ListBullet"/>
        <w:spacing w:after="30"/>
      </w:pPr>
      <w:r>
        <w:t>When the facts include possible immediate danger, choose safety action and prompt qualified supervisory contact before routine scheduling concerns.</w:t>
      </w:r>
    </w:p>
    <w:p>
      <w:pPr>
        <w:pStyle w:val="ListBullet"/>
        <w:spacing w:after="30"/>
      </w:pPr>
      <w:r>
        <w:t>Technology questions turn on the legally recognized format and documented appropriateness—not convenience or duration alone.</w:t>
      </w:r>
    </w:p>
    <w:p>
      <w:pPr>
        <w:pStyle w:val="Heading2"/>
      </w:pPr>
      <w:r>
        <w:t>Chapter Rapid Review</w:t>
      </w:r>
    </w:p>
    <w:p>
      <w:r>
        <w:rPr>
          <w:b/>
        </w:rPr>
        <w:t xml:space="preserve">Know these concepts: </w:t>
      </w:r>
      <w:r>
        <w:t>Definition of Clinical Supervision; Supervision vs. Consultation; Agreement and Supervisory Plan; Performance Assessment; Regular Feedback; Associate Supervision Units; Prompt Disclosure and Risk; Videoconference Supervision; Recording Review and Consent; Corrective Feedback and Follow-Through; Questionable Supervisory Direction; Individualized Supervisory Plan; Refusal to Sign Future Hours; Productivity Pressure and Competence; Countertransference and Accurate Reporting; Supervisor Competence; Risk, Minimum Units, Substitution, and Candor</w:t>
      </w:r>
    </w:p>
    <w:p>
      <w:r>
        <w:br w:type="page"/>
      </w:r>
    </w:p>
    <w:p>
      <w:pPr>
        <w:pStyle w:val="Heading2"/>
      </w:pPr>
      <w:r>
        <w:t>Chapter 6</w:t>
      </w:r>
    </w:p>
    <w:p>
      <w:pPr>
        <w:pStyle w:val="Heading1"/>
      </w:pPr>
      <w:r>
        <w:t>Professional Roles and Role Clarification</w:t>
      </w:r>
    </w:p>
    <w:tbl>
      <w:tblPr>
        <w:tblStyle w:val="TableGrid"/>
        <w:tblW w:type="auto" w:w="0"/>
        <w:jc w:val="center"/>
        <w:tblLook w:firstColumn="1" w:firstRow="1" w:lastColumn="0" w:lastRow="0" w:noHBand="0" w:noVBand="1" w:val="04A0"/>
      </w:tblPr>
      <w:tblGrid>
        <w:gridCol w:w="10368"/>
      </w:tblGrid>
      <w:tr>
        <w:tc>
          <w:tcPr>
            <w:tcW w:type="dxa" w:w="10368"/>
            <w:shd w:fill="E9F7F6"/>
            <w:vAlign w:val="top"/>
          </w:tcPr>
          <w:p>
            <w:pPr>
              <w:spacing w:after="0"/>
            </w:pPr>
            <w:r/>
            <w:r>
              <w:rPr>
                <w:rFonts w:ascii="Aptos" w:hAnsi="Aptos"/>
                <w:b/>
                <w:sz w:val="18"/>
              </w:rPr>
              <w:t>BIG IDEA | The role is determined by what the clinician was retained, assigned, or appointed to do, for whom, under what authority, and with what product and information limits. Purpose is the central distinction: treatment aims to help the client, while evaluation gathers and analyzes data to answer a defined question.</w:t>
            </w:r>
          </w:p>
        </w:tc>
      </w:tr>
    </w:tbl>
    <w:p>
      <w:pPr>
        <w:pStyle w:val="Heading2"/>
      </w:pPr>
      <w:r>
        <w:t>What to Learn</w:t>
      </w:r>
    </w:p>
    <w:p>
      <w:pPr>
        <w:pStyle w:val="ListBullet"/>
        <w:spacing w:after="30"/>
      </w:pPr>
      <w:r>
        <w:t>Explain and apply Role Definition.</w:t>
      </w:r>
    </w:p>
    <w:p>
      <w:pPr>
        <w:pStyle w:val="ListBullet"/>
        <w:spacing w:after="30"/>
      </w:pPr>
      <w:r>
        <w:t>Explain and apply Treatment vs. Evaluation.</w:t>
      </w:r>
    </w:p>
    <w:p>
      <w:pPr>
        <w:pStyle w:val="ListBullet"/>
        <w:spacing w:after="30"/>
      </w:pPr>
      <w:r>
        <w:t>Explain and apply Court-Appointed Examination and Privilege.</w:t>
      </w:r>
    </w:p>
    <w:p>
      <w:pPr>
        <w:pStyle w:val="ListBullet"/>
        <w:spacing w:after="30"/>
      </w:pPr>
      <w:r>
        <w:t>Explain and apply Multiple Roles.</w:t>
      </w:r>
    </w:p>
    <w:p>
      <w:pPr>
        <w:pStyle w:val="ListBullet"/>
        <w:spacing w:after="30"/>
      </w:pPr>
      <w:r>
        <w:t>Explain and apply Child Custody Evaluation Disclosures.</w:t>
      </w:r>
    </w:p>
    <w:p>
      <w:pPr>
        <w:pStyle w:val="ListBullet"/>
        <w:spacing w:after="30"/>
      </w:pPr>
      <w:r>
        <w:t>Explain and apply Treating Therapist and Custody Opinion.</w:t>
      </w:r>
    </w:p>
    <w:p>
      <w:pPr>
        <w:pStyle w:val="ListBullet"/>
        <w:spacing w:after="30"/>
      </w:pPr>
      <w:r>
        <w:t>Explain and apply Changing Roles.</w:t>
      </w:r>
    </w:p>
    <w:p>
      <w:pPr>
        <w:pStyle w:val="Heading2"/>
      </w:pPr>
      <w:r>
        <w:t>Core Study Rules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76"/>
            <w:vAlign w:val="top"/>
            <w:shd w:fill="17365D"/>
          </w:tcPr>
          <w:p>
            <w:pPr>
              <w:spacing w:after="0"/>
            </w:pPr>
            <w:r/>
            <w:r>
              <w:rPr>
                <w:rFonts w:ascii="Aptos" w:hAnsi="Aptos"/>
                <w:b/>
                <w:color w:val="FFFFFF"/>
                <w:sz w:val="17"/>
              </w:rPr>
              <w:t>Concept</w:t>
            </w:r>
          </w:p>
        </w:tc>
        <w:tc>
          <w:tcPr>
            <w:tcW w:type="dxa" w:w="5256"/>
            <w:vAlign w:val="top"/>
            <w:shd w:fill="17365D"/>
          </w:tcPr>
          <w:p>
            <w:pPr>
              <w:spacing w:after="0"/>
            </w:pPr>
            <w:r/>
            <w:r>
              <w:rPr>
                <w:rFonts w:ascii="Aptos" w:hAnsi="Aptos"/>
                <w:b/>
                <w:color w:val="FFFFFF"/>
                <w:sz w:val="17"/>
              </w:rPr>
              <w:t>Controlling Study Rule</w:t>
            </w:r>
          </w:p>
        </w:tc>
        <w:tc>
          <w:tcPr>
            <w:tcW w:type="dxa" w:w="2520"/>
            <w:vAlign w:val="top"/>
            <w:shd w:fill="17365D"/>
          </w:tcPr>
          <w:p>
            <w:pPr>
              <w:spacing w:after="0"/>
            </w:pPr>
            <w:r/>
            <w:r>
              <w:rPr>
                <w:rFonts w:ascii="Aptos" w:hAnsi="Aptos"/>
                <w:b/>
                <w:color w:val="FFFFFF"/>
                <w:sz w:val="17"/>
              </w:rPr>
              <w:t>Memory Cue</w:t>
            </w:r>
          </w:p>
        </w:tc>
      </w:tr>
      <w:tr>
        <w:tc>
          <w:tcPr>
            <w:tcW w:type="dxa" w:w="2376"/>
            <w:vAlign w:val="top"/>
          </w:tcPr>
          <w:p>
            <w:pPr>
              <w:spacing w:after="0"/>
            </w:pPr>
            <w:r/>
            <w:r>
              <w:rPr>
                <w:rFonts w:ascii="Aptos" w:hAnsi="Aptos"/>
                <w:b/>
                <w:sz w:val="16"/>
              </w:rPr>
              <w:t>Role Definition</w:t>
            </w:r>
          </w:p>
        </w:tc>
        <w:tc>
          <w:tcPr>
            <w:tcW w:type="dxa" w:w="5256"/>
            <w:vAlign w:val="top"/>
          </w:tcPr>
          <w:p>
            <w:pPr>
              <w:spacing w:after="0"/>
            </w:pPr>
            <w:r/>
            <w:r>
              <w:rPr>
                <w:rFonts w:ascii="Aptos" w:hAnsi="Aptos"/>
                <w:b w:val="0"/>
                <w:sz w:val="16"/>
              </w:rPr>
              <w:t>The role is determined by what the clinician was retained, assigned, or appointed to do, for whom, under what authority, and with what product and information limits.</w:t>
            </w:r>
          </w:p>
        </w:tc>
        <w:tc>
          <w:tcPr>
            <w:tcW w:type="dxa" w:w="2520"/>
            <w:vAlign w:val="top"/>
          </w:tcPr>
          <w:p>
            <w:pPr>
              <w:spacing w:after="0"/>
            </w:pPr>
            <w:r/>
            <w:r>
              <w:rPr>
                <w:rFonts w:ascii="Aptos" w:hAnsi="Aptos"/>
                <w:b w:val="0"/>
                <w:sz w:val="16"/>
              </w:rPr>
              <w:t>Look past titles. The exam defines role through function, authority, audience, and expected outcome.</w:t>
            </w:r>
          </w:p>
        </w:tc>
      </w:tr>
      <w:tr>
        <w:tc>
          <w:tcPr>
            <w:tcW w:type="dxa" w:w="2376"/>
            <w:vAlign w:val="top"/>
            <w:shd w:fill="F7F9FA"/>
          </w:tcPr>
          <w:p>
            <w:pPr>
              <w:spacing w:after="0"/>
            </w:pPr>
            <w:r/>
            <w:r>
              <w:rPr>
                <w:rFonts w:ascii="Aptos" w:hAnsi="Aptos"/>
                <w:b/>
                <w:sz w:val="16"/>
              </w:rPr>
              <w:t>Treatment vs. Evaluation</w:t>
            </w:r>
          </w:p>
        </w:tc>
        <w:tc>
          <w:tcPr>
            <w:tcW w:type="dxa" w:w="5256"/>
            <w:vAlign w:val="top"/>
            <w:shd w:fill="F7F9FA"/>
          </w:tcPr>
          <w:p>
            <w:pPr>
              <w:spacing w:after="0"/>
            </w:pPr>
            <w:r/>
            <w:r>
              <w:rPr>
                <w:rFonts w:ascii="Aptos" w:hAnsi="Aptos"/>
                <w:b w:val="0"/>
                <w:sz w:val="16"/>
              </w:rPr>
              <w:t>Purpose is the central distinction: treatment aims to help the client, while evaluation gathers and analyzes data to answer a defined question.</w:t>
            </w:r>
          </w:p>
        </w:tc>
        <w:tc>
          <w:tcPr>
            <w:tcW w:type="dxa" w:w="2520"/>
            <w:vAlign w:val="top"/>
            <w:shd w:fill="F7F9FA"/>
          </w:tcPr>
          <w:p>
            <w:pPr>
              <w:spacing w:after="0"/>
            </w:pPr>
            <w:r/>
            <w:r>
              <w:rPr>
                <w:rFonts w:ascii="Aptos" w:hAnsi="Aptos"/>
                <w:b w:val="0"/>
                <w:sz w:val="16"/>
              </w:rPr>
              <w:t>When two roles use similar clinical skills, compare their primary purpose and intended recipient.</w:t>
            </w:r>
          </w:p>
        </w:tc>
      </w:tr>
      <w:tr>
        <w:tc>
          <w:tcPr>
            <w:tcW w:type="dxa" w:w="2376"/>
            <w:vAlign w:val="top"/>
          </w:tcPr>
          <w:p>
            <w:pPr>
              <w:spacing w:after="0"/>
            </w:pPr>
            <w:r/>
            <w:r>
              <w:rPr>
                <w:rFonts w:ascii="Aptos" w:hAnsi="Aptos"/>
                <w:b/>
                <w:sz w:val="16"/>
              </w:rPr>
              <w:t>Court-Appointed Examination and Privilege</w:t>
            </w:r>
          </w:p>
        </w:tc>
        <w:tc>
          <w:tcPr>
            <w:tcW w:type="dxa" w:w="5256"/>
            <w:vAlign w:val="top"/>
          </w:tcPr>
          <w:p>
            <w:pPr>
              <w:spacing w:after="0"/>
            </w:pPr>
            <w:r/>
            <w:r>
              <w:rPr>
                <w:rFonts w:ascii="Aptos" w:hAnsi="Aptos"/>
                <w:b w:val="0"/>
                <w:sz w:val="16"/>
              </w:rPr>
              <w:t>Section 1017 generally removes the privilege for a court-appointed examination, while preserving a specific exception involving a criminal defendant’s requested examination for defense advice.</w:t>
            </w:r>
          </w:p>
        </w:tc>
        <w:tc>
          <w:tcPr>
            <w:tcW w:type="dxa" w:w="2520"/>
            <w:vAlign w:val="top"/>
          </w:tcPr>
          <w:p>
            <w:pPr>
              <w:spacing w:after="0"/>
            </w:pPr>
            <w:r/>
            <w:r>
              <w:rPr>
                <w:rFonts w:ascii="Aptos" w:hAnsi="Aptos"/>
                <w:b w:val="0"/>
                <w:sz w:val="16"/>
              </w:rPr>
              <w:t>Separate privilege from confidentiality. A privilege exception does not authorize unrestricted disclosure.</w:t>
            </w:r>
          </w:p>
        </w:tc>
      </w:tr>
      <w:tr>
        <w:tc>
          <w:tcPr>
            <w:tcW w:type="dxa" w:w="2376"/>
            <w:vAlign w:val="top"/>
            <w:shd w:fill="F7F9FA"/>
          </w:tcPr>
          <w:p>
            <w:pPr>
              <w:spacing w:after="0"/>
            </w:pPr>
            <w:r/>
            <w:r>
              <w:rPr>
                <w:rFonts w:ascii="Aptos" w:hAnsi="Aptos"/>
                <w:b/>
                <w:sz w:val="16"/>
              </w:rPr>
              <w:t>Multiple Roles</w:t>
            </w:r>
          </w:p>
        </w:tc>
        <w:tc>
          <w:tcPr>
            <w:tcW w:type="dxa" w:w="5256"/>
            <w:vAlign w:val="top"/>
            <w:shd w:fill="F7F9FA"/>
          </w:tcPr>
          <w:p>
            <w:pPr>
              <w:spacing w:after="0"/>
            </w:pPr>
            <w:r/>
            <w:r>
              <w:rPr>
                <w:rFonts w:ascii="Aptos" w:hAnsi="Aptos"/>
                <w:b w:val="0"/>
                <w:sz w:val="16"/>
              </w:rPr>
              <w:t>The clinician must evaluate conflicts, exploitation risk, impaired judgment, informed-consent confusion, alternatives, and safeguards This is the balanced analysis tested by the examination framework.</w:t>
            </w:r>
          </w:p>
        </w:tc>
        <w:tc>
          <w:tcPr>
            <w:tcW w:type="dxa" w:w="2520"/>
            <w:vAlign w:val="top"/>
            <w:shd w:fill="F7F9FA"/>
          </w:tcPr>
          <w:p>
            <w:pPr>
              <w:spacing w:after="0"/>
            </w:pPr>
            <w:r/>
            <w:r>
              <w:rPr>
                <w:rFonts w:ascii="Aptos" w:hAnsi="Aptos"/>
                <w:b w:val="0"/>
                <w:sz w:val="16"/>
              </w:rPr>
              <w:t>Avoid absolute answers. Assess the actual conflict, necessity, risk, and ability to manage the role safely.</w:t>
            </w:r>
          </w:p>
        </w:tc>
      </w:tr>
      <w:tr>
        <w:tc>
          <w:tcPr>
            <w:tcW w:type="dxa" w:w="2376"/>
            <w:vAlign w:val="top"/>
          </w:tcPr>
          <w:p>
            <w:pPr>
              <w:spacing w:after="0"/>
            </w:pPr>
            <w:r/>
            <w:r>
              <w:rPr>
                <w:rFonts w:ascii="Aptos" w:hAnsi="Aptos"/>
                <w:b/>
                <w:sz w:val="16"/>
              </w:rPr>
              <w:t>Child Custody Evaluation Disclosures</w:t>
            </w:r>
          </w:p>
        </w:tc>
        <w:tc>
          <w:tcPr>
            <w:tcW w:type="dxa" w:w="5256"/>
            <w:vAlign w:val="top"/>
          </w:tcPr>
          <w:p>
            <w:pPr>
              <w:spacing w:after="0"/>
            </w:pPr>
            <w:r/>
            <w:r>
              <w:rPr>
                <w:rFonts w:ascii="Aptos" w:hAnsi="Aptos"/>
                <w:b w:val="0"/>
                <w:sz w:val="16"/>
              </w:rPr>
              <w:t>Rules 5.220 and 5.225 require a clear process explanation and information about the evaluator’s role and qualifications.</w:t>
            </w:r>
          </w:p>
        </w:tc>
        <w:tc>
          <w:tcPr>
            <w:tcW w:type="dxa" w:w="2520"/>
            <w:vAlign w:val="top"/>
          </w:tcPr>
          <w:p>
            <w:pPr>
              <w:spacing w:after="0"/>
            </w:pPr>
            <w:r/>
            <w:r>
              <w:rPr>
                <w:rFonts w:ascii="Aptos" w:hAnsi="Aptos"/>
                <w:b w:val="0"/>
                <w:sz w:val="16"/>
              </w:rPr>
              <w:t>Specialized evaluations require more than a generic consent form. Look for purpose, methods, recipients, limits, and qualifications.</w:t>
            </w:r>
          </w:p>
        </w:tc>
      </w:tr>
      <w:tr>
        <w:tc>
          <w:tcPr>
            <w:tcW w:type="dxa" w:w="2376"/>
            <w:vAlign w:val="top"/>
            <w:shd w:fill="F7F9FA"/>
          </w:tcPr>
          <w:p>
            <w:pPr>
              <w:spacing w:after="0"/>
            </w:pPr>
            <w:r/>
            <w:r>
              <w:rPr>
                <w:rFonts w:ascii="Aptos" w:hAnsi="Aptos"/>
                <w:b/>
                <w:sz w:val="16"/>
              </w:rPr>
              <w:t>Treating Therapist and Custody Opinion</w:t>
            </w:r>
          </w:p>
        </w:tc>
        <w:tc>
          <w:tcPr>
            <w:tcW w:type="dxa" w:w="5256"/>
            <w:vAlign w:val="top"/>
            <w:shd w:fill="F7F9FA"/>
          </w:tcPr>
          <w:p>
            <w:pPr>
              <w:spacing w:after="0"/>
            </w:pPr>
            <w:r/>
            <w:r>
              <w:rPr>
                <w:rFonts w:ascii="Aptos" w:hAnsi="Aptos"/>
                <w:b w:val="0"/>
                <w:sz w:val="16"/>
              </w:rPr>
              <w:t>Clarify the treatment role, decline the custody-evaluator role, and consider a qualified independent evaluator while addressing any lawful records request separately This preserves treatment boundaries, recognizes missing role-specific competence, and separates the evaluation question from any lawful records disclosure.</w:t>
            </w:r>
          </w:p>
        </w:tc>
        <w:tc>
          <w:tcPr>
            <w:tcW w:type="dxa" w:w="2520"/>
            <w:vAlign w:val="top"/>
            <w:shd w:fill="F7F9FA"/>
          </w:tcPr>
          <w:p>
            <w:pPr>
              <w:spacing w:after="0"/>
            </w:pPr>
            <w:r/>
            <w:r>
              <w:rPr>
                <w:rFonts w:ascii="Aptos" w:hAnsi="Aptos"/>
                <w:b w:val="0"/>
                <w:sz w:val="16"/>
              </w:rPr>
              <w:t>When treatment is being converted into a forensic role, choose clarification, competence analysis, and an independent evaluator rather than informal relabeling.</w:t>
            </w:r>
          </w:p>
        </w:tc>
      </w:tr>
      <w:tr>
        <w:tc>
          <w:tcPr>
            <w:tcW w:type="dxa" w:w="2376"/>
            <w:vAlign w:val="top"/>
          </w:tcPr>
          <w:p>
            <w:pPr>
              <w:spacing w:after="0"/>
            </w:pPr>
            <w:r/>
            <w:r>
              <w:rPr>
                <w:rFonts w:ascii="Aptos" w:hAnsi="Aptos"/>
                <w:b/>
                <w:sz w:val="16"/>
              </w:rPr>
              <w:t>Changing Roles</w:t>
            </w:r>
          </w:p>
        </w:tc>
        <w:tc>
          <w:tcPr>
            <w:tcW w:type="dxa" w:w="5256"/>
            <w:vAlign w:val="top"/>
          </w:tcPr>
          <w:p>
            <w:pPr>
              <w:spacing w:after="0"/>
            </w:pPr>
            <w:r/>
            <w:r>
              <w:rPr>
                <w:rFonts w:ascii="Aptos" w:hAnsi="Aptos"/>
                <w:b w:val="0"/>
                <w:sz w:val="16"/>
              </w:rPr>
              <w:t>The roles may create incompatible loyalties, confidentiality expectations, and objectivity concerns and should generally be separated when possible.</w:t>
            </w:r>
          </w:p>
        </w:tc>
        <w:tc>
          <w:tcPr>
            <w:tcW w:type="dxa" w:w="2520"/>
            <w:vAlign w:val="top"/>
          </w:tcPr>
          <w:p>
            <w:pPr>
              <w:spacing w:after="0"/>
            </w:pPr>
            <w:r/>
            <w:r>
              <w:rPr>
                <w:rFonts w:ascii="Aptos" w:hAnsi="Aptos"/>
                <w:b w:val="0"/>
                <w:sz w:val="16"/>
              </w:rPr>
              <w:t>A role change requires a pause. Identify the new purpose, audience, conflicts, and confidentiality limits before accepting or disclosing.</w:t>
            </w:r>
          </w:p>
        </w:tc>
      </w:tr>
      <w:tr>
        <w:tc>
          <w:tcPr>
            <w:tcW w:type="dxa" w:w="2376"/>
            <w:vAlign w:val="top"/>
            <w:shd w:fill="F7F9FA"/>
          </w:tcPr>
          <w:p>
            <w:pPr>
              <w:spacing w:after="0"/>
            </w:pPr>
            <w:r/>
            <w:r>
              <w:rPr>
                <w:rFonts w:ascii="Aptos" w:hAnsi="Aptos"/>
                <w:b/>
                <w:sz w:val="16"/>
              </w:rPr>
              <w:t>Third-Party Evaluation Informed Consent</w:t>
            </w:r>
          </w:p>
        </w:tc>
        <w:tc>
          <w:tcPr>
            <w:tcW w:type="dxa" w:w="5256"/>
            <w:vAlign w:val="top"/>
            <w:shd w:fill="F7F9FA"/>
          </w:tcPr>
          <w:p>
            <w:pPr>
              <w:spacing w:after="0"/>
            </w:pPr>
            <w:r/>
            <w:r>
              <w:rPr>
                <w:rFonts w:ascii="Aptos" w:hAnsi="Aptos"/>
                <w:b w:val="0"/>
                <w:sz w:val="16"/>
              </w:rPr>
              <w:t>These elements permit meaningful role understanding before sensitive information is gathered.</w:t>
            </w:r>
          </w:p>
        </w:tc>
        <w:tc>
          <w:tcPr>
            <w:tcW w:type="dxa" w:w="2520"/>
            <w:vAlign w:val="top"/>
            <w:shd w:fill="F7F9FA"/>
          </w:tcPr>
          <w:p>
            <w:pPr>
              <w:spacing w:after="0"/>
            </w:pPr>
            <w:r/>
            <w:r>
              <w:rPr>
                <w:rFonts w:ascii="Aptos" w:hAnsi="Aptos"/>
                <w:b w:val="0"/>
                <w:sz w:val="16"/>
              </w:rPr>
              <w:t>For third-party evaluations, informed consent centers on who requested the work and where the information will go.</w:t>
            </w:r>
          </w:p>
        </w:tc>
      </w:tr>
      <w:tr>
        <w:tc>
          <w:tcPr>
            <w:tcW w:type="dxa" w:w="2376"/>
            <w:vAlign w:val="top"/>
          </w:tcPr>
          <w:p>
            <w:pPr>
              <w:spacing w:after="0"/>
            </w:pPr>
            <w:r/>
            <w:r>
              <w:rPr>
                <w:rFonts w:ascii="Aptos" w:hAnsi="Aptos"/>
                <w:b/>
                <w:sz w:val="16"/>
              </w:rPr>
              <w:t>Expert Opinion and Competence</w:t>
            </w:r>
          </w:p>
        </w:tc>
        <w:tc>
          <w:tcPr>
            <w:tcW w:type="dxa" w:w="5256"/>
            <w:vAlign w:val="top"/>
          </w:tcPr>
          <w:p>
            <w:pPr>
              <w:spacing w:after="0"/>
            </w:pPr>
            <w:r/>
            <w:r>
              <w:rPr>
                <w:rFonts w:ascii="Aptos" w:hAnsi="Aptos"/>
                <w:b w:val="0"/>
                <w:sz w:val="16"/>
              </w:rPr>
              <w:t>The clinician should distinguish treatment facts from forensic conclusions and remain within the actual evidence and role.</w:t>
            </w:r>
          </w:p>
        </w:tc>
        <w:tc>
          <w:tcPr>
            <w:tcW w:type="dxa" w:w="2520"/>
            <w:vAlign w:val="top"/>
          </w:tcPr>
          <w:p>
            <w:pPr>
              <w:spacing w:after="0"/>
            </w:pPr>
            <w:r/>
            <w:r>
              <w:rPr>
                <w:rFonts w:ascii="Aptos" w:hAnsi="Aptos"/>
                <w:b w:val="0"/>
                <w:sz w:val="16"/>
              </w:rPr>
              <w:t>Watch for opinions about people the clinician never examined. The best answer narrows scope and states limitations.</w:t>
            </w:r>
          </w:p>
        </w:tc>
      </w:tr>
      <w:tr>
        <w:tc>
          <w:tcPr>
            <w:tcW w:type="dxa" w:w="2376"/>
            <w:vAlign w:val="top"/>
            <w:shd w:fill="F7F9FA"/>
          </w:tcPr>
          <w:p>
            <w:pPr>
              <w:spacing w:after="0"/>
            </w:pPr>
            <w:r/>
            <w:r>
              <w:rPr>
                <w:rFonts w:ascii="Aptos" w:hAnsi="Aptos"/>
                <w:b/>
                <w:sz w:val="16"/>
              </w:rPr>
              <w:t>Retaining Party vs. Client</w:t>
            </w:r>
          </w:p>
        </w:tc>
        <w:tc>
          <w:tcPr>
            <w:tcW w:type="dxa" w:w="5256"/>
            <w:vAlign w:val="top"/>
            <w:shd w:fill="F7F9FA"/>
          </w:tcPr>
          <w:p>
            <w:pPr>
              <w:spacing w:after="0"/>
            </w:pPr>
            <w:r/>
            <w:r>
              <w:rPr>
                <w:rFonts w:ascii="Aptos" w:hAnsi="Aptos"/>
                <w:b w:val="0"/>
                <w:sz w:val="16"/>
              </w:rPr>
              <w:t>Payment alone does not answer client status, confidentiality, authorization, report scope, or legal rights.</w:t>
            </w:r>
          </w:p>
        </w:tc>
        <w:tc>
          <w:tcPr>
            <w:tcW w:type="dxa" w:w="2520"/>
            <w:vAlign w:val="top"/>
            <w:shd w:fill="F7F9FA"/>
          </w:tcPr>
          <w:p>
            <w:pPr>
              <w:spacing w:after="0"/>
            </w:pPr>
            <w:r/>
            <w:r>
              <w:rPr>
                <w:rFonts w:ascii="Aptos" w:hAnsi="Aptos"/>
                <w:b w:val="0"/>
                <w:sz w:val="16"/>
              </w:rPr>
              <w:t>Do not equate payer, requester, client, evaluee, privilege holder, and report recipient. Clarify each role.</w:t>
            </w:r>
          </w:p>
        </w:tc>
      </w:tr>
      <w:tr>
        <w:tc>
          <w:tcPr>
            <w:tcW w:type="dxa" w:w="2376"/>
            <w:vAlign w:val="top"/>
          </w:tcPr>
          <w:p>
            <w:pPr>
              <w:spacing w:after="0"/>
            </w:pPr>
            <w:r/>
            <w:r>
              <w:rPr>
                <w:rFonts w:ascii="Aptos" w:hAnsi="Aptos"/>
                <w:b/>
                <w:sz w:val="16"/>
              </w:rPr>
              <w:t>Unavoidable Multiple Role</w:t>
            </w:r>
          </w:p>
        </w:tc>
        <w:tc>
          <w:tcPr>
            <w:tcW w:type="dxa" w:w="5256"/>
            <w:vAlign w:val="top"/>
          </w:tcPr>
          <w:p>
            <w:pPr>
              <w:spacing w:after="0"/>
            </w:pPr>
            <w:r/>
            <w:r>
              <w:rPr>
                <w:rFonts w:ascii="Aptos" w:hAnsi="Aptos"/>
                <w:b w:val="0"/>
                <w:sz w:val="16"/>
              </w:rPr>
              <w:t>When a multiple relationship may be unavoidable, the clinician uses a structured risk analysis, informed discussion, safeguards, and ongoing monitoring.</w:t>
            </w:r>
          </w:p>
        </w:tc>
        <w:tc>
          <w:tcPr>
            <w:tcW w:type="dxa" w:w="2520"/>
            <w:vAlign w:val="top"/>
          </w:tcPr>
          <w:p>
            <w:pPr>
              <w:spacing w:after="0"/>
            </w:pPr>
            <w:r/>
            <w:r>
              <w:rPr>
                <w:rFonts w:ascii="Aptos" w:hAnsi="Aptos"/>
                <w:b w:val="0"/>
                <w:sz w:val="16"/>
              </w:rPr>
              <w:t>Unavoidable does not mean unmanaged. Choose transparent risk assessment and safeguards rather than denial or secrecy.</w:t>
            </w:r>
          </w:p>
        </w:tc>
      </w:tr>
      <w:tr>
        <w:tc>
          <w:tcPr>
            <w:tcW w:type="dxa" w:w="2376"/>
            <w:vAlign w:val="top"/>
            <w:shd w:fill="F7F9FA"/>
          </w:tcPr>
          <w:p>
            <w:pPr>
              <w:spacing w:after="0"/>
            </w:pPr>
            <w:r/>
            <w:r>
              <w:rPr>
                <w:rFonts w:ascii="Aptos" w:hAnsi="Aptos"/>
                <w:b/>
                <w:sz w:val="16"/>
              </w:rPr>
              <w:t>Custody Evaluator Conflict Disclosure</w:t>
            </w:r>
          </w:p>
        </w:tc>
        <w:tc>
          <w:tcPr>
            <w:tcW w:type="dxa" w:w="5256"/>
            <w:vAlign w:val="top"/>
            <w:shd w:fill="F7F9FA"/>
          </w:tcPr>
          <w:p>
            <w:pPr>
              <w:spacing w:after="0"/>
            </w:pPr>
            <w:r/>
            <w:r>
              <w:rPr>
                <w:rFonts w:ascii="Aptos" w:hAnsi="Aptos"/>
                <w:b w:val="0"/>
                <w:sz w:val="16"/>
              </w:rPr>
              <w:t>Rule 5.225 requires disclosure of possible or actual multiple roles or conflicts before the evaluation or at the first practical moment.</w:t>
            </w:r>
          </w:p>
        </w:tc>
        <w:tc>
          <w:tcPr>
            <w:tcW w:type="dxa" w:w="2520"/>
            <w:vAlign w:val="top"/>
            <w:shd w:fill="F7F9FA"/>
          </w:tcPr>
          <w:p>
            <w:pPr>
              <w:spacing w:after="0"/>
            </w:pPr>
            <w:r/>
            <w:r>
              <w:rPr>
                <w:rFonts w:ascii="Aptos" w:hAnsi="Aptos"/>
                <w:b w:val="0"/>
                <w:sz w:val="16"/>
              </w:rPr>
              <w:t>For custody evaluators, conflict disclosure is broad and early. Do not wait to see whether bias becomes obvious.</w:t>
            </w:r>
          </w:p>
        </w:tc>
      </w:tr>
      <w:tr>
        <w:tc>
          <w:tcPr>
            <w:tcW w:type="dxa" w:w="2376"/>
            <w:vAlign w:val="top"/>
          </w:tcPr>
          <w:p>
            <w:pPr>
              <w:spacing w:after="0"/>
            </w:pPr>
            <w:r/>
            <w:r>
              <w:rPr>
                <w:rFonts w:ascii="Aptos" w:hAnsi="Aptos"/>
                <w:b/>
                <w:sz w:val="16"/>
              </w:rPr>
              <w:t>Treating Clinician as Witness</w:t>
            </w:r>
          </w:p>
        </w:tc>
        <w:tc>
          <w:tcPr>
            <w:tcW w:type="dxa" w:w="5256"/>
            <w:vAlign w:val="top"/>
          </w:tcPr>
          <w:p>
            <w:pPr>
              <w:spacing w:after="0"/>
            </w:pPr>
            <w:r/>
            <w:r>
              <w:rPr>
                <w:rFonts w:ascii="Aptos" w:hAnsi="Aptos"/>
                <w:b w:val="0"/>
                <w:sz w:val="16"/>
              </w:rPr>
              <w:t>A subpoena requires legal analysis, not automatic disclosure or disregard, and it does not transform a treating clinician into a qualified expert on every issue.</w:t>
            </w:r>
          </w:p>
        </w:tc>
        <w:tc>
          <w:tcPr>
            <w:tcW w:type="dxa" w:w="2520"/>
            <w:vAlign w:val="top"/>
          </w:tcPr>
          <w:p>
            <w:pPr>
              <w:spacing w:after="0"/>
            </w:pPr>
            <w:r/>
            <w:r>
              <w:rPr>
                <w:rFonts w:ascii="Aptos" w:hAnsi="Aptos"/>
                <w:b w:val="0"/>
                <w:sz w:val="16"/>
              </w:rPr>
              <w:t>Combine confidentiality procedure with role limits. Avoid both “release everything” and “ignore all legal process.”</w:t>
            </w:r>
          </w:p>
        </w:tc>
      </w:tr>
      <w:tr>
        <w:tc>
          <w:tcPr>
            <w:tcW w:type="dxa" w:w="2376"/>
            <w:vAlign w:val="top"/>
            <w:shd w:fill="F7F9FA"/>
          </w:tcPr>
          <w:p>
            <w:pPr>
              <w:spacing w:after="0"/>
            </w:pPr>
            <w:r/>
            <w:r>
              <w:rPr>
                <w:rFonts w:ascii="Aptos" w:hAnsi="Aptos"/>
                <w:b/>
                <w:sz w:val="16"/>
              </w:rPr>
              <w:t>Treatment and Benefits Gatekeeping</w:t>
            </w:r>
          </w:p>
        </w:tc>
        <w:tc>
          <w:tcPr>
            <w:tcW w:type="dxa" w:w="5256"/>
            <w:vAlign w:val="top"/>
            <w:shd w:fill="F7F9FA"/>
          </w:tcPr>
          <w:p>
            <w:pPr>
              <w:spacing w:after="0"/>
            </w:pPr>
            <w:r/>
            <w:r>
              <w:rPr>
                <w:rFonts w:ascii="Aptos" w:hAnsi="Aptos"/>
                <w:b w:val="0"/>
                <w:sz w:val="16"/>
              </w:rPr>
              <w:t>The clinician should make the power and information-use structure transparent and separate the roles when feasible.</w:t>
            </w:r>
          </w:p>
        </w:tc>
        <w:tc>
          <w:tcPr>
            <w:tcW w:type="dxa" w:w="2520"/>
            <w:vAlign w:val="top"/>
            <w:shd w:fill="F7F9FA"/>
          </w:tcPr>
          <w:p>
            <w:pPr>
              <w:spacing w:after="0"/>
            </w:pPr>
            <w:r/>
            <w:r>
              <w:rPr>
                <w:rFonts w:ascii="Aptos" w:hAnsi="Aptos"/>
                <w:b w:val="0"/>
                <w:sz w:val="16"/>
              </w:rPr>
              <w:t>Institutional settings can hide dual roles. Identify who controls benefits and how treatment information may be used.</w:t>
            </w:r>
          </w:p>
        </w:tc>
      </w:tr>
      <w:tr>
        <w:tc>
          <w:tcPr>
            <w:tcW w:type="dxa" w:w="2376"/>
            <w:vAlign w:val="top"/>
          </w:tcPr>
          <w:p>
            <w:pPr>
              <w:spacing w:after="0"/>
            </w:pPr>
            <w:r/>
            <w:r>
              <w:rPr>
                <w:rFonts w:ascii="Aptos" w:hAnsi="Aptos"/>
                <w:b/>
                <w:sz w:val="16"/>
              </w:rPr>
              <w:t>Safety During Court Evaluation</w:t>
            </w:r>
          </w:p>
        </w:tc>
        <w:tc>
          <w:tcPr>
            <w:tcW w:type="dxa" w:w="5256"/>
            <w:vAlign w:val="top"/>
          </w:tcPr>
          <w:p>
            <w:pPr>
              <w:spacing w:after="0"/>
            </w:pPr>
            <w:r/>
            <w:r>
              <w:rPr>
                <w:rFonts w:ascii="Aptos" w:hAnsi="Aptos"/>
                <w:b w:val="0"/>
                <w:sz w:val="16"/>
              </w:rPr>
              <w:t>A narrow forensic role does not eliminate immediate client or public protection duties; action should remain within law and the defined role.</w:t>
            </w:r>
          </w:p>
        </w:tc>
        <w:tc>
          <w:tcPr>
            <w:tcW w:type="dxa" w:w="2520"/>
            <w:vAlign w:val="top"/>
          </w:tcPr>
          <w:p>
            <w:pPr>
              <w:spacing w:after="0"/>
            </w:pPr>
            <w:r/>
            <w:r>
              <w:rPr>
                <w:rFonts w:ascii="Aptos" w:hAnsi="Aptos"/>
                <w:b w:val="0"/>
                <w:sz w:val="16"/>
              </w:rPr>
              <w:t>Immediate danger is an order-of-operations clue. Address safety first while maintaining accurate role boundaries.</w:t>
            </w:r>
          </w:p>
        </w:tc>
      </w:tr>
      <w:tr>
        <w:tc>
          <w:tcPr>
            <w:tcW w:type="dxa" w:w="2376"/>
            <w:vAlign w:val="top"/>
            <w:shd w:fill="F7F9FA"/>
          </w:tcPr>
          <w:p>
            <w:pPr>
              <w:spacing w:after="0"/>
            </w:pPr>
            <w:r/>
            <w:r>
              <w:rPr>
                <w:rFonts w:ascii="Aptos" w:hAnsi="Aptos"/>
                <w:b/>
                <w:sz w:val="16"/>
              </w:rPr>
              <w:t>Therapist and Mediator Roles</w:t>
            </w:r>
          </w:p>
        </w:tc>
        <w:tc>
          <w:tcPr>
            <w:tcW w:type="dxa" w:w="5256"/>
            <w:vAlign w:val="top"/>
            <w:shd w:fill="F7F9FA"/>
          </w:tcPr>
          <w:p>
            <w:pPr>
              <w:spacing w:after="0"/>
            </w:pPr>
            <w:r/>
            <w:r>
              <w:rPr>
                <w:rFonts w:ascii="Aptos" w:hAnsi="Aptos"/>
                <w:b w:val="0"/>
                <w:sz w:val="16"/>
              </w:rPr>
              <w:t>Separating the roles protects informed consent, objectivity, and the existing therapeutic relationship.</w:t>
            </w:r>
          </w:p>
        </w:tc>
        <w:tc>
          <w:tcPr>
            <w:tcW w:type="dxa" w:w="2520"/>
            <w:vAlign w:val="top"/>
            <w:shd w:fill="F7F9FA"/>
          </w:tcPr>
          <w:p>
            <w:pPr>
              <w:spacing w:after="0"/>
            </w:pPr>
            <w:r/>
            <w:r>
              <w:rPr>
                <w:rFonts w:ascii="Aptos" w:hAnsi="Aptos"/>
                <w:b w:val="0"/>
                <w:sz w:val="16"/>
              </w:rPr>
              <w:t>Some role combinations are fundamentally difficult to reconcile. Choose independent neutral services rather than relabeling the same relationship.</w:t>
            </w:r>
          </w:p>
        </w:tc>
      </w:tr>
      <w:tr>
        <w:tc>
          <w:tcPr>
            <w:tcW w:type="dxa" w:w="2376"/>
            <w:vAlign w:val="top"/>
          </w:tcPr>
          <w:p>
            <w:pPr>
              <w:spacing w:after="0"/>
            </w:pPr>
            <w:r/>
            <w:r>
              <w:rPr>
                <w:rFonts w:ascii="Aptos" w:hAnsi="Aptos"/>
                <w:b/>
                <w:sz w:val="16"/>
              </w:rPr>
              <w:t>Treatment, Custody Request, Subpoena, and Privilege</w:t>
            </w:r>
          </w:p>
        </w:tc>
        <w:tc>
          <w:tcPr>
            <w:tcW w:type="dxa" w:w="5256"/>
            <w:vAlign w:val="top"/>
          </w:tcPr>
          <w:p>
            <w:pPr>
              <w:spacing w:after="0"/>
            </w:pPr>
            <w:r/>
            <w:r>
              <w:rPr>
                <w:rFonts w:ascii="Aptos" w:hAnsi="Aptos"/>
                <w:b w:val="0"/>
                <w:sz w:val="16"/>
              </w:rPr>
              <w:t>Clarify and preserve the treatment role, decline the unqualified and conflicting custody-evaluator role, analyze the subpoena and privilege through lawful procedures, communicate accurately with the client, and disclose only information lawfully authorized or ordered This answer separates role, competence, confidentiality, privilege, legal process, client communication, and proportionate disclosure.</w:t>
            </w:r>
          </w:p>
        </w:tc>
        <w:tc>
          <w:tcPr>
            <w:tcW w:type="dxa" w:w="2520"/>
            <w:vAlign w:val="top"/>
          </w:tcPr>
          <w:p>
            <w:pPr>
              <w:spacing w:after="0"/>
            </w:pPr>
            <w:r/>
            <w:r>
              <w:rPr>
                <w:rFonts w:ascii="Aptos" w:hAnsi="Aptos"/>
                <w:b w:val="0"/>
                <w:sz w:val="16"/>
              </w:rPr>
              <w:t>Integrated role questions require separate tracks: define the role, assess competence/conflict, preserve confidentiality, analyze legal process, and communicate clearly.</w:t>
            </w:r>
          </w:p>
        </w:tc>
      </w:tr>
    </w:tbl>
    <w:p>
      <w:pPr>
        <w:pStyle w:val="Heading2"/>
      </w:pPr>
      <w:r>
        <w:t>Exam Reasoning Checklist</w:t>
      </w:r>
    </w:p>
    <w:p>
      <w:pPr>
        <w:pStyle w:val="ListBullet"/>
        <w:spacing w:after="30"/>
      </w:pPr>
      <w:r>
        <w:t>Look past titles. The exam defines role through function, authority, audience, and expected outcome.</w:t>
      </w:r>
    </w:p>
    <w:p>
      <w:pPr>
        <w:pStyle w:val="ListBullet"/>
        <w:spacing w:after="30"/>
      </w:pPr>
      <w:r>
        <w:t>When two roles use similar clinical skills, compare their primary purpose and intended recipient.</w:t>
      </w:r>
    </w:p>
    <w:p>
      <w:pPr>
        <w:pStyle w:val="ListBullet"/>
        <w:spacing w:after="30"/>
      </w:pPr>
      <w:r>
        <w:t>Separate privilege from confidentiality. A privilege exception does not authorize unrestricted disclosure.</w:t>
      </w:r>
    </w:p>
    <w:p>
      <w:pPr>
        <w:pStyle w:val="ListBullet"/>
        <w:spacing w:after="30"/>
      </w:pPr>
      <w:r>
        <w:t>Avoid absolute answers. Assess the actual conflict, necessity, risk, and ability to manage the role safely.</w:t>
      </w:r>
    </w:p>
    <w:p>
      <w:pPr>
        <w:pStyle w:val="ListBullet"/>
        <w:spacing w:after="30"/>
      </w:pPr>
      <w:r>
        <w:t>Specialized evaluations require more than a generic consent form. Look for purpose, methods, recipients, limits, and qualifications.</w:t>
      </w:r>
    </w:p>
    <w:p>
      <w:pPr>
        <w:pStyle w:val="ListBullet"/>
        <w:spacing w:after="30"/>
      </w:pPr>
      <w:r>
        <w:t>When treatment is being converted into a forensic role, choose clarification, competence analysis, and an independent evaluator rather than informal relabeling.</w:t>
      </w:r>
    </w:p>
    <w:p>
      <w:pPr>
        <w:pStyle w:val="ListBullet"/>
        <w:spacing w:after="30"/>
      </w:pPr>
      <w:r>
        <w:t>A role change requires a pause. Identify the new purpose, audience, conflicts, and confidentiality limits before accepting or disclosing.</w:t>
      </w:r>
    </w:p>
    <w:p>
      <w:pPr>
        <w:pStyle w:val="ListBullet"/>
        <w:spacing w:after="30"/>
      </w:pPr>
      <w:r>
        <w:t>For third-party evaluations, informed consent centers on who requested the work and where the information will go.</w:t>
      </w:r>
    </w:p>
    <w:p>
      <w:pPr>
        <w:pStyle w:val="Heading2"/>
      </w:pPr>
      <w:r>
        <w:t>Chapter Rapid Review</w:t>
      </w:r>
    </w:p>
    <w:p>
      <w:r>
        <w:rPr>
          <w:b/>
        </w:rPr>
        <w:t xml:space="preserve">Know these concepts: </w:t>
      </w:r>
      <w:r>
        <w:t>Role Definition; Treatment vs. Evaluation; Court-Appointed Examination and Privilege; Multiple Roles; Child Custody Evaluation Disclosures; Treating Therapist and Custody Opinion; Changing Roles; Third-Party Evaluation Informed Consent; Expert Opinion and Competence; Retaining Party vs. Client; Unavoidable Multiple Role; Custody Evaluator Conflict Disclosure; Treating Clinician as Witness; Treatment and Benefits Gatekeeping; Safety During Court Evaluation; Therapist and Mediator Roles; Treatment, Custody Request, Subpoena, and Privilege</w:t>
      </w:r>
    </w:p>
    <w:p>
      <w:r>
        <w:br w:type="page"/>
      </w:r>
    </w:p>
    <w:p>
      <w:pPr>
        <w:pStyle w:val="Heading1"/>
      </w:pPr>
      <w:r>
        <w:t>Workbook Close</w:t>
      </w:r>
    </w:p>
    <w:tbl>
      <w:tblPr>
        <w:tblStyle w:val="TableGrid"/>
        <w:tblW w:type="auto" w:w="0"/>
        <w:jc w:val="center"/>
        <w:tblLook w:firstColumn="1" w:firstRow="1" w:lastColumn="0" w:lastRow="0" w:noHBand="0" w:noVBand="1" w:val="04A0"/>
      </w:tblPr>
      <w:tblGrid>
        <w:gridCol w:w="10368"/>
      </w:tblGrid>
      <w:tr>
        <w:tc>
          <w:tcPr>
            <w:tcW w:type="dxa" w:w="10368"/>
            <w:shd w:fill="E9F7F6"/>
            <w:vAlign w:val="top"/>
          </w:tcPr>
          <w:p>
            <w:pPr>
              <w:spacing w:after="0"/>
            </w:pPr>
            <w:r/>
            <w:r>
              <w:rPr>
                <w:rFonts w:ascii="Aptos" w:hAnsi="Aptos"/>
                <w:b/>
                <w:sz w:val="18"/>
              </w:rPr>
              <w:t>Workbook 3 complete. Use the online chapter tests, the programwide rapid-review guide, and the 807-card Study Center to identify weak areas. A strong study answer applies the correct rule to the correct actor, role, timing, and client-protection need.</w:t>
            </w:r>
          </w:p>
        </w:tc>
      </w:tr>
    </w:tbl>
    <w:sectPr w:rsidR="00FC693F" w:rsidRPr="0006063C" w:rsidSect="00034616">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6E6E"/>
        <w:sz w:val="15"/>
      </w:rPr>
      <w:t>CTA-EP-003 | Workbook 3 | LPCC Candidate Edition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82D4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79B9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82D4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82D49"/>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