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4: Professional Impairment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Recognizing Professional Impairment</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Substance Use and Professional Impairment</w:t>
            </w:r>
          </w:p>
        </w:tc>
        <w:tc>
          <w:tcPr>
            <w:tcW w:type="dxa" w:w="1296"/>
            <w:vAlign w:val="top"/>
            <w:shd w:fill="F2F4F7"/>
          </w:tcPr>
          <w:p>
            <w:pPr>
              <w:spacing w:after="0"/>
            </w:pPr>
            <w:r/>
            <w:r>
              <w:rPr>
                <w:rFonts w:ascii="Aptos" w:hAnsi="Aptos"/>
                <w:b w:val="0"/>
                <w:sz w:val="17"/>
              </w:rPr>
              <w:t>15</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Mental Health, Burnout, and Compassion Fatigue</w:t>
            </w:r>
          </w:p>
        </w:tc>
        <w:tc>
          <w:tcPr>
            <w:tcW w:type="dxa" w:w="1296"/>
            <w:vAlign w:val="top"/>
          </w:tcPr>
          <w:p>
            <w:pPr>
              <w:spacing w:after="0"/>
            </w:pPr>
            <w:r/>
            <w:r>
              <w:rPr>
                <w:rFonts w:ascii="Aptos" w:hAnsi="Aptos"/>
                <w:b w:val="0"/>
                <w:sz w:val="17"/>
              </w:rPr>
              <w:t>15</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Physical Conditions, Fatigue, and Professional Functioning</w:t>
            </w:r>
          </w:p>
        </w:tc>
        <w:tc>
          <w:tcPr>
            <w:tcW w:type="dxa" w:w="1296"/>
            <w:vAlign w:val="top"/>
            <w:shd w:fill="F2F4F7"/>
          </w:tcPr>
          <w:p>
            <w:pPr>
              <w:spacing w:after="0"/>
            </w:pPr>
            <w:r/>
            <w:r>
              <w:rPr>
                <w:rFonts w:ascii="Aptos" w:hAnsi="Aptos"/>
                <w:b w:val="0"/>
                <w:sz w:val="17"/>
              </w:rPr>
              <w:t>15</w:t>
            </w:r>
          </w:p>
        </w:tc>
      </w:tr>
      <w:tr>
        <w:tc>
          <w:tcPr>
            <w:tcW w:type="dxa" w:w="1007"/>
            <w:vAlign w:val="top"/>
          </w:tcPr>
          <w:p>
            <w:pPr>
              <w:spacing w:after="0"/>
            </w:pPr>
            <w:r/>
            <w:r>
              <w:rPr>
                <w:rFonts w:ascii="Aptos" w:hAnsi="Aptos"/>
                <w:b w:val="0"/>
                <w:sz w:val="17"/>
              </w:rPr>
              <w:t>5</w:t>
            </w:r>
          </w:p>
        </w:tc>
        <w:tc>
          <w:tcPr>
            <w:tcW w:type="dxa" w:w="8063"/>
            <w:vAlign w:val="top"/>
          </w:tcPr>
          <w:p>
            <w:pPr>
              <w:spacing w:after="0"/>
            </w:pPr>
            <w:r/>
            <w:r>
              <w:rPr>
                <w:rFonts w:ascii="Aptos" w:hAnsi="Aptos"/>
                <w:b w:val="0"/>
                <w:sz w:val="17"/>
              </w:rPr>
              <w:t>Responding Ethically to Professional Impairment</w:t>
            </w:r>
          </w:p>
        </w:tc>
        <w:tc>
          <w:tcPr>
            <w:tcW w:type="dxa" w:w="1296"/>
            <w:vAlign w:val="top"/>
          </w:tcPr>
          <w:p>
            <w:pPr>
              <w:spacing w:after="0"/>
            </w:pPr>
            <w:r/>
            <w:r>
              <w:rPr>
                <w:rFonts w:ascii="Aptos" w:hAnsi="Aptos"/>
                <w:b w:val="0"/>
                <w:sz w:val="17"/>
              </w:rPr>
              <w:t>16</w:t>
            </w:r>
          </w:p>
        </w:tc>
      </w:tr>
    </w:tbl>
    <w:p>
      <w:r>
        <w:br w:type="page"/>
      </w:r>
    </w:p>
    <w:p>
      <w:pPr>
        <w:pStyle w:val="Heading2"/>
      </w:pPr>
      <w:r>
        <w:t>Chapter 1</w:t>
      </w:r>
    </w:p>
    <w:p>
      <w:pPr>
        <w:pStyle w:val="Heading1"/>
      </w:pPr>
      <w:r>
        <w:t>Recognizing Professional Impairment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Impairment is a functional concept involving interference with safe, ethical, or effective performance. The diagnosis alone does not establish impairment because professional functioning remains effective The facts show effective professional functioning despite the diagnosis.</w:t>
            </w:r>
          </w:p>
        </w:tc>
      </w:tr>
    </w:tbl>
    <w:p>
      <w:pPr>
        <w:pStyle w:val="Heading2"/>
      </w:pPr>
      <w:r>
        <w:t>What to Learn</w:t>
      </w:r>
    </w:p>
    <w:p>
      <w:pPr>
        <w:pStyle w:val="ListBullet"/>
        <w:spacing w:after="30"/>
      </w:pPr>
      <w:r>
        <w:t>Explain and apply Definition of Professional Impairment.</w:t>
      </w:r>
    </w:p>
    <w:p>
      <w:pPr>
        <w:pStyle w:val="ListBullet"/>
        <w:spacing w:after="30"/>
      </w:pPr>
      <w:r>
        <w:t>Explain and apply Diagnosis vs. Impairment.</w:t>
      </w:r>
    </w:p>
    <w:p>
      <w:pPr>
        <w:pStyle w:val="ListBullet"/>
        <w:spacing w:after="30"/>
      </w:pPr>
      <w:r>
        <w:t>Explain and apply Pattern and Warning Signs.</w:t>
      </w:r>
    </w:p>
    <w:p>
      <w:pPr>
        <w:pStyle w:val="ListBullet"/>
        <w:spacing w:after="30"/>
      </w:pPr>
      <w:r>
        <w:t>Explain and apply Impairment vs. Misconduct.</w:t>
      </w:r>
    </w:p>
    <w:p>
      <w:pPr>
        <w:pStyle w:val="ListBullet"/>
        <w:spacing w:after="30"/>
      </w:pPr>
      <w:r>
        <w:t>Explain and apply Initial Functional Assessment.</w:t>
      </w:r>
    </w:p>
    <w:p>
      <w:pPr>
        <w:pStyle w:val="ListBullet"/>
        <w:spacing w:after="30"/>
      </w:pPr>
      <w:r>
        <w:t>Explain and apply Stress With Intact Functioning.</w:t>
      </w:r>
    </w:p>
    <w:p>
      <w:pPr>
        <w:pStyle w:val="ListBullet"/>
        <w:spacing w:after="30"/>
      </w:pPr>
      <w:r>
        <w:t>Explain and apply Pattern of Functional Decline.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Definition of Professional Impairment</w:t>
            </w:r>
          </w:p>
        </w:tc>
        <w:tc>
          <w:tcPr>
            <w:tcW w:type="dxa" w:w="5256"/>
            <w:vAlign w:val="top"/>
          </w:tcPr>
          <w:p>
            <w:pPr>
              <w:spacing w:after="0"/>
            </w:pPr>
            <w:r/>
            <w:r>
              <w:rPr>
                <w:rFonts w:ascii="Aptos" w:hAnsi="Aptos"/>
                <w:b w:val="0"/>
                <w:sz w:val="16"/>
              </w:rPr>
              <w:t>Impairment is a functional concept involving interference with safe, ethical, or effective performance.</w:t>
            </w:r>
          </w:p>
        </w:tc>
        <w:tc>
          <w:tcPr>
            <w:tcW w:type="dxa" w:w="2520"/>
            <w:vAlign w:val="top"/>
          </w:tcPr>
          <w:p>
            <w:pPr>
              <w:spacing w:after="0"/>
            </w:pPr>
            <w:r/>
            <w:r>
              <w:rPr>
                <w:rFonts w:ascii="Aptos" w:hAnsi="Aptos"/>
                <w:b w:val="0"/>
                <w:sz w:val="16"/>
              </w:rPr>
              <w:t>Choose the answer that connects a condition to actual professional functioning and client protection.</w:t>
            </w:r>
          </w:p>
        </w:tc>
      </w:tr>
      <w:tr>
        <w:tc>
          <w:tcPr>
            <w:tcW w:type="dxa" w:w="2376"/>
            <w:vAlign w:val="top"/>
            <w:shd w:fill="F7F9FA"/>
          </w:tcPr>
          <w:p>
            <w:pPr>
              <w:spacing w:after="0"/>
            </w:pPr>
            <w:r/>
            <w:r>
              <w:rPr>
                <w:rFonts w:ascii="Aptos" w:hAnsi="Aptos"/>
                <w:b/>
                <w:sz w:val="16"/>
              </w:rPr>
              <w:t>Diagnosis vs. Impairment</w:t>
            </w:r>
          </w:p>
        </w:tc>
        <w:tc>
          <w:tcPr>
            <w:tcW w:type="dxa" w:w="5256"/>
            <w:vAlign w:val="top"/>
            <w:shd w:fill="F7F9FA"/>
          </w:tcPr>
          <w:p>
            <w:pPr>
              <w:spacing w:after="0"/>
            </w:pPr>
            <w:r/>
            <w:r>
              <w:rPr>
                <w:rFonts w:ascii="Aptos" w:hAnsi="Aptos"/>
                <w:b w:val="0"/>
                <w:sz w:val="16"/>
              </w:rPr>
              <w:t>The diagnosis alone does not establish impairment because professional functioning remains effective The facts show effective professional functioning despite the diagnosis.</w:t>
            </w:r>
          </w:p>
        </w:tc>
        <w:tc>
          <w:tcPr>
            <w:tcW w:type="dxa" w:w="2520"/>
            <w:vAlign w:val="top"/>
            <w:shd w:fill="F7F9FA"/>
          </w:tcPr>
          <w:p>
            <w:pPr>
              <w:spacing w:after="0"/>
            </w:pPr>
            <w:r/>
            <w:r>
              <w:rPr>
                <w:rFonts w:ascii="Aptos" w:hAnsi="Aptos"/>
                <w:b w:val="0"/>
                <w:sz w:val="16"/>
              </w:rPr>
              <w:t>Do not stigmatize a diagnosis. Look for actual decline in judgment, performance, or client safety.</w:t>
            </w:r>
          </w:p>
        </w:tc>
      </w:tr>
      <w:tr>
        <w:tc>
          <w:tcPr>
            <w:tcW w:type="dxa" w:w="2376"/>
            <w:vAlign w:val="top"/>
          </w:tcPr>
          <w:p>
            <w:pPr>
              <w:spacing w:after="0"/>
            </w:pPr>
            <w:r/>
            <w:r>
              <w:rPr>
                <w:rFonts w:ascii="Aptos" w:hAnsi="Aptos"/>
                <w:b/>
                <w:sz w:val="16"/>
              </w:rPr>
              <w:t>Pattern and Warning Signs</w:t>
            </w:r>
          </w:p>
        </w:tc>
        <w:tc>
          <w:tcPr>
            <w:tcW w:type="dxa" w:w="5256"/>
            <w:vAlign w:val="top"/>
          </w:tcPr>
          <w:p>
            <w:pPr>
              <w:spacing w:after="0"/>
            </w:pPr>
            <w:r/>
            <w:r>
              <w:rPr>
                <w:rFonts w:ascii="Aptos" w:hAnsi="Aptos"/>
                <w:b w:val="0"/>
                <w:sz w:val="16"/>
              </w:rPr>
              <w:t>A repeated pattern across several professional duties suggests meaningful functional decline.</w:t>
            </w:r>
          </w:p>
        </w:tc>
        <w:tc>
          <w:tcPr>
            <w:tcW w:type="dxa" w:w="2520"/>
            <w:vAlign w:val="top"/>
          </w:tcPr>
          <w:p>
            <w:pPr>
              <w:spacing w:after="0"/>
            </w:pPr>
            <w:r/>
            <w:r>
              <w:rPr>
                <w:rFonts w:ascii="Aptos" w:hAnsi="Aptos"/>
                <w:b w:val="0"/>
                <w:sz w:val="16"/>
              </w:rPr>
              <w:t>Patterns, persistence, severity, and client impact carry more weight than a single isolated event.</w:t>
            </w:r>
          </w:p>
        </w:tc>
      </w:tr>
      <w:tr>
        <w:tc>
          <w:tcPr>
            <w:tcW w:type="dxa" w:w="2376"/>
            <w:vAlign w:val="top"/>
            <w:shd w:fill="F7F9FA"/>
          </w:tcPr>
          <w:p>
            <w:pPr>
              <w:spacing w:after="0"/>
            </w:pPr>
            <w:r/>
            <w:r>
              <w:rPr>
                <w:rFonts w:ascii="Aptos" w:hAnsi="Aptos"/>
                <w:b/>
                <w:sz w:val="16"/>
              </w:rPr>
              <w:t>Impairment vs. Misconduct</w:t>
            </w:r>
          </w:p>
        </w:tc>
        <w:tc>
          <w:tcPr>
            <w:tcW w:type="dxa" w:w="5256"/>
            <w:vAlign w:val="top"/>
            <w:shd w:fill="F7F9FA"/>
          </w:tcPr>
          <w:p>
            <w:pPr>
              <w:spacing w:after="0"/>
            </w:pPr>
            <w:r/>
            <w:r>
              <w:rPr>
                <w:rFonts w:ascii="Aptos" w:hAnsi="Aptos"/>
                <w:b w:val="0"/>
                <w:sz w:val="16"/>
              </w:rPr>
              <w:t>The concepts may overlap, but their primary focus differs.</w:t>
            </w:r>
          </w:p>
        </w:tc>
        <w:tc>
          <w:tcPr>
            <w:tcW w:type="dxa" w:w="2520"/>
            <w:vAlign w:val="top"/>
            <w:shd w:fill="F7F9FA"/>
          </w:tcPr>
          <w:p>
            <w:pPr>
              <w:spacing w:after="0"/>
            </w:pPr>
            <w:r/>
            <w:r>
              <w:rPr>
                <w:rFonts w:ascii="Aptos" w:hAnsi="Aptos"/>
                <w:b w:val="0"/>
                <w:sz w:val="16"/>
              </w:rPr>
              <w:t>Separate the source of reduced functioning from the conduct that must still be evaluated and addressed.</w:t>
            </w:r>
          </w:p>
        </w:tc>
      </w:tr>
      <w:tr>
        <w:tc>
          <w:tcPr>
            <w:tcW w:type="dxa" w:w="2376"/>
            <w:vAlign w:val="top"/>
          </w:tcPr>
          <w:p>
            <w:pPr>
              <w:spacing w:after="0"/>
            </w:pPr>
            <w:r/>
            <w:r>
              <w:rPr>
                <w:rFonts w:ascii="Aptos" w:hAnsi="Aptos"/>
                <w:b/>
                <w:sz w:val="16"/>
              </w:rPr>
              <w:t>Initial Functional Assessment</w:t>
            </w:r>
          </w:p>
        </w:tc>
        <w:tc>
          <w:tcPr>
            <w:tcW w:type="dxa" w:w="5256"/>
            <w:vAlign w:val="top"/>
          </w:tcPr>
          <w:p>
            <w:pPr>
              <w:spacing w:after="0"/>
            </w:pPr>
            <w:r/>
            <w:r>
              <w:rPr>
                <w:rFonts w:ascii="Aptos" w:hAnsi="Aptos"/>
                <w:b w:val="0"/>
                <w:sz w:val="16"/>
              </w:rPr>
              <w:t>A focused functional and risk assessment should guide the next proportionate step.</w:t>
            </w:r>
          </w:p>
        </w:tc>
        <w:tc>
          <w:tcPr>
            <w:tcW w:type="dxa" w:w="2520"/>
            <w:vAlign w:val="top"/>
          </w:tcPr>
          <w:p>
            <w:pPr>
              <w:spacing w:after="0"/>
            </w:pPr>
            <w:r/>
            <w:r>
              <w:rPr>
                <w:rFonts w:ascii="Aptos" w:hAnsi="Aptos"/>
                <w:b w:val="0"/>
                <w:sz w:val="16"/>
              </w:rPr>
              <w:t>When urgency is not established, identify and assess before choosing a more restrictive intervention.</w:t>
            </w:r>
          </w:p>
        </w:tc>
      </w:tr>
      <w:tr>
        <w:tc>
          <w:tcPr>
            <w:tcW w:type="dxa" w:w="2376"/>
            <w:vAlign w:val="top"/>
            <w:shd w:fill="F7F9FA"/>
          </w:tcPr>
          <w:p>
            <w:pPr>
              <w:spacing w:after="0"/>
            </w:pPr>
            <w:r/>
            <w:r>
              <w:rPr>
                <w:rFonts w:ascii="Aptos" w:hAnsi="Aptos"/>
                <w:b/>
                <w:sz w:val="16"/>
              </w:rPr>
              <w:t>Stress With Intact Functioning</w:t>
            </w:r>
          </w:p>
        </w:tc>
        <w:tc>
          <w:tcPr>
            <w:tcW w:type="dxa" w:w="5256"/>
            <w:vAlign w:val="top"/>
            <w:shd w:fill="F7F9FA"/>
          </w:tcPr>
          <w:p>
            <w:pPr>
              <w:spacing w:after="0"/>
            </w:pPr>
            <w:r/>
            <w:r>
              <w:rPr>
                <w:rFonts w:ascii="Aptos" w:hAnsi="Aptos"/>
                <w:b w:val="0"/>
                <w:sz w:val="16"/>
              </w:rPr>
              <w:t>The central issue is professional functioning, which remains intact in the scenario.</w:t>
            </w:r>
          </w:p>
        </w:tc>
        <w:tc>
          <w:tcPr>
            <w:tcW w:type="dxa" w:w="2520"/>
            <w:vAlign w:val="top"/>
            <w:shd w:fill="F7F9FA"/>
          </w:tcPr>
          <w:p>
            <w:pPr>
              <w:spacing w:after="0"/>
            </w:pPr>
            <w:r/>
            <w:r>
              <w:rPr>
                <w:rFonts w:ascii="Aptos" w:hAnsi="Aptos"/>
                <w:b w:val="0"/>
                <w:sz w:val="16"/>
              </w:rPr>
              <w:t>The presence of a stressor is not enough; locate evidence of actual professional impact.</w:t>
            </w:r>
          </w:p>
        </w:tc>
      </w:tr>
      <w:tr>
        <w:tc>
          <w:tcPr>
            <w:tcW w:type="dxa" w:w="2376"/>
            <w:vAlign w:val="top"/>
          </w:tcPr>
          <w:p>
            <w:pPr>
              <w:spacing w:after="0"/>
            </w:pPr>
            <w:r/>
            <w:r>
              <w:rPr>
                <w:rFonts w:ascii="Aptos" w:hAnsi="Aptos"/>
                <w:b/>
                <w:sz w:val="16"/>
              </w:rPr>
              <w:t>Pattern of Functional Decline</w:t>
            </w:r>
          </w:p>
        </w:tc>
        <w:tc>
          <w:tcPr>
            <w:tcW w:type="dxa" w:w="5256"/>
            <w:vAlign w:val="top"/>
          </w:tcPr>
          <w:p>
            <w:pPr>
              <w:spacing w:after="0"/>
            </w:pPr>
            <w:r/>
            <w:r>
              <w:rPr>
                <w:rFonts w:ascii="Aptos" w:hAnsi="Aptos"/>
                <w:b w:val="0"/>
                <w:sz w:val="16"/>
              </w:rPr>
              <w:t>The repeated pattern affects reliability, documentation, memory, and risk assessment and requires prompt evaluation.</w:t>
            </w:r>
          </w:p>
        </w:tc>
        <w:tc>
          <w:tcPr>
            <w:tcW w:type="dxa" w:w="2520"/>
            <w:vAlign w:val="top"/>
          </w:tcPr>
          <w:p>
            <w:pPr>
              <w:spacing w:after="0"/>
            </w:pPr>
            <w:r/>
            <w:r>
              <w:rPr>
                <w:rFonts w:ascii="Aptos" w:hAnsi="Aptos"/>
                <w:b w:val="0"/>
                <w:sz w:val="16"/>
              </w:rPr>
              <w:t>When several areas of performance decline together, treat the pattern as clinically and ethically significant.</w:t>
            </w:r>
          </w:p>
        </w:tc>
      </w:tr>
      <w:tr>
        <w:tc>
          <w:tcPr>
            <w:tcW w:type="dxa" w:w="2376"/>
            <w:vAlign w:val="top"/>
            <w:shd w:fill="F7F9FA"/>
          </w:tcPr>
          <w:p>
            <w:pPr>
              <w:spacing w:after="0"/>
            </w:pPr>
            <w:r/>
            <w:r>
              <w:rPr>
                <w:rFonts w:ascii="Aptos" w:hAnsi="Aptos"/>
                <w:b/>
                <w:sz w:val="16"/>
              </w:rPr>
              <w:t>Medication and Functional Impact</w:t>
            </w:r>
          </w:p>
        </w:tc>
        <w:tc>
          <w:tcPr>
            <w:tcW w:type="dxa" w:w="5256"/>
            <w:vAlign w:val="top"/>
            <w:shd w:fill="F7F9FA"/>
          </w:tcPr>
          <w:p>
            <w:pPr>
              <w:spacing w:after="0"/>
            </w:pPr>
            <w:r/>
            <w:r>
              <w:rPr>
                <w:rFonts w:ascii="Aptos" w:hAnsi="Aptos"/>
                <w:b w:val="0"/>
                <w:sz w:val="16"/>
              </w:rPr>
              <w:t>The professional question is whether side effects interfere with safe performance.</w:t>
            </w:r>
          </w:p>
        </w:tc>
        <w:tc>
          <w:tcPr>
            <w:tcW w:type="dxa" w:w="2520"/>
            <w:vAlign w:val="top"/>
            <w:shd w:fill="F7F9FA"/>
          </w:tcPr>
          <w:p>
            <w:pPr>
              <w:spacing w:after="0"/>
            </w:pPr>
            <w:r/>
            <w:r>
              <w:rPr>
                <w:rFonts w:ascii="Aptos" w:hAnsi="Aptos"/>
                <w:b w:val="0"/>
                <w:sz w:val="16"/>
              </w:rPr>
              <w:t>Focus on observable side effects and current performance, not the legal status of the medication alone.</w:t>
            </w:r>
          </w:p>
        </w:tc>
      </w:tr>
      <w:tr>
        <w:tc>
          <w:tcPr>
            <w:tcW w:type="dxa" w:w="2376"/>
            <w:vAlign w:val="top"/>
          </w:tcPr>
          <w:p>
            <w:pPr>
              <w:spacing w:after="0"/>
            </w:pPr>
            <w:r/>
            <w:r>
              <w:rPr>
                <w:rFonts w:ascii="Aptos" w:hAnsi="Aptos"/>
                <w:b/>
                <w:sz w:val="16"/>
              </w:rPr>
              <w:t>Immediate Colleague Concern</w:t>
            </w:r>
          </w:p>
        </w:tc>
        <w:tc>
          <w:tcPr>
            <w:tcW w:type="dxa" w:w="5256"/>
            <w:vAlign w:val="top"/>
          </w:tcPr>
          <w:p>
            <w:pPr>
              <w:spacing w:after="0"/>
            </w:pPr>
            <w:r/>
            <w:r>
              <w:rPr>
                <w:rFonts w:ascii="Aptos" w:hAnsi="Aptos"/>
                <w:b w:val="0"/>
                <w:sz w:val="16"/>
              </w:rPr>
              <w:t>The observer should prevent unsafe service and use the available professional chain of responsibility.</w:t>
            </w:r>
          </w:p>
        </w:tc>
        <w:tc>
          <w:tcPr>
            <w:tcW w:type="dxa" w:w="2520"/>
            <w:vAlign w:val="top"/>
          </w:tcPr>
          <w:p>
            <w:pPr>
              <w:spacing w:after="0"/>
            </w:pPr>
            <w:r/>
            <w:r>
              <w:rPr>
                <w:rFonts w:ascii="Aptos" w:hAnsi="Aptos"/>
                <w:b w:val="0"/>
                <w:sz w:val="16"/>
              </w:rPr>
              <w:t>In an urgent situation, protect the client first; investigate the cause after unsafe practice has been prevented.</w:t>
            </w:r>
          </w:p>
        </w:tc>
      </w:tr>
      <w:tr>
        <w:tc>
          <w:tcPr>
            <w:tcW w:type="dxa" w:w="2376"/>
            <w:vAlign w:val="top"/>
            <w:shd w:fill="F7F9FA"/>
          </w:tcPr>
          <w:p>
            <w:pPr>
              <w:spacing w:after="0"/>
            </w:pPr>
            <w:r/>
            <w:r>
              <w:rPr>
                <w:rFonts w:ascii="Aptos" w:hAnsi="Aptos"/>
                <w:b/>
                <w:sz w:val="16"/>
              </w:rPr>
              <w:t>Feedback and Insight</w:t>
            </w:r>
          </w:p>
        </w:tc>
        <w:tc>
          <w:tcPr>
            <w:tcW w:type="dxa" w:w="5256"/>
            <w:vAlign w:val="top"/>
            <w:shd w:fill="F7F9FA"/>
          </w:tcPr>
          <w:p>
            <w:pPr>
              <w:spacing w:after="0"/>
            </w:pPr>
            <w:r/>
            <w:r>
              <w:rPr>
                <w:rFonts w:ascii="Aptos" w:hAnsi="Aptos"/>
                <w:b w:val="0"/>
                <w:sz w:val="16"/>
              </w:rPr>
              <w:t>Persistent dismissal of concrete concerns increases the risk that functional decline will continue unaddressed.</w:t>
            </w:r>
          </w:p>
        </w:tc>
        <w:tc>
          <w:tcPr>
            <w:tcW w:type="dxa" w:w="2520"/>
            <w:vAlign w:val="top"/>
            <w:shd w:fill="F7F9FA"/>
          </w:tcPr>
          <w:p>
            <w:pPr>
              <w:spacing w:after="0"/>
            </w:pPr>
            <w:r/>
            <w:r>
              <w:rPr>
                <w:rFonts w:ascii="Aptos" w:hAnsi="Aptos"/>
                <w:b w:val="0"/>
                <w:sz w:val="16"/>
              </w:rPr>
              <w:t>The examination often treats denial or minimization as an additional risk factor, not proof of a diagnosis.</w:t>
            </w:r>
          </w:p>
        </w:tc>
      </w:tr>
      <w:tr>
        <w:tc>
          <w:tcPr>
            <w:tcW w:type="dxa" w:w="2376"/>
            <w:vAlign w:val="top"/>
          </w:tcPr>
          <w:p>
            <w:pPr>
              <w:spacing w:after="0"/>
            </w:pPr>
            <w:r/>
            <w:r>
              <w:rPr>
                <w:rFonts w:ascii="Aptos" w:hAnsi="Aptos"/>
                <w:b/>
                <w:sz w:val="16"/>
              </w:rPr>
              <w:t>Impairment vs. Incompetence</w:t>
            </w:r>
          </w:p>
        </w:tc>
        <w:tc>
          <w:tcPr>
            <w:tcW w:type="dxa" w:w="5256"/>
            <w:vAlign w:val="top"/>
          </w:tcPr>
          <w:p>
            <w:pPr>
              <w:spacing w:after="0"/>
            </w:pPr>
            <w:r/>
            <w:r>
              <w:rPr>
                <w:rFonts w:ascii="Aptos" w:hAnsi="Aptos"/>
                <w:b w:val="0"/>
                <w:sz w:val="16"/>
              </w:rPr>
              <w:t>Impairment is one possible source of reduced ability, not the only source.</w:t>
            </w:r>
          </w:p>
        </w:tc>
        <w:tc>
          <w:tcPr>
            <w:tcW w:type="dxa" w:w="2520"/>
            <w:vAlign w:val="top"/>
          </w:tcPr>
          <w:p>
            <w:pPr>
              <w:spacing w:after="0"/>
            </w:pPr>
            <w:r/>
            <w:r>
              <w:rPr>
                <w:rFonts w:ascii="Aptos" w:hAnsi="Aptos"/>
                <w:b w:val="0"/>
                <w:sz w:val="16"/>
              </w:rPr>
              <w:t>Identify whether the question is asking about the cause of decline or the clinician’s actual ability to perform.</w:t>
            </w:r>
          </w:p>
        </w:tc>
      </w:tr>
      <w:tr>
        <w:tc>
          <w:tcPr>
            <w:tcW w:type="dxa" w:w="2376"/>
            <w:vAlign w:val="top"/>
            <w:shd w:fill="F7F9FA"/>
          </w:tcPr>
          <w:p>
            <w:pPr>
              <w:spacing w:after="0"/>
            </w:pPr>
            <w:r/>
            <w:r>
              <w:rPr>
                <w:rFonts w:ascii="Aptos" w:hAnsi="Aptos"/>
                <w:b/>
                <w:sz w:val="16"/>
              </w:rPr>
              <w:t>California Substance-Related Standard</w:t>
            </w:r>
          </w:p>
        </w:tc>
        <w:tc>
          <w:tcPr>
            <w:tcW w:type="dxa" w:w="5256"/>
            <w:vAlign w:val="top"/>
            <w:shd w:fill="F7F9FA"/>
          </w:tcPr>
          <w:p>
            <w:pPr>
              <w:spacing w:after="0"/>
            </w:pPr>
            <w:r/>
            <w:r>
              <w:rPr>
                <w:rFonts w:ascii="Aptos" w:hAnsi="Aptos"/>
                <w:b w:val="0"/>
                <w:sz w:val="16"/>
              </w:rPr>
              <w:t>The BBS practice acts focus on use that is dangerous or injurious or impairs safe professional practice.</w:t>
            </w:r>
          </w:p>
        </w:tc>
        <w:tc>
          <w:tcPr>
            <w:tcW w:type="dxa" w:w="2520"/>
            <w:vAlign w:val="top"/>
            <w:shd w:fill="F7F9FA"/>
          </w:tcPr>
          <w:p>
            <w:pPr>
              <w:spacing w:after="0"/>
            </w:pPr>
            <w:r/>
            <w:r>
              <w:rPr>
                <w:rFonts w:ascii="Aptos" w:hAnsi="Aptos"/>
                <w:b w:val="0"/>
                <w:sz w:val="16"/>
              </w:rPr>
              <w:t>On legal questions, look for the statutory link between substance use and danger, injury, or inability to practice safely.</w:t>
            </w:r>
          </w:p>
        </w:tc>
      </w:tr>
      <w:tr>
        <w:tc>
          <w:tcPr>
            <w:tcW w:type="dxa" w:w="2376"/>
            <w:vAlign w:val="top"/>
          </w:tcPr>
          <w:p>
            <w:pPr>
              <w:spacing w:after="0"/>
            </w:pPr>
            <w:r/>
            <w:r>
              <w:rPr>
                <w:rFonts w:ascii="Aptos" w:hAnsi="Aptos"/>
                <w:b/>
                <w:sz w:val="16"/>
              </w:rPr>
              <w:t>Recognizing a Pattern of Fatigue-Related Functional Decline</w:t>
            </w:r>
          </w:p>
        </w:tc>
        <w:tc>
          <w:tcPr>
            <w:tcW w:type="dxa" w:w="5256"/>
            <w:vAlign w:val="top"/>
          </w:tcPr>
          <w:p>
            <w:pPr>
              <w:spacing w:after="0"/>
            </w:pPr>
            <w:r/>
            <w:r>
              <w:rPr>
                <w:rFonts w:ascii="Aptos" w:hAnsi="Aptos"/>
                <w:b w:val="0"/>
                <w:sz w:val="16"/>
              </w:rPr>
              <w:t>Repeated dozing, errors, and difficulty retaining information suggest a meaningful decline in professional functioning. The first response is a prompt, focused assessment of severity, causes, client impact, and immediate safeguards. Temporary workload changes, coverage, consultation, or medical evaluation may be appropriate depending on the findings.</w:t>
            </w:r>
          </w:p>
        </w:tc>
        <w:tc>
          <w:tcPr>
            <w:tcW w:type="dxa" w:w="2520"/>
            <w:vAlign w:val="top"/>
          </w:tcPr>
          <w:p>
            <w:pPr>
              <w:spacing w:after="0"/>
            </w:pPr>
            <w:r/>
            <w:r>
              <w:rPr>
                <w:rFonts w:ascii="Aptos" w:hAnsi="Aptos"/>
                <w:b w:val="0"/>
                <w:sz w:val="16"/>
              </w:rPr>
              <w:t>When a pattern suggests impairment but no immediate emergency is established, assess functioning promptly and use proportionate safeguards before choosing a permanent response.</w:t>
            </w:r>
          </w:p>
        </w:tc>
      </w:tr>
      <w:tr>
        <w:tc>
          <w:tcPr>
            <w:tcW w:type="dxa" w:w="2376"/>
            <w:vAlign w:val="top"/>
            <w:shd w:fill="F7F9FA"/>
          </w:tcPr>
          <w:p>
            <w:pPr>
              <w:spacing w:after="0"/>
            </w:pPr>
            <w:r/>
            <w:r>
              <w:rPr>
                <w:rFonts w:ascii="Aptos" w:hAnsi="Aptos"/>
                <w:b/>
                <w:sz w:val="16"/>
              </w:rPr>
              <w:t>Disability, Bias, and Functional Assessment</w:t>
            </w:r>
          </w:p>
        </w:tc>
        <w:tc>
          <w:tcPr>
            <w:tcW w:type="dxa" w:w="5256"/>
            <w:vAlign w:val="top"/>
            <w:shd w:fill="F7F9FA"/>
          </w:tcPr>
          <w:p>
            <w:pPr>
              <w:spacing w:after="0"/>
            </w:pPr>
            <w:r/>
            <w:r>
              <w:rPr>
                <w:rFonts w:ascii="Aptos" w:hAnsi="Aptos"/>
                <w:b w:val="0"/>
                <w:sz w:val="16"/>
              </w:rPr>
              <w:t>Professional impairment is a functional concept. The facts show that the clinician continues to perform essential duties safely and effectively. A disability and an effective accommodation do not, by themselves, establish impairment.</w:t>
            </w:r>
          </w:p>
        </w:tc>
        <w:tc>
          <w:tcPr>
            <w:tcW w:type="dxa" w:w="2520"/>
            <w:vAlign w:val="top"/>
            <w:shd w:fill="F7F9FA"/>
          </w:tcPr>
          <w:p>
            <w:pPr>
              <w:spacing w:after="0"/>
            </w:pPr>
            <w:r/>
            <w:r>
              <w:rPr>
                <w:rFonts w:ascii="Aptos" w:hAnsi="Aptos"/>
                <w:b w:val="0"/>
                <w:sz w:val="16"/>
              </w:rPr>
              <w:t>Avoid conclusions based on diagnosis, disability, or accommodation alone. Look for evidence of actual professional functioning and client impact.</w:t>
            </w:r>
          </w:p>
        </w:tc>
      </w:tr>
      <w:tr>
        <w:tc>
          <w:tcPr>
            <w:tcW w:type="dxa" w:w="2376"/>
            <w:vAlign w:val="top"/>
          </w:tcPr>
          <w:p>
            <w:pPr>
              <w:spacing w:after="0"/>
            </w:pPr>
            <w:r/>
            <w:r>
              <w:rPr>
                <w:rFonts w:ascii="Aptos" w:hAnsi="Aptos"/>
                <w:b/>
                <w:sz w:val="16"/>
              </w:rPr>
              <w:t>Colleague Impairment and Appropriate Channels</w:t>
            </w:r>
          </w:p>
        </w:tc>
        <w:tc>
          <w:tcPr>
            <w:tcW w:type="dxa" w:w="5256"/>
            <w:vAlign w:val="top"/>
          </w:tcPr>
          <w:p>
            <w:pPr>
              <w:spacing w:after="0"/>
            </w:pPr>
            <w:r/>
            <w:r>
              <w:rPr>
                <w:rFonts w:ascii="Aptos" w:hAnsi="Aptos"/>
                <w:b w:val="0"/>
                <w:sz w:val="16"/>
              </w:rPr>
              <w:t>Professional ethics support action through appropriate channels when a colleague's impairment affects practice and has not been adequately addressed.</w:t>
            </w:r>
          </w:p>
        </w:tc>
        <w:tc>
          <w:tcPr>
            <w:tcW w:type="dxa" w:w="2520"/>
            <w:vAlign w:val="top"/>
          </w:tcPr>
          <w:p>
            <w:pPr>
              <w:spacing w:after="0"/>
            </w:pPr>
            <w:r/>
            <w:r>
              <w:rPr>
                <w:rFonts w:ascii="Aptos" w:hAnsi="Aptos"/>
                <w:b w:val="0"/>
                <w:sz w:val="16"/>
              </w:rPr>
              <w:t>After feasible supportive efforts fail, the exam favors appropriate formal channels—not gossip, avoidance, or unsupported diagnosis.</w:t>
            </w:r>
          </w:p>
        </w:tc>
      </w:tr>
      <w:tr>
        <w:tc>
          <w:tcPr>
            <w:tcW w:type="dxa" w:w="2376"/>
            <w:vAlign w:val="top"/>
            <w:shd w:fill="F7F9FA"/>
          </w:tcPr>
          <w:p>
            <w:pPr>
              <w:spacing w:after="0"/>
            </w:pPr>
            <w:r/>
            <w:r>
              <w:rPr>
                <w:rFonts w:ascii="Aptos" w:hAnsi="Aptos"/>
                <w:b/>
                <w:sz w:val="16"/>
              </w:rPr>
              <w:t>Impairment, Income, and Professional Responsibility</w:t>
            </w:r>
          </w:p>
        </w:tc>
        <w:tc>
          <w:tcPr>
            <w:tcW w:type="dxa" w:w="5256"/>
            <w:vAlign w:val="top"/>
            <w:shd w:fill="F7F9FA"/>
          </w:tcPr>
          <w:p>
            <w:pPr>
              <w:spacing w:after="0"/>
            </w:pPr>
            <w:r/>
            <w:r>
              <w:rPr>
                <w:rFonts w:ascii="Aptos" w:hAnsi="Aptos"/>
                <w:b w:val="0"/>
                <w:sz w:val="16"/>
              </w:rPr>
              <w:t>The functional effects are already compromising professional performance, and financial pressure does not justify unsafe practice.</w:t>
            </w:r>
          </w:p>
        </w:tc>
        <w:tc>
          <w:tcPr>
            <w:tcW w:type="dxa" w:w="2520"/>
            <w:vAlign w:val="top"/>
            <w:shd w:fill="F7F9FA"/>
          </w:tcPr>
          <w:p>
            <w:pPr>
              <w:spacing w:after="0"/>
            </w:pPr>
            <w:r/>
            <w:r>
              <w:rPr>
                <w:rFonts w:ascii="Aptos" w:hAnsi="Aptos"/>
                <w:b w:val="0"/>
                <w:sz w:val="16"/>
              </w:rPr>
              <w:t>Do not stigmatize the condition; focus on actual functional effects and whether the clinician responds responsibly.</w:t>
            </w:r>
          </w:p>
        </w:tc>
      </w:tr>
      <w:tr>
        <w:tc>
          <w:tcPr>
            <w:tcW w:type="dxa" w:w="2376"/>
            <w:vAlign w:val="top"/>
          </w:tcPr>
          <w:p>
            <w:pPr>
              <w:spacing w:after="0"/>
            </w:pPr>
            <w:r/>
            <w:r>
              <w:rPr>
                <w:rFonts w:ascii="Aptos" w:hAnsi="Aptos"/>
                <w:b/>
                <w:sz w:val="16"/>
              </w:rPr>
              <w:t>Comprehensive Impairment Analysis</w:t>
            </w:r>
          </w:p>
        </w:tc>
        <w:tc>
          <w:tcPr>
            <w:tcW w:type="dxa" w:w="5256"/>
            <w:vAlign w:val="top"/>
          </w:tcPr>
          <w:p>
            <w:pPr>
              <w:spacing w:after="0"/>
            </w:pPr>
            <w:r/>
            <w:r>
              <w:rPr>
                <w:rFonts w:ascii="Aptos" w:hAnsi="Aptos"/>
                <w:b w:val="0"/>
                <w:sz w:val="16"/>
              </w:rPr>
              <w:t>Identify the functional decline, assess immediate client risk, use appropriate supervision and health support, modify or stop affected duties as needed, arrange continuity of care, and reevaluate before resuming full responsibilities This integrates recognition, risk assessment, proportionate action, professional assistance, continuity, and return-to-practice evaluation.</w:t>
            </w:r>
          </w:p>
        </w:tc>
        <w:tc>
          <w:tcPr>
            <w:tcW w:type="dxa" w:w="2520"/>
            <w:vAlign w:val="top"/>
          </w:tcPr>
          <w:p>
            <w:pPr>
              <w:spacing w:after="0"/>
            </w:pPr>
            <w:r/>
            <w:r>
              <w:rPr>
                <w:rFonts w:ascii="Aptos" w:hAnsi="Aptos"/>
                <w:b w:val="0"/>
                <w:sz w:val="16"/>
              </w:rPr>
              <w:t>For integrated questions, organize the facts using FUNCTION, PATTERN, RISK, RESPONSE, and CONTINUITY.</w:t>
            </w:r>
          </w:p>
        </w:tc>
      </w:tr>
    </w:tbl>
    <w:p>
      <w:pPr>
        <w:pStyle w:val="Heading2"/>
      </w:pPr>
      <w:r>
        <w:t>Exam Reasoning Checklist</w:t>
      </w:r>
    </w:p>
    <w:p>
      <w:pPr>
        <w:pStyle w:val="ListBullet"/>
        <w:spacing w:after="30"/>
      </w:pPr>
      <w:r>
        <w:t>Choose the answer that connects a condition to actual professional functioning and client protection.</w:t>
      </w:r>
    </w:p>
    <w:p>
      <w:pPr>
        <w:pStyle w:val="ListBullet"/>
        <w:spacing w:after="30"/>
      </w:pPr>
      <w:r>
        <w:t>Do not stigmatize a diagnosis. Look for actual decline in judgment, performance, or client safety.</w:t>
      </w:r>
    </w:p>
    <w:p>
      <w:pPr>
        <w:pStyle w:val="ListBullet"/>
        <w:spacing w:after="30"/>
      </w:pPr>
      <w:r>
        <w:t>Patterns, persistence, severity, and client impact carry more weight than a single isolated event.</w:t>
      </w:r>
    </w:p>
    <w:p>
      <w:pPr>
        <w:pStyle w:val="ListBullet"/>
        <w:spacing w:after="30"/>
      </w:pPr>
      <w:r>
        <w:t>Separate the source of reduced functioning from the conduct that must still be evaluated and addressed.</w:t>
      </w:r>
    </w:p>
    <w:p>
      <w:pPr>
        <w:pStyle w:val="ListBullet"/>
        <w:spacing w:after="30"/>
      </w:pPr>
      <w:r>
        <w:t>When urgency is not established, identify and assess before choosing a more restrictive intervention.</w:t>
      </w:r>
    </w:p>
    <w:p>
      <w:pPr>
        <w:pStyle w:val="ListBullet"/>
        <w:spacing w:after="30"/>
      </w:pPr>
      <w:r>
        <w:t>The presence of a stressor is not enough; locate evidence of actual professional impact.</w:t>
      </w:r>
    </w:p>
    <w:p>
      <w:pPr>
        <w:pStyle w:val="ListBullet"/>
        <w:spacing w:after="30"/>
      </w:pPr>
      <w:r>
        <w:t>When several areas of performance decline together, treat the pattern as clinically and ethically significant.</w:t>
      </w:r>
    </w:p>
    <w:p>
      <w:pPr>
        <w:pStyle w:val="ListBullet"/>
        <w:spacing w:after="30"/>
      </w:pPr>
      <w:r>
        <w:t>Focus on observable side effects and current performance, not the legal status of the medication alone.</w:t>
      </w:r>
    </w:p>
    <w:p>
      <w:pPr>
        <w:pStyle w:val="Heading2"/>
      </w:pPr>
      <w:r>
        <w:t>Chapter Rapid Review</w:t>
      </w:r>
    </w:p>
    <w:p>
      <w:r>
        <w:rPr>
          <w:b/>
        </w:rPr>
        <w:t xml:space="preserve">Know these concepts: </w:t>
      </w:r>
      <w:r>
        <w:t>Definition of Professional Impairment; Diagnosis vs. Impairment; Pattern and Warning Signs; Impairment vs. Misconduct; Initial Functional Assessment; Stress With Intact Functioning; Pattern of Functional Decline; Medication and Functional Impact; Immediate Colleague Concern; Feedback and Insight; Impairment vs. Incompetence; California Substance-Related Standard; Recognizing a Pattern of Fatigue-Related Functional Decline; Disability, Bias, and Functional Assessment; Colleague Impairment and Appropriate Channels; Impairment, Income, and Professional Responsibility; Comprehensive Impairment Analysis</w:t>
      </w:r>
    </w:p>
    <w:p>
      <w:r>
        <w:br w:type="page"/>
      </w:r>
    </w:p>
    <w:p>
      <w:pPr>
        <w:pStyle w:val="Heading2"/>
      </w:pPr>
      <w:r>
        <w:t>Chapter 2</w:t>
      </w:r>
    </w:p>
    <w:p>
      <w:pPr>
        <w:pStyle w:val="Heading1"/>
      </w:pPr>
      <w:r>
        <w:t>Substance Use and Professional Impairment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Professional impairment is a functional concept tied to safe, ethical, and effective performance. The relevant issue is the medication’s actual effect on professional functioning, addressed with appropriate medical input.</w:t>
            </w:r>
          </w:p>
        </w:tc>
      </w:tr>
    </w:tbl>
    <w:p>
      <w:pPr>
        <w:pStyle w:val="Heading2"/>
      </w:pPr>
      <w:r>
        <w:t>What to Learn</w:t>
      </w:r>
    </w:p>
    <w:p>
      <w:pPr>
        <w:pStyle w:val="ListBullet"/>
        <w:spacing w:after="30"/>
      </w:pPr>
      <w:r>
        <w:t>Explain and apply Substance Use vs. Impairment.</w:t>
      </w:r>
    </w:p>
    <w:p>
      <w:pPr>
        <w:pStyle w:val="ListBullet"/>
        <w:spacing w:after="30"/>
      </w:pPr>
      <w:r>
        <w:t>Explain and apply Prescribed Medication.</w:t>
      </w:r>
    </w:p>
    <w:p>
      <w:pPr>
        <w:pStyle w:val="ListBullet"/>
        <w:spacing w:after="30"/>
      </w:pPr>
      <w:r>
        <w:t>Explain and apply Off-Duty Residual Effects.</w:t>
      </w:r>
    </w:p>
    <w:p>
      <w:pPr>
        <w:pStyle w:val="ListBullet"/>
        <w:spacing w:after="30"/>
      </w:pPr>
      <w:r>
        <w:t>Explain and apply Legal Status vs. Safe Practice.</w:t>
      </w:r>
    </w:p>
    <w:p>
      <w:pPr>
        <w:pStyle w:val="ListBullet"/>
        <w:spacing w:after="30"/>
      </w:pPr>
      <w:r>
        <w:t>Explain and apply Use Without Functional Impact.</w:t>
      </w:r>
    </w:p>
    <w:p>
      <w:pPr>
        <w:pStyle w:val="ListBullet"/>
        <w:spacing w:after="30"/>
      </w:pPr>
      <w:r>
        <w:t>Explain and apply Immediate Client Safety.</w:t>
      </w:r>
    </w:p>
    <w:p>
      <w:pPr>
        <w:pStyle w:val="ListBullet"/>
        <w:spacing w:after="30"/>
      </w:pPr>
      <w:r>
        <w:t>Explain and apply Medication Side Effects and High-Risk Work.</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Substance Use vs. Impairment</w:t>
            </w:r>
          </w:p>
        </w:tc>
        <w:tc>
          <w:tcPr>
            <w:tcW w:type="dxa" w:w="5256"/>
            <w:vAlign w:val="top"/>
          </w:tcPr>
          <w:p>
            <w:pPr>
              <w:spacing w:after="0"/>
            </w:pPr>
            <w:r/>
            <w:r>
              <w:rPr>
                <w:rFonts w:ascii="Aptos" w:hAnsi="Aptos"/>
                <w:b w:val="0"/>
                <w:sz w:val="16"/>
              </w:rPr>
              <w:t>Professional impairment is a functional concept tied to safe, ethical, and effective performance.</w:t>
            </w:r>
          </w:p>
        </w:tc>
        <w:tc>
          <w:tcPr>
            <w:tcW w:type="dxa" w:w="2520"/>
            <w:vAlign w:val="top"/>
          </w:tcPr>
          <w:p>
            <w:pPr>
              <w:spacing w:after="0"/>
            </w:pPr>
            <w:r/>
            <w:r>
              <w:rPr>
                <w:rFonts w:ascii="Aptos" w:hAnsi="Aptos"/>
                <w:b w:val="0"/>
                <w:sz w:val="16"/>
              </w:rPr>
              <w:t>Choose the answer that connects substance effects to current professional functioning and client protection.</w:t>
            </w:r>
          </w:p>
        </w:tc>
      </w:tr>
      <w:tr>
        <w:tc>
          <w:tcPr>
            <w:tcW w:type="dxa" w:w="2376"/>
            <w:vAlign w:val="top"/>
            <w:shd w:fill="F7F9FA"/>
          </w:tcPr>
          <w:p>
            <w:pPr>
              <w:spacing w:after="0"/>
            </w:pPr>
            <w:r/>
            <w:r>
              <w:rPr>
                <w:rFonts w:ascii="Aptos" w:hAnsi="Aptos"/>
                <w:b/>
                <w:sz w:val="16"/>
              </w:rPr>
              <w:t>Prescribed Medication</w:t>
            </w:r>
          </w:p>
        </w:tc>
        <w:tc>
          <w:tcPr>
            <w:tcW w:type="dxa" w:w="5256"/>
            <w:vAlign w:val="top"/>
            <w:shd w:fill="F7F9FA"/>
          </w:tcPr>
          <w:p>
            <w:pPr>
              <w:spacing w:after="0"/>
            </w:pPr>
            <w:r/>
            <w:r>
              <w:rPr>
                <w:rFonts w:ascii="Aptos" w:hAnsi="Aptos"/>
                <w:b w:val="0"/>
                <w:sz w:val="16"/>
              </w:rPr>
              <w:t>The relevant issue is the medication’s actual effect on professional functioning, addressed with appropriate medical input.</w:t>
            </w:r>
          </w:p>
        </w:tc>
        <w:tc>
          <w:tcPr>
            <w:tcW w:type="dxa" w:w="2520"/>
            <w:vAlign w:val="top"/>
            <w:shd w:fill="F7F9FA"/>
          </w:tcPr>
          <w:p>
            <w:pPr>
              <w:spacing w:after="0"/>
            </w:pPr>
            <w:r/>
            <w:r>
              <w:rPr>
                <w:rFonts w:ascii="Aptos" w:hAnsi="Aptos"/>
                <w:b w:val="0"/>
                <w:sz w:val="16"/>
              </w:rPr>
              <w:t>“Prescribed” answers legality of access, not the clinician’s ability to perform every duty safely.</w:t>
            </w:r>
          </w:p>
        </w:tc>
      </w:tr>
      <w:tr>
        <w:tc>
          <w:tcPr>
            <w:tcW w:type="dxa" w:w="2376"/>
            <w:vAlign w:val="top"/>
          </w:tcPr>
          <w:p>
            <w:pPr>
              <w:spacing w:after="0"/>
            </w:pPr>
            <w:r/>
            <w:r>
              <w:rPr>
                <w:rFonts w:ascii="Aptos" w:hAnsi="Aptos"/>
                <w:b/>
                <w:sz w:val="16"/>
              </w:rPr>
              <w:t>Off-Duty Residual Effects</w:t>
            </w:r>
          </w:p>
        </w:tc>
        <w:tc>
          <w:tcPr>
            <w:tcW w:type="dxa" w:w="5256"/>
            <w:vAlign w:val="top"/>
          </w:tcPr>
          <w:p>
            <w:pPr>
              <w:spacing w:after="0"/>
            </w:pPr>
            <w:r/>
            <w:r>
              <w:rPr>
                <w:rFonts w:ascii="Aptos" w:hAnsi="Aptos"/>
                <w:b w:val="0"/>
                <w:sz w:val="16"/>
              </w:rPr>
              <w:t>Off-duty conduct becomes professionally relevant when its effects carry into judgment, reliability, or client care.</w:t>
            </w:r>
          </w:p>
        </w:tc>
        <w:tc>
          <w:tcPr>
            <w:tcW w:type="dxa" w:w="2520"/>
            <w:vAlign w:val="top"/>
          </w:tcPr>
          <w:p>
            <w:pPr>
              <w:spacing w:after="0"/>
            </w:pPr>
            <w:r/>
            <w:r>
              <w:rPr>
                <w:rFonts w:ascii="Aptos" w:hAnsi="Aptos"/>
                <w:b w:val="0"/>
                <w:sz w:val="16"/>
              </w:rPr>
              <w:t>Focus on carryover into professional functioning, not simply the time or place of use.</w:t>
            </w:r>
          </w:p>
        </w:tc>
      </w:tr>
      <w:tr>
        <w:tc>
          <w:tcPr>
            <w:tcW w:type="dxa" w:w="2376"/>
            <w:vAlign w:val="top"/>
            <w:shd w:fill="F7F9FA"/>
          </w:tcPr>
          <w:p>
            <w:pPr>
              <w:spacing w:after="0"/>
            </w:pPr>
            <w:r/>
            <w:r>
              <w:rPr>
                <w:rFonts w:ascii="Aptos" w:hAnsi="Aptos"/>
                <w:b/>
                <w:sz w:val="16"/>
              </w:rPr>
              <w:t>Legal Status vs. Safe Practice</w:t>
            </w:r>
          </w:p>
        </w:tc>
        <w:tc>
          <w:tcPr>
            <w:tcW w:type="dxa" w:w="5256"/>
            <w:vAlign w:val="top"/>
            <w:shd w:fill="F7F9FA"/>
          </w:tcPr>
          <w:p>
            <w:pPr>
              <w:spacing w:after="0"/>
            </w:pPr>
            <w:r/>
            <w:r>
              <w:rPr>
                <w:rFonts w:ascii="Aptos" w:hAnsi="Aptos"/>
                <w:b w:val="0"/>
                <w:sz w:val="16"/>
              </w:rPr>
              <w:t>Safe professional functioning remains the controlling issue.</w:t>
            </w:r>
          </w:p>
        </w:tc>
        <w:tc>
          <w:tcPr>
            <w:tcW w:type="dxa" w:w="2520"/>
            <w:vAlign w:val="top"/>
            <w:shd w:fill="F7F9FA"/>
          </w:tcPr>
          <w:p>
            <w:pPr>
              <w:spacing w:after="0"/>
            </w:pPr>
            <w:r/>
            <w:r>
              <w:rPr>
                <w:rFonts w:ascii="Aptos" w:hAnsi="Aptos"/>
                <w:b w:val="0"/>
                <w:sz w:val="16"/>
              </w:rPr>
              <w:t>Do not confuse lawful possession or use with professional fitness for a specific duty.</w:t>
            </w:r>
          </w:p>
        </w:tc>
      </w:tr>
      <w:tr>
        <w:tc>
          <w:tcPr>
            <w:tcW w:type="dxa" w:w="2376"/>
            <w:vAlign w:val="top"/>
          </w:tcPr>
          <w:p>
            <w:pPr>
              <w:spacing w:after="0"/>
            </w:pPr>
            <w:r/>
            <w:r>
              <w:rPr>
                <w:rFonts w:ascii="Aptos" w:hAnsi="Aptos"/>
                <w:b/>
                <w:sz w:val="16"/>
              </w:rPr>
              <w:t>Use Without Functional Impact</w:t>
            </w:r>
          </w:p>
        </w:tc>
        <w:tc>
          <w:tcPr>
            <w:tcW w:type="dxa" w:w="5256"/>
            <w:vAlign w:val="top"/>
          </w:tcPr>
          <w:p>
            <w:pPr>
              <w:spacing w:after="0"/>
            </w:pPr>
            <w:r/>
            <w:r>
              <w:rPr>
                <w:rFonts w:ascii="Aptos" w:hAnsi="Aptos"/>
                <w:b w:val="0"/>
                <w:sz w:val="16"/>
              </w:rPr>
              <w:t>Substance use and professional impairment are not interchangeable.</w:t>
            </w:r>
          </w:p>
        </w:tc>
        <w:tc>
          <w:tcPr>
            <w:tcW w:type="dxa" w:w="2520"/>
            <w:vAlign w:val="top"/>
          </w:tcPr>
          <w:p>
            <w:pPr>
              <w:spacing w:after="0"/>
            </w:pPr>
            <w:r/>
            <w:r>
              <w:rPr>
                <w:rFonts w:ascii="Aptos" w:hAnsi="Aptos"/>
                <w:b w:val="0"/>
                <w:sz w:val="16"/>
              </w:rPr>
              <w:t>Do not infer impairment from use alone when the stem affirmatively shows intact functioning.</w:t>
            </w:r>
          </w:p>
        </w:tc>
      </w:tr>
      <w:tr>
        <w:tc>
          <w:tcPr>
            <w:tcW w:type="dxa" w:w="2376"/>
            <w:vAlign w:val="top"/>
            <w:shd w:fill="F7F9FA"/>
          </w:tcPr>
          <w:p>
            <w:pPr>
              <w:spacing w:after="0"/>
            </w:pPr>
            <w:r/>
            <w:r>
              <w:rPr>
                <w:rFonts w:ascii="Aptos" w:hAnsi="Aptos"/>
                <w:b/>
                <w:sz w:val="16"/>
              </w:rPr>
              <w:t>Immediate Client Safety</w:t>
            </w:r>
          </w:p>
        </w:tc>
        <w:tc>
          <w:tcPr>
            <w:tcW w:type="dxa" w:w="5256"/>
            <w:vAlign w:val="top"/>
            <w:shd w:fill="F7F9FA"/>
          </w:tcPr>
          <w:p>
            <w:pPr>
              <w:spacing w:after="0"/>
            </w:pPr>
            <w:r/>
            <w:r>
              <w:rPr>
                <w:rFonts w:ascii="Aptos" w:hAnsi="Aptos"/>
                <w:b w:val="0"/>
                <w:sz w:val="16"/>
              </w:rPr>
              <w:t>Objective signs and the high-risk assignment require immediate protective action and coverage.</w:t>
            </w:r>
          </w:p>
        </w:tc>
        <w:tc>
          <w:tcPr>
            <w:tcW w:type="dxa" w:w="2520"/>
            <w:vAlign w:val="top"/>
            <w:shd w:fill="F7F9FA"/>
          </w:tcPr>
          <w:p>
            <w:pPr>
              <w:spacing w:after="0"/>
            </w:pPr>
            <w:r/>
            <w:r>
              <w:rPr>
                <w:rFonts w:ascii="Aptos" w:hAnsi="Aptos"/>
                <w:b w:val="0"/>
                <w:sz w:val="16"/>
              </w:rPr>
              <w:t>In an urgent safety scenario, coverage and protection come before diagnostic certainty.</w:t>
            </w:r>
          </w:p>
        </w:tc>
      </w:tr>
      <w:tr>
        <w:tc>
          <w:tcPr>
            <w:tcW w:type="dxa" w:w="2376"/>
            <w:vAlign w:val="top"/>
          </w:tcPr>
          <w:p>
            <w:pPr>
              <w:spacing w:after="0"/>
            </w:pPr>
            <w:r/>
            <w:r>
              <w:rPr>
                <w:rFonts w:ascii="Aptos" w:hAnsi="Aptos"/>
                <w:b/>
                <w:sz w:val="16"/>
              </w:rPr>
              <w:t>Medication Side Effects and High-Risk Work</w:t>
            </w:r>
          </w:p>
        </w:tc>
        <w:tc>
          <w:tcPr>
            <w:tcW w:type="dxa" w:w="5256"/>
            <w:vAlign w:val="top"/>
          </w:tcPr>
          <w:p>
            <w:pPr>
              <w:spacing w:after="0"/>
            </w:pPr>
            <w:r/>
            <w:r>
              <w:rPr>
                <w:rFonts w:ascii="Aptos" w:hAnsi="Aptos"/>
                <w:b w:val="0"/>
                <w:sz w:val="16"/>
              </w:rPr>
              <w:t>Assess current fitness for crisis work, seek medical guidance, and modify duties or scheduling as needed to protect clients This response addresses both the health issue and the current professional duty.</w:t>
            </w:r>
          </w:p>
        </w:tc>
        <w:tc>
          <w:tcPr>
            <w:tcW w:type="dxa" w:w="2520"/>
            <w:vAlign w:val="top"/>
          </w:tcPr>
          <w:p>
            <w:pPr>
              <w:spacing w:after="0"/>
            </w:pPr>
            <w:r/>
            <w:r>
              <w:rPr>
                <w:rFonts w:ascii="Aptos" w:hAnsi="Aptos"/>
                <w:b w:val="0"/>
                <w:sz w:val="16"/>
              </w:rPr>
              <w:t>Select the answer that addresses present client risk while using appropriate medical consultation.</w:t>
            </w:r>
          </w:p>
        </w:tc>
      </w:tr>
      <w:tr>
        <w:tc>
          <w:tcPr>
            <w:tcW w:type="dxa" w:w="2376"/>
            <w:vAlign w:val="top"/>
            <w:shd w:fill="F7F9FA"/>
          </w:tcPr>
          <w:p>
            <w:pPr>
              <w:spacing w:after="0"/>
            </w:pPr>
            <w:r/>
            <w:r>
              <w:rPr>
                <w:rFonts w:ascii="Aptos" w:hAnsi="Aptos"/>
                <w:b/>
                <w:sz w:val="16"/>
              </w:rPr>
              <w:t>Colleague Concern</w:t>
            </w:r>
          </w:p>
        </w:tc>
        <w:tc>
          <w:tcPr>
            <w:tcW w:type="dxa" w:w="5256"/>
            <w:vAlign w:val="top"/>
            <w:shd w:fill="F7F9FA"/>
          </w:tcPr>
          <w:p>
            <w:pPr>
              <w:spacing w:after="0"/>
            </w:pPr>
            <w:r/>
            <w:r>
              <w:rPr>
                <w:rFonts w:ascii="Aptos" w:hAnsi="Aptos"/>
                <w:b w:val="0"/>
                <w:sz w:val="16"/>
              </w:rPr>
              <w:t>The therapist can address objective functioning and risk without knowing the cause.</w:t>
            </w:r>
          </w:p>
        </w:tc>
        <w:tc>
          <w:tcPr>
            <w:tcW w:type="dxa" w:w="2520"/>
            <w:vAlign w:val="top"/>
            <w:shd w:fill="F7F9FA"/>
          </w:tcPr>
          <w:p>
            <w:pPr>
              <w:spacing w:after="0"/>
            </w:pPr>
            <w:r/>
            <w:r>
              <w:rPr>
                <w:rFonts w:ascii="Aptos" w:hAnsi="Aptos"/>
                <w:b w:val="0"/>
                <w:sz w:val="16"/>
              </w:rPr>
              <w:t>You do not need a diagnosis to address observable unsafe performance; you do need role-appropriate action.</w:t>
            </w:r>
          </w:p>
        </w:tc>
      </w:tr>
      <w:tr>
        <w:tc>
          <w:tcPr>
            <w:tcW w:type="dxa" w:w="2376"/>
            <w:vAlign w:val="top"/>
          </w:tcPr>
          <w:p>
            <w:pPr>
              <w:spacing w:after="0"/>
            </w:pPr>
            <w:r/>
            <w:r>
              <w:rPr>
                <w:rFonts w:ascii="Aptos" w:hAnsi="Aptos"/>
                <w:b/>
                <w:sz w:val="16"/>
              </w:rPr>
              <w:t>Treatment and Current Duties</w:t>
            </w:r>
          </w:p>
        </w:tc>
        <w:tc>
          <w:tcPr>
            <w:tcW w:type="dxa" w:w="5256"/>
            <w:vAlign w:val="top"/>
          </w:tcPr>
          <w:p>
            <w:pPr>
              <w:spacing w:after="0"/>
            </w:pPr>
            <w:r/>
            <w:r>
              <w:rPr>
                <w:rFonts w:ascii="Aptos" w:hAnsi="Aptos"/>
                <w:b w:val="0"/>
                <w:sz w:val="16"/>
              </w:rPr>
              <w:t>Recovery support and protection of current clients must be addressed together.</w:t>
            </w:r>
          </w:p>
        </w:tc>
        <w:tc>
          <w:tcPr>
            <w:tcW w:type="dxa" w:w="2520"/>
            <w:vAlign w:val="top"/>
          </w:tcPr>
          <w:p>
            <w:pPr>
              <w:spacing w:after="0"/>
            </w:pPr>
            <w:r/>
            <w:r>
              <w:rPr>
                <w:rFonts w:ascii="Aptos" w:hAnsi="Aptos"/>
                <w:b w:val="0"/>
                <w:sz w:val="16"/>
              </w:rPr>
              <w:t>Help-seeking is important, but ask whether current duties are safe right now.</w:t>
            </w:r>
          </w:p>
        </w:tc>
      </w:tr>
      <w:tr>
        <w:tc>
          <w:tcPr>
            <w:tcW w:type="dxa" w:w="2376"/>
            <w:vAlign w:val="top"/>
            <w:shd w:fill="F7F9FA"/>
          </w:tcPr>
          <w:p>
            <w:pPr>
              <w:spacing w:after="0"/>
            </w:pPr>
            <w:r/>
            <w:r>
              <w:rPr>
                <w:rFonts w:ascii="Aptos" w:hAnsi="Aptos"/>
                <w:b/>
                <w:sz w:val="16"/>
              </w:rPr>
              <w:t>Residual Effects and On-Call Duty</w:t>
            </w:r>
          </w:p>
        </w:tc>
        <w:tc>
          <w:tcPr>
            <w:tcW w:type="dxa" w:w="5256"/>
            <w:vAlign w:val="top"/>
            <w:shd w:fill="F7F9FA"/>
          </w:tcPr>
          <w:p>
            <w:pPr>
              <w:spacing w:after="0"/>
            </w:pPr>
            <w:r/>
            <w:r>
              <w:rPr>
                <w:rFonts w:ascii="Aptos" w:hAnsi="Aptos"/>
                <w:b w:val="0"/>
                <w:sz w:val="16"/>
              </w:rPr>
              <w:t>Residual effects and missed emergency availability directly affected professional responsibilities.</w:t>
            </w:r>
          </w:p>
        </w:tc>
        <w:tc>
          <w:tcPr>
            <w:tcW w:type="dxa" w:w="2520"/>
            <w:vAlign w:val="top"/>
            <w:shd w:fill="F7F9FA"/>
          </w:tcPr>
          <w:p>
            <w:pPr>
              <w:spacing w:after="0"/>
            </w:pPr>
            <w:r/>
            <w:r>
              <w:rPr>
                <w:rFonts w:ascii="Aptos" w:hAnsi="Aptos"/>
                <w:b w:val="0"/>
                <w:sz w:val="16"/>
              </w:rPr>
              <w:t>Off-duty use is tested through its carryover into professional obligations.</w:t>
            </w:r>
          </w:p>
        </w:tc>
      </w:tr>
      <w:tr>
        <w:tc>
          <w:tcPr>
            <w:tcW w:type="dxa" w:w="2376"/>
            <w:vAlign w:val="top"/>
          </w:tcPr>
          <w:p>
            <w:pPr>
              <w:spacing w:after="0"/>
            </w:pPr>
            <w:r/>
            <w:r>
              <w:rPr>
                <w:rFonts w:ascii="Aptos" w:hAnsi="Aptos"/>
                <w:b/>
                <w:sz w:val="16"/>
              </w:rPr>
              <w:t>California Unprofessional Conduct</w:t>
            </w:r>
          </w:p>
        </w:tc>
        <w:tc>
          <w:tcPr>
            <w:tcW w:type="dxa" w:w="5256"/>
            <w:vAlign w:val="top"/>
          </w:tcPr>
          <w:p>
            <w:pPr>
              <w:spacing w:after="0"/>
            </w:pPr>
            <w:r/>
            <w:r>
              <w:rPr>
                <w:rFonts w:ascii="Aptos" w:hAnsi="Aptos"/>
                <w:b w:val="0"/>
                <w:sz w:val="16"/>
              </w:rPr>
              <w:t>California LPCC law treats alcohol or drug use as a professional-conduct concern when it is dangerous or injurious or impairs the ability to conduct authorized practice safely. [Bus. &amp; Prof. Code § 4999.90(c)]</w:t>
            </w:r>
          </w:p>
        </w:tc>
        <w:tc>
          <w:tcPr>
            <w:tcW w:type="dxa" w:w="2520"/>
            <w:vAlign w:val="top"/>
          </w:tcPr>
          <w:p>
            <w:pPr>
              <w:spacing w:after="0"/>
            </w:pPr>
            <w:r/>
            <w:r>
              <w:rPr>
                <w:rFonts w:ascii="Aptos" w:hAnsi="Aptos"/>
                <w:b w:val="0"/>
                <w:sz w:val="16"/>
              </w:rPr>
              <w:t>Look for the statutory link to danger, injury, or inability to practice safely—not use alone.</w:t>
            </w:r>
          </w:p>
        </w:tc>
      </w:tr>
      <w:tr>
        <w:tc>
          <w:tcPr>
            <w:tcW w:type="dxa" w:w="2376"/>
            <w:vAlign w:val="top"/>
            <w:shd w:fill="F7F9FA"/>
          </w:tcPr>
          <w:p>
            <w:pPr>
              <w:spacing w:after="0"/>
            </w:pPr>
            <w:r/>
            <w:r>
              <w:rPr>
                <w:rFonts w:ascii="Aptos" w:hAnsi="Aptos"/>
                <w:b/>
                <w:sz w:val="16"/>
              </w:rPr>
              <w:t>Supervision and Accurate Disclosure</w:t>
            </w:r>
          </w:p>
        </w:tc>
        <w:tc>
          <w:tcPr>
            <w:tcW w:type="dxa" w:w="5256"/>
            <w:vAlign w:val="top"/>
            <w:shd w:fill="F7F9FA"/>
          </w:tcPr>
          <w:p>
            <w:pPr>
              <w:spacing w:after="0"/>
            </w:pPr>
            <w:r/>
            <w:r>
              <w:rPr>
                <w:rFonts w:ascii="Aptos" w:hAnsi="Aptos"/>
                <w:b w:val="0"/>
                <w:sz w:val="16"/>
              </w:rPr>
              <w:t>Accurate disclosure is necessary for meaningful supervision and client protection.</w:t>
            </w:r>
          </w:p>
        </w:tc>
        <w:tc>
          <w:tcPr>
            <w:tcW w:type="dxa" w:w="2520"/>
            <w:vAlign w:val="top"/>
            <w:shd w:fill="F7F9FA"/>
          </w:tcPr>
          <w:p>
            <w:pPr>
              <w:spacing w:after="0"/>
            </w:pPr>
            <w:r/>
            <w:r>
              <w:rPr>
                <w:rFonts w:ascii="Aptos" w:hAnsi="Aptos"/>
                <w:b w:val="0"/>
                <w:sz w:val="16"/>
              </w:rPr>
              <w:t>In supervision questions, concealment prevents the supervisor from carrying out risk-management duties.</w:t>
            </w:r>
          </w:p>
        </w:tc>
      </w:tr>
      <w:tr>
        <w:tc>
          <w:tcPr>
            <w:tcW w:type="dxa" w:w="2376"/>
            <w:vAlign w:val="top"/>
          </w:tcPr>
          <w:p>
            <w:pPr>
              <w:spacing w:after="0"/>
            </w:pPr>
            <w:r/>
            <w:r>
              <w:rPr>
                <w:rFonts w:ascii="Aptos" w:hAnsi="Aptos"/>
                <w:b/>
                <w:sz w:val="16"/>
              </w:rPr>
              <w:t>BBS Disciplinary Guidelines</w:t>
            </w:r>
          </w:p>
        </w:tc>
        <w:tc>
          <w:tcPr>
            <w:tcW w:type="dxa" w:w="5256"/>
            <w:vAlign w:val="top"/>
          </w:tcPr>
          <w:p>
            <w:pPr>
              <w:spacing w:after="0"/>
            </w:pPr>
            <w:r/>
            <w:r>
              <w:rPr>
                <w:rFonts w:ascii="Aptos" w:hAnsi="Aptos"/>
                <w:b w:val="0"/>
                <w:sz w:val="16"/>
              </w:rPr>
              <w:t>The regulation addresses Board disciplinary decision-making and violations involving drugs or alcohol.</w:t>
            </w:r>
          </w:p>
        </w:tc>
        <w:tc>
          <w:tcPr>
            <w:tcW w:type="dxa" w:w="2520"/>
            <w:vAlign w:val="top"/>
          </w:tcPr>
          <w:p>
            <w:pPr>
              <w:spacing w:after="0"/>
            </w:pPr>
            <w:r/>
            <w:r>
              <w:rPr>
                <w:rFonts w:ascii="Aptos" w:hAnsi="Aptos"/>
                <w:b w:val="0"/>
                <w:sz w:val="16"/>
              </w:rPr>
              <w:t>Distinguish routine ethical management from standards that apply after a disciplinary violation is at issue.</w:t>
            </w:r>
          </w:p>
        </w:tc>
      </w:tr>
      <w:tr>
        <w:tc>
          <w:tcPr>
            <w:tcW w:type="dxa" w:w="2376"/>
            <w:vAlign w:val="top"/>
            <w:shd w:fill="F7F9FA"/>
          </w:tcPr>
          <w:p>
            <w:pPr>
              <w:spacing w:after="0"/>
            </w:pPr>
            <w:r/>
            <w:r>
              <w:rPr>
                <w:rFonts w:ascii="Aptos" w:hAnsi="Aptos"/>
                <w:b/>
                <w:sz w:val="16"/>
              </w:rPr>
              <w:t>Substance-Related Return-to-Practice Planning</w:t>
            </w:r>
          </w:p>
        </w:tc>
        <w:tc>
          <w:tcPr>
            <w:tcW w:type="dxa" w:w="5256"/>
            <w:vAlign w:val="top"/>
            <w:shd w:fill="F7F9FA"/>
          </w:tcPr>
          <w:p>
            <w:pPr>
              <w:spacing w:after="0"/>
            </w:pPr>
            <w:r/>
            <w:r>
              <w:rPr>
                <w:rFonts w:ascii="Aptos" w:hAnsi="Aptos"/>
                <w:b w:val="0"/>
                <w:sz w:val="16"/>
              </w:rPr>
              <w:t>Abstinence may be an important part of recovery, but it does not by itself demonstrate readiness for a high-risk caseload. A proportionate return-to-practice plan should evaluate current attention, judgment, reliability, risk-management ability, relevant treatment recommendations, and the need for staged duties or monitoring.</w:t>
            </w:r>
          </w:p>
        </w:tc>
        <w:tc>
          <w:tcPr>
            <w:tcW w:type="dxa" w:w="2520"/>
            <w:vAlign w:val="top"/>
            <w:shd w:fill="F7F9FA"/>
          </w:tcPr>
          <w:p>
            <w:pPr>
              <w:spacing w:after="0"/>
            </w:pPr>
            <w:r/>
            <w:r>
              <w:rPr>
                <w:rFonts w:ascii="Aptos" w:hAnsi="Aptos"/>
                <w:b w:val="0"/>
                <w:sz w:val="16"/>
              </w:rPr>
              <w:t>For substance-related return-to-practice questions, distinguish evidence of recovery from demonstrated readiness for the specific professional duties.</w:t>
            </w:r>
          </w:p>
        </w:tc>
      </w:tr>
      <w:tr>
        <w:tc>
          <w:tcPr>
            <w:tcW w:type="dxa" w:w="2376"/>
            <w:vAlign w:val="top"/>
          </w:tcPr>
          <w:p>
            <w:pPr>
              <w:spacing w:after="0"/>
            </w:pPr>
            <w:r/>
            <w:r>
              <w:rPr>
                <w:rFonts w:ascii="Aptos" w:hAnsi="Aptos"/>
                <w:b/>
                <w:sz w:val="16"/>
              </w:rPr>
              <w:t>Comprehensive Substance-Impairment Response</w:t>
            </w:r>
          </w:p>
        </w:tc>
        <w:tc>
          <w:tcPr>
            <w:tcW w:type="dxa" w:w="5256"/>
            <w:vAlign w:val="top"/>
          </w:tcPr>
          <w:p>
            <w:pPr>
              <w:spacing w:after="0"/>
            </w:pPr>
            <w:r/>
            <w:r>
              <w:rPr>
                <w:rFonts w:ascii="Aptos" w:hAnsi="Aptos"/>
                <w:b w:val="0"/>
                <w:sz w:val="16"/>
              </w:rPr>
              <w:t>Assess immediate fitness and client risk, limit or stop unsafe duties, arrange continuity and coverage, obtain appropriate medical and professional assistance, document relevant decisions, and reevaluate before fuller return This integrates functional assessment, immediate safety, duty modification, continuity, assistance, documentation, and return-to-practice evaluation.</w:t>
            </w:r>
          </w:p>
        </w:tc>
        <w:tc>
          <w:tcPr>
            <w:tcW w:type="dxa" w:w="2520"/>
            <w:vAlign w:val="top"/>
          </w:tcPr>
          <w:p>
            <w:pPr>
              <w:spacing w:after="0"/>
            </w:pPr>
            <w:r/>
            <w:r>
              <w:rPr>
                <w:rFonts w:ascii="Aptos" w:hAnsi="Aptos"/>
                <w:b w:val="0"/>
                <w:sz w:val="16"/>
              </w:rPr>
              <w:t>For integrated items, organize the facts: current function, immediate risk, present duties, continuity, recovery support, and demonstrated readiness.</w:t>
            </w:r>
          </w:p>
        </w:tc>
      </w:tr>
    </w:tbl>
    <w:p>
      <w:pPr>
        <w:pStyle w:val="Heading2"/>
      </w:pPr>
      <w:r>
        <w:t>Exam Reasoning Checklist</w:t>
      </w:r>
    </w:p>
    <w:p>
      <w:pPr>
        <w:pStyle w:val="ListBullet"/>
        <w:spacing w:after="30"/>
      </w:pPr>
      <w:r>
        <w:t>Choose the answer that connects substance effects to current professional functioning and client protection.</w:t>
      </w:r>
    </w:p>
    <w:p>
      <w:pPr>
        <w:pStyle w:val="ListBullet"/>
        <w:spacing w:after="30"/>
      </w:pPr>
      <w:r>
        <w:t>“Prescribed” answers legality of access, not the clinician’s ability to perform every duty safely.</w:t>
      </w:r>
    </w:p>
    <w:p>
      <w:pPr>
        <w:pStyle w:val="ListBullet"/>
        <w:spacing w:after="30"/>
      </w:pPr>
      <w:r>
        <w:t>Focus on carryover into professional functioning, not simply the time or place of use.</w:t>
      </w:r>
    </w:p>
    <w:p>
      <w:pPr>
        <w:pStyle w:val="ListBullet"/>
        <w:spacing w:after="30"/>
      </w:pPr>
      <w:r>
        <w:t>Do not confuse lawful possession or use with professional fitness for a specific duty.</w:t>
      </w:r>
    </w:p>
    <w:p>
      <w:pPr>
        <w:pStyle w:val="ListBullet"/>
        <w:spacing w:after="30"/>
      </w:pPr>
      <w:r>
        <w:t>Do not infer impairment from use alone when the stem affirmatively shows intact functioning.</w:t>
      </w:r>
    </w:p>
    <w:p>
      <w:pPr>
        <w:pStyle w:val="ListBullet"/>
        <w:spacing w:after="30"/>
      </w:pPr>
      <w:r>
        <w:t>In an urgent safety scenario, coverage and protection come before diagnostic certainty.</w:t>
      </w:r>
    </w:p>
    <w:p>
      <w:pPr>
        <w:pStyle w:val="ListBullet"/>
        <w:spacing w:after="30"/>
      </w:pPr>
      <w:r>
        <w:t>Select the answer that addresses present client risk while using appropriate medical consultation.</w:t>
      </w:r>
    </w:p>
    <w:p>
      <w:pPr>
        <w:pStyle w:val="ListBullet"/>
        <w:spacing w:after="30"/>
      </w:pPr>
      <w:r>
        <w:t>You do not need a diagnosis to address observable unsafe performance; you do need role-appropriate action.</w:t>
      </w:r>
    </w:p>
    <w:p>
      <w:pPr>
        <w:pStyle w:val="Heading2"/>
      </w:pPr>
      <w:r>
        <w:t>Chapter Rapid Review</w:t>
      </w:r>
    </w:p>
    <w:p>
      <w:r>
        <w:rPr>
          <w:b/>
        </w:rPr>
        <w:t xml:space="preserve">Know these concepts: </w:t>
      </w:r>
      <w:r>
        <w:t>Substance Use vs. Impairment; Prescribed Medication; Off-Duty Residual Effects; Legal Status vs. Safe Practice; Use Without Functional Impact; Immediate Client Safety; Medication Side Effects and High-Risk Work; Colleague Concern; Treatment and Current Duties; Residual Effects and On-Call Duty; California Unprofessional Conduct; Supervision and Accurate Disclosure; BBS Disciplinary Guidelines; Substance-Related Return-to-Practice Planning; Comprehensive Substance-Impairment Response</w:t>
      </w:r>
    </w:p>
    <w:p>
      <w:r>
        <w:br w:type="page"/>
      </w:r>
    </w:p>
    <w:p>
      <w:pPr>
        <w:pStyle w:val="Heading2"/>
      </w:pPr>
      <w:r>
        <w:t>Chapter 3</w:t>
      </w:r>
    </w:p>
    <w:p>
      <w:pPr>
        <w:pStyle w:val="Heading1"/>
      </w:pPr>
      <w:r>
        <w:t>Mental Health, Burnout, and Compassion Fatigue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Pattern, persistence, severity, and professional effect matter more than one isolated nonspecific observation. Professional impairment is based on the functional effect on safe, ethical, and effective practice.</w:t>
            </w:r>
          </w:p>
        </w:tc>
      </w:tr>
    </w:tbl>
    <w:p>
      <w:pPr>
        <w:pStyle w:val="Heading2"/>
      </w:pPr>
      <w:r>
        <w:t>What to Learn</w:t>
      </w:r>
    </w:p>
    <w:p>
      <w:pPr>
        <w:pStyle w:val="ListBullet"/>
        <w:spacing w:after="30"/>
      </w:pPr>
      <w:r>
        <w:t>Explain and apply Single Sign vs. Pattern.</w:t>
      </w:r>
    </w:p>
    <w:p>
      <w:pPr>
        <w:pStyle w:val="ListBullet"/>
        <w:spacing w:after="30"/>
      </w:pPr>
      <w:r>
        <w:t>Explain and apply Condition vs. Impairment.</w:t>
      </w:r>
    </w:p>
    <w:p>
      <w:pPr>
        <w:pStyle w:val="ListBullet"/>
        <w:spacing w:after="30"/>
      </w:pPr>
      <w:r>
        <w:t>Explain and apply Diagnosis Does Not Equal Impairment.</w:t>
      </w:r>
    </w:p>
    <w:p>
      <w:pPr>
        <w:pStyle w:val="ListBullet"/>
        <w:spacing w:after="30"/>
      </w:pPr>
      <w:r>
        <w:t>Explain and apply Burnout Definition.</w:t>
      </w:r>
    </w:p>
    <w:p>
      <w:pPr>
        <w:pStyle w:val="ListBullet"/>
        <w:spacing w:after="30"/>
      </w:pPr>
      <w:r>
        <w:t>Explain and apply Compassion Fatigue and Secondary Traumatic Stress.</w:t>
      </w:r>
    </w:p>
    <w:p>
      <w:pPr>
        <w:pStyle w:val="ListBullet"/>
        <w:spacing w:after="30"/>
      </w:pPr>
      <w:r>
        <w:t>Explain and apply Initial Response to Functional Change.</w:t>
      </w:r>
    </w:p>
    <w:p>
      <w:pPr>
        <w:pStyle w:val="ListBullet"/>
        <w:spacing w:after="30"/>
      </w:pPr>
      <w:r>
        <w:t>Explain and apply Mental Health Condition With Intact Functioning.</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Single Sign vs. Pattern</w:t>
            </w:r>
          </w:p>
        </w:tc>
        <w:tc>
          <w:tcPr>
            <w:tcW w:type="dxa" w:w="5256"/>
            <w:vAlign w:val="top"/>
          </w:tcPr>
          <w:p>
            <w:pPr>
              <w:spacing w:after="0"/>
            </w:pPr>
            <w:r/>
            <w:r>
              <w:rPr>
                <w:rFonts w:ascii="Aptos" w:hAnsi="Aptos"/>
                <w:b w:val="0"/>
                <w:sz w:val="16"/>
              </w:rPr>
              <w:t>Pattern, persistence, severity, and professional effect matter more than one isolated nonspecific observation.</w:t>
            </w:r>
          </w:p>
        </w:tc>
        <w:tc>
          <w:tcPr>
            <w:tcW w:type="dxa" w:w="2520"/>
            <w:vAlign w:val="top"/>
          </w:tcPr>
          <w:p>
            <w:pPr>
              <w:spacing w:after="0"/>
            </w:pPr>
            <w:r/>
            <w:r>
              <w:rPr>
                <w:rFonts w:ascii="Aptos" w:hAnsi="Aptos"/>
                <w:b w:val="0"/>
                <w:sz w:val="16"/>
              </w:rPr>
              <w:t>Avoid converting one difficult moment into an impairment finding.</w:t>
            </w:r>
          </w:p>
        </w:tc>
      </w:tr>
      <w:tr>
        <w:tc>
          <w:tcPr>
            <w:tcW w:type="dxa" w:w="2376"/>
            <w:vAlign w:val="top"/>
            <w:shd w:fill="F7F9FA"/>
          </w:tcPr>
          <w:p>
            <w:pPr>
              <w:spacing w:after="0"/>
            </w:pPr>
            <w:r/>
            <w:r>
              <w:rPr>
                <w:rFonts w:ascii="Aptos" w:hAnsi="Aptos"/>
                <w:b/>
                <w:sz w:val="16"/>
              </w:rPr>
              <w:t>Condition vs. Impairment</w:t>
            </w:r>
          </w:p>
        </w:tc>
        <w:tc>
          <w:tcPr>
            <w:tcW w:type="dxa" w:w="5256"/>
            <w:vAlign w:val="top"/>
            <w:shd w:fill="F7F9FA"/>
          </w:tcPr>
          <w:p>
            <w:pPr>
              <w:spacing w:after="0"/>
            </w:pPr>
            <w:r/>
            <w:r>
              <w:rPr>
                <w:rFonts w:ascii="Aptos" w:hAnsi="Aptos"/>
                <w:b w:val="0"/>
                <w:sz w:val="16"/>
              </w:rPr>
              <w:t>Professional impairment is based on the functional effect on safe, ethical, and effective practice.</w:t>
            </w:r>
          </w:p>
        </w:tc>
        <w:tc>
          <w:tcPr>
            <w:tcW w:type="dxa" w:w="2520"/>
            <w:vAlign w:val="top"/>
            <w:shd w:fill="F7F9FA"/>
          </w:tcPr>
          <w:p>
            <w:pPr>
              <w:spacing w:after="0"/>
            </w:pPr>
            <w:r/>
            <w:r>
              <w:rPr>
                <w:rFonts w:ascii="Aptos" w:hAnsi="Aptos"/>
                <w:b w:val="0"/>
                <w:sz w:val="16"/>
              </w:rPr>
              <w:t>Choose the answer tied to current professional functioning, not a label or treatment history.</w:t>
            </w:r>
          </w:p>
        </w:tc>
      </w:tr>
      <w:tr>
        <w:tc>
          <w:tcPr>
            <w:tcW w:type="dxa" w:w="2376"/>
            <w:vAlign w:val="top"/>
          </w:tcPr>
          <w:p>
            <w:pPr>
              <w:spacing w:after="0"/>
            </w:pPr>
            <w:r/>
            <w:r>
              <w:rPr>
                <w:rFonts w:ascii="Aptos" w:hAnsi="Aptos"/>
                <w:b/>
                <w:sz w:val="16"/>
              </w:rPr>
              <w:t>Diagnosis Does Not Equal Impairment</w:t>
            </w:r>
          </w:p>
        </w:tc>
        <w:tc>
          <w:tcPr>
            <w:tcW w:type="dxa" w:w="5256"/>
            <w:vAlign w:val="top"/>
          </w:tcPr>
          <w:p>
            <w:pPr>
              <w:spacing w:after="0"/>
            </w:pPr>
            <w:r/>
            <w:r>
              <w:rPr>
                <w:rFonts w:ascii="Aptos" w:hAnsi="Aptos"/>
                <w:b w:val="0"/>
                <w:sz w:val="16"/>
              </w:rPr>
              <w:t>The functional evidence shows competent performance despite the diagnosis.</w:t>
            </w:r>
          </w:p>
        </w:tc>
        <w:tc>
          <w:tcPr>
            <w:tcW w:type="dxa" w:w="2520"/>
            <w:vAlign w:val="top"/>
          </w:tcPr>
          <w:p>
            <w:pPr>
              <w:spacing w:after="0"/>
            </w:pPr>
            <w:r/>
            <w:r>
              <w:rPr>
                <w:rFonts w:ascii="Aptos" w:hAnsi="Aptos"/>
                <w:b w:val="0"/>
                <w:sz w:val="16"/>
              </w:rPr>
              <w:t>When the stem affirmatively shows intact functioning, do not infer impairment from diagnosis alone.</w:t>
            </w:r>
          </w:p>
        </w:tc>
      </w:tr>
      <w:tr>
        <w:tc>
          <w:tcPr>
            <w:tcW w:type="dxa" w:w="2376"/>
            <w:vAlign w:val="top"/>
            <w:shd w:fill="F7F9FA"/>
          </w:tcPr>
          <w:p>
            <w:pPr>
              <w:spacing w:after="0"/>
            </w:pPr>
            <w:r/>
            <w:r>
              <w:rPr>
                <w:rFonts w:ascii="Aptos" w:hAnsi="Aptos"/>
                <w:b/>
                <w:sz w:val="16"/>
              </w:rPr>
              <w:t>Burnout Definition</w:t>
            </w:r>
          </w:p>
        </w:tc>
        <w:tc>
          <w:tcPr>
            <w:tcW w:type="dxa" w:w="5256"/>
            <w:vAlign w:val="top"/>
            <w:shd w:fill="F7F9FA"/>
          </w:tcPr>
          <w:p>
            <w:pPr>
              <w:spacing w:after="0"/>
            </w:pPr>
            <w:r/>
            <w:r>
              <w:rPr>
                <w:rFonts w:ascii="Aptos" w:hAnsi="Aptos"/>
                <w:b w:val="0"/>
                <w:sz w:val="16"/>
              </w:rPr>
              <w:t>WHO describes burnout as an occupational phenomenon linked to chronic workplace stress that has not been successfully managed.</w:t>
            </w:r>
          </w:p>
        </w:tc>
        <w:tc>
          <w:tcPr>
            <w:tcW w:type="dxa" w:w="2520"/>
            <w:vAlign w:val="top"/>
            <w:shd w:fill="F7F9FA"/>
          </w:tcPr>
          <w:p>
            <w:pPr>
              <w:spacing w:after="0"/>
            </w:pPr>
            <w:r/>
            <w:r>
              <w:rPr>
                <w:rFonts w:ascii="Aptos" w:hAnsi="Aptos"/>
                <w:b w:val="0"/>
                <w:sz w:val="16"/>
              </w:rPr>
              <w:t>Separate persistent occupational burnout from ordinary short-term fatigue and from professional impairment.</w:t>
            </w:r>
          </w:p>
        </w:tc>
      </w:tr>
      <w:tr>
        <w:tc>
          <w:tcPr>
            <w:tcW w:type="dxa" w:w="2376"/>
            <w:vAlign w:val="top"/>
          </w:tcPr>
          <w:p>
            <w:pPr>
              <w:spacing w:after="0"/>
            </w:pPr>
            <w:r/>
            <w:r>
              <w:rPr>
                <w:rFonts w:ascii="Aptos" w:hAnsi="Aptos"/>
                <w:b/>
                <w:sz w:val="16"/>
              </w:rPr>
              <w:t>Compassion Fatigue and Secondary Traumatic Stress</w:t>
            </w:r>
          </w:p>
        </w:tc>
        <w:tc>
          <w:tcPr>
            <w:tcW w:type="dxa" w:w="5256"/>
            <w:vAlign w:val="top"/>
          </w:tcPr>
          <w:p>
            <w:pPr>
              <w:spacing w:after="0"/>
            </w:pPr>
            <w:r/>
            <w:r>
              <w:rPr>
                <w:rFonts w:ascii="Aptos" w:hAnsi="Aptos"/>
                <w:b w:val="0"/>
                <w:sz w:val="16"/>
              </w:rPr>
              <w:t>SAMHSA materials describe compassion fatigue as involving burnout and secondary traumatic stress, and professional usage varies.</w:t>
            </w:r>
          </w:p>
        </w:tc>
        <w:tc>
          <w:tcPr>
            <w:tcW w:type="dxa" w:w="2520"/>
            <w:vAlign w:val="top"/>
          </w:tcPr>
          <w:p>
            <w:pPr>
              <w:spacing w:after="0"/>
            </w:pPr>
            <w:r/>
            <w:r>
              <w:rPr>
                <w:rFonts w:ascii="Aptos" w:hAnsi="Aptos"/>
                <w:b w:val="0"/>
                <w:sz w:val="16"/>
              </w:rPr>
              <w:t>The exam may use overlapping terms; focus on the clinician's functional response and client impact.</w:t>
            </w:r>
          </w:p>
        </w:tc>
      </w:tr>
      <w:tr>
        <w:tc>
          <w:tcPr>
            <w:tcW w:type="dxa" w:w="2376"/>
            <w:vAlign w:val="top"/>
            <w:shd w:fill="F7F9FA"/>
          </w:tcPr>
          <w:p>
            <w:pPr>
              <w:spacing w:after="0"/>
            </w:pPr>
            <w:r/>
            <w:r>
              <w:rPr>
                <w:rFonts w:ascii="Aptos" w:hAnsi="Aptos"/>
                <w:b/>
                <w:sz w:val="16"/>
              </w:rPr>
              <w:t>Initial Response to Functional Change</w:t>
            </w:r>
          </w:p>
        </w:tc>
        <w:tc>
          <w:tcPr>
            <w:tcW w:type="dxa" w:w="5256"/>
            <w:vAlign w:val="top"/>
            <w:shd w:fill="F7F9FA"/>
          </w:tcPr>
          <w:p>
            <w:pPr>
              <w:spacing w:after="0"/>
            </w:pPr>
            <w:r/>
            <w:r>
              <w:rPr>
                <w:rFonts w:ascii="Aptos" w:hAnsi="Aptos"/>
                <w:b w:val="0"/>
                <w:sz w:val="16"/>
              </w:rPr>
              <w:t>A focused functional and risk assessment should precede a proportionate response.</w:t>
            </w:r>
          </w:p>
        </w:tc>
        <w:tc>
          <w:tcPr>
            <w:tcW w:type="dxa" w:w="2520"/>
            <w:vAlign w:val="top"/>
            <w:shd w:fill="F7F9FA"/>
          </w:tcPr>
          <w:p>
            <w:pPr>
              <w:spacing w:after="0"/>
            </w:pPr>
            <w:r/>
            <w:r>
              <w:rPr>
                <w:rFonts w:ascii="Aptos" w:hAnsi="Aptos"/>
                <w:b w:val="0"/>
                <w:sz w:val="16"/>
              </w:rPr>
              <w:t>When immediate danger is not established, identify and assess before choosing an extreme response.</w:t>
            </w:r>
          </w:p>
        </w:tc>
      </w:tr>
      <w:tr>
        <w:tc>
          <w:tcPr>
            <w:tcW w:type="dxa" w:w="2376"/>
            <w:vAlign w:val="top"/>
          </w:tcPr>
          <w:p>
            <w:pPr>
              <w:spacing w:after="0"/>
            </w:pPr>
            <w:r/>
            <w:r>
              <w:rPr>
                <w:rFonts w:ascii="Aptos" w:hAnsi="Aptos"/>
                <w:b/>
                <w:sz w:val="16"/>
              </w:rPr>
              <w:t>Mental Health Condition With Intact Functioning</w:t>
            </w:r>
          </w:p>
        </w:tc>
        <w:tc>
          <w:tcPr>
            <w:tcW w:type="dxa" w:w="5256"/>
            <w:vAlign w:val="top"/>
          </w:tcPr>
          <w:p>
            <w:pPr>
              <w:spacing w:after="0"/>
            </w:pPr>
            <w:r/>
            <w:r>
              <w:rPr>
                <w:rFonts w:ascii="Aptos" w:hAnsi="Aptos"/>
                <w:b w:val="0"/>
                <w:sz w:val="16"/>
              </w:rPr>
              <w:t>Monitoring is appropriate, but the functional evidence remains intact.</w:t>
            </w:r>
          </w:p>
        </w:tc>
        <w:tc>
          <w:tcPr>
            <w:tcW w:type="dxa" w:w="2520"/>
            <w:vAlign w:val="top"/>
          </w:tcPr>
          <w:p>
            <w:pPr>
              <w:spacing w:after="0"/>
            </w:pPr>
            <w:r/>
            <w:r>
              <w:rPr>
                <w:rFonts w:ascii="Aptos" w:hAnsi="Aptos"/>
                <w:b w:val="0"/>
                <w:sz w:val="16"/>
              </w:rPr>
              <w:t>Do not confuse the presence of emotional distress with professional impairment.</w:t>
            </w:r>
          </w:p>
        </w:tc>
      </w:tr>
      <w:tr>
        <w:tc>
          <w:tcPr>
            <w:tcW w:type="dxa" w:w="2376"/>
            <w:vAlign w:val="top"/>
            <w:shd w:fill="F7F9FA"/>
          </w:tcPr>
          <w:p>
            <w:pPr>
              <w:spacing w:after="0"/>
            </w:pPr>
            <w:r/>
            <w:r>
              <w:rPr>
                <w:rFonts w:ascii="Aptos" w:hAnsi="Aptos"/>
                <w:b/>
                <w:sz w:val="16"/>
              </w:rPr>
              <w:t>Burnout Affecting Practice</w:t>
            </w:r>
          </w:p>
        </w:tc>
        <w:tc>
          <w:tcPr>
            <w:tcW w:type="dxa" w:w="5256"/>
            <w:vAlign w:val="top"/>
            <w:shd w:fill="F7F9FA"/>
          </w:tcPr>
          <w:p>
            <w:pPr>
              <w:spacing w:after="0"/>
            </w:pPr>
            <w:r/>
            <w:r>
              <w:rPr>
                <w:rFonts w:ascii="Aptos" w:hAnsi="Aptos"/>
                <w:b w:val="0"/>
                <w:sz w:val="16"/>
              </w:rPr>
              <w:t>The pattern is affecting professional performance and warrants early, proportionate intervention.</w:t>
            </w:r>
          </w:p>
        </w:tc>
        <w:tc>
          <w:tcPr>
            <w:tcW w:type="dxa" w:w="2520"/>
            <w:vAlign w:val="top"/>
            <w:shd w:fill="F7F9FA"/>
          </w:tcPr>
          <w:p>
            <w:pPr>
              <w:spacing w:after="0"/>
            </w:pPr>
            <w:r/>
            <w:r>
              <w:rPr>
                <w:rFonts w:ascii="Aptos" w:hAnsi="Aptos"/>
                <w:b w:val="0"/>
                <w:sz w:val="16"/>
              </w:rPr>
              <w:t>The exam favors early action when occupational stress is already affecting practice.</w:t>
            </w:r>
          </w:p>
        </w:tc>
      </w:tr>
      <w:tr>
        <w:tc>
          <w:tcPr>
            <w:tcW w:type="dxa" w:w="2376"/>
            <w:vAlign w:val="top"/>
          </w:tcPr>
          <w:p>
            <w:pPr>
              <w:spacing w:after="0"/>
            </w:pPr>
            <w:r/>
            <w:r>
              <w:rPr>
                <w:rFonts w:ascii="Aptos" w:hAnsi="Aptos"/>
                <w:b/>
                <w:sz w:val="16"/>
              </w:rPr>
              <w:t>Secondary Traumatic Stress</w:t>
            </w:r>
          </w:p>
        </w:tc>
        <w:tc>
          <w:tcPr>
            <w:tcW w:type="dxa" w:w="5256"/>
            <w:vAlign w:val="top"/>
          </w:tcPr>
          <w:p>
            <w:pPr>
              <w:spacing w:after="0"/>
            </w:pPr>
            <w:r/>
            <w:r>
              <w:rPr>
                <w:rFonts w:ascii="Aptos" w:hAnsi="Aptos"/>
                <w:b w:val="0"/>
                <w:sz w:val="16"/>
              </w:rPr>
              <w:t>The described reactions are affecting engagement and assessment and should be addressed.</w:t>
            </w:r>
          </w:p>
        </w:tc>
        <w:tc>
          <w:tcPr>
            <w:tcW w:type="dxa" w:w="2520"/>
            <w:vAlign w:val="top"/>
          </w:tcPr>
          <w:p>
            <w:pPr>
              <w:spacing w:after="0"/>
            </w:pPr>
            <w:r/>
            <w:r>
              <w:rPr>
                <w:rFonts w:ascii="Aptos" w:hAnsi="Aptos"/>
                <w:b w:val="0"/>
                <w:sz w:val="16"/>
              </w:rPr>
              <w:t>Link trauma-exposure reactions to observable professional effects rather than assigning blame or requiring disclosure.</w:t>
            </w:r>
          </w:p>
        </w:tc>
      </w:tr>
      <w:tr>
        <w:tc>
          <w:tcPr>
            <w:tcW w:type="dxa" w:w="2376"/>
            <w:vAlign w:val="top"/>
            <w:shd w:fill="F7F9FA"/>
          </w:tcPr>
          <w:p>
            <w:pPr>
              <w:spacing w:after="0"/>
            </w:pPr>
            <w:r/>
            <w:r>
              <w:rPr>
                <w:rFonts w:ascii="Aptos" w:hAnsi="Aptos"/>
                <w:b/>
                <w:sz w:val="16"/>
              </w:rPr>
              <w:t>Personal Reactions and Clinical Judgment</w:t>
            </w:r>
          </w:p>
        </w:tc>
        <w:tc>
          <w:tcPr>
            <w:tcW w:type="dxa" w:w="5256"/>
            <w:vAlign w:val="top"/>
            <w:shd w:fill="F7F9FA"/>
          </w:tcPr>
          <w:p>
            <w:pPr>
              <w:spacing w:after="0"/>
            </w:pPr>
            <w:r/>
            <w:r>
              <w:rPr>
                <w:rFonts w:ascii="Aptos" w:hAnsi="Aptos"/>
                <w:b w:val="0"/>
                <w:sz w:val="16"/>
              </w:rPr>
              <w:t>Recognition and impact assessment are necessary before selecting consultation, treatment, or other action.</w:t>
            </w:r>
          </w:p>
        </w:tc>
        <w:tc>
          <w:tcPr>
            <w:tcW w:type="dxa" w:w="2520"/>
            <w:vAlign w:val="top"/>
            <w:shd w:fill="F7F9FA"/>
          </w:tcPr>
          <w:p>
            <w:pPr>
              <w:spacing w:after="0"/>
            </w:pPr>
            <w:r/>
            <w:r>
              <w:rPr>
                <w:rFonts w:ascii="Aptos" w:hAnsi="Aptos"/>
                <w:b w:val="0"/>
                <w:sz w:val="16"/>
              </w:rPr>
              <w:t>When personal history is influencing care, choose recognition and functional assessment before disclosure or denial.</w:t>
            </w:r>
          </w:p>
        </w:tc>
      </w:tr>
      <w:tr>
        <w:tc>
          <w:tcPr>
            <w:tcW w:type="dxa" w:w="2376"/>
            <w:vAlign w:val="top"/>
          </w:tcPr>
          <w:p>
            <w:pPr>
              <w:spacing w:after="0"/>
            </w:pPr>
            <w:r/>
            <w:r>
              <w:rPr>
                <w:rFonts w:ascii="Aptos" w:hAnsi="Aptos"/>
                <w:b/>
                <w:sz w:val="16"/>
              </w:rPr>
              <w:t>Business and Professions Code Section 820</w:t>
            </w:r>
          </w:p>
        </w:tc>
        <w:tc>
          <w:tcPr>
            <w:tcW w:type="dxa" w:w="5256"/>
            <w:vAlign w:val="top"/>
          </w:tcPr>
          <w:p>
            <w:pPr>
              <w:spacing w:after="0"/>
            </w:pPr>
            <w:r/>
            <w:r>
              <w:rPr>
                <w:rFonts w:ascii="Aptos" w:hAnsi="Aptos"/>
                <w:b w:val="0"/>
                <w:sz w:val="16"/>
              </w:rPr>
              <w:t>A licensing agency may order an examination when it appears a licentiate may be unable to practice safely because mental or physical illness impairs the ability to practice This tracks the safety-focused statutory language.</w:t>
            </w:r>
          </w:p>
        </w:tc>
        <w:tc>
          <w:tcPr>
            <w:tcW w:type="dxa" w:w="2520"/>
            <w:vAlign w:val="top"/>
          </w:tcPr>
          <w:p>
            <w:pPr>
              <w:spacing w:after="0"/>
            </w:pPr>
            <w:r/>
            <w:r>
              <w:rPr>
                <w:rFonts w:ascii="Aptos" w:hAnsi="Aptos"/>
                <w:b w:val="0"/>
                <w:sz w:val="16"/>
              </w:rPr>
              <w:t>Look for the link between illness, impaired professional ability, and inability to practice safely.</w:t>
            </w:r>
          </w:p>
        </w:tc>
      </w:tr>
      <w:tr>
        <w:tc>
          <w:tcPr>
            <w:tcW w:type="dxa" w:w="2376"/>
            <w:vAlign w:val="top"/>
            <w:shd w:fill="F7F9FA"/>
          </w:tcPr>
          <w:p>
            <w:pPr>
              <w:spacing w:after="0"/>
            </w:pPr>
            <w:r/>
            <w:r>
              <w:rPr>
                <w:rFonts w:ascii="Aptos" w:hAnsi="Aptos"/>
                <w:b/>
                <w:sz w:val="16"/>
              </w:rPr>
              <w:t>Overlapping Stress Reactions</w:t>
            </w:r>
          </w:p>
        </w:tc>
        <w:tc>
          <w:tcPr>
            <w:tcW w:type="dxa" w:w="5256"/>
            <w:vAlign w:val="top"/>
            <w:shd w:fill="F7F9FA"/>
          </w:tcPr>
          <w:p>
            <w:pPr>
              <w:spacing w:after="0"/>
            </w:pPr>
            <w:r/>
            <w:r>
              <w:rPr>
                <w:rFonts w:ascii="Aptos" w:hAnsi="Aptos"/>
                <w:b w:val="0"/>
                <w:sz w:val="16"/>
              </w:rPr>
              <w:t>The exact label is less important than the clear functional decline, risk, and need to address contributing conditions.</w:t>
            </w:r>
          </w:p>
        </w:tc>
        <w:tc>
          <w:tcPr>
            <w:tcW w:type="dxa" w:w="2520"/>
            <w:vAlign w:val="top"/>
            <w:shd w:fill="F7F9FA"/>
          </w:tcPr>
          <w:p>
            <w:pPr>
              <w:spacing w:after="0"/>
            </w:pPr>
            <w:r/>
            <w:r>
              <w:rPr>
                <w:rFonts w:ascii="Aptos" w:hAnsi="Aptos"/>
                <w:b w:val="0"/>
                <w:sz w:val="16"/>
              </w:rPr>
              <w:t>Integrated stress questions reward functional analysis, not terminology perfection.</w:t>
            </w:r>
          </w:p>
        </w:tc>
      </w:tr>
      <w:tr>
        <w:tc>
          <w:tcPr>
            <w:tcW w:type="dxa" w:w="2376"/>
            <w:vAlign w:val="top"/>
          </w:tcPr>
          <w:p>
            <w:pPr>
              <w:spacing w:after="0"/>
            </w:pPr>
            <w:r/>
            <w:r>
              <w:rPr>
                <w:rFonts w:ascii="Aptos" w:hAnsi="Aptos"/>
                <w:b/>
                <w:sz w:val="16"/>
              </w:rPr>
              <w:t>Supervisor Gatekeeping After Incomplete Disclosure</w:t>
            </w:r>
          </w:p>
        </w:tc>
        <w:tc>
          <w:tcPr>
            <w:tcW w:type="dxa" w:w="5256"/>
            <w:vAlign w:val="top"/>
          </w:tcPr>
          <w:p>
            <w:pPr>
              <w:spacing w:after="0"/>
            </w:pPr>
            <w:r/>
            <w:r>
              <w:rPr>
                <w:rFonts w:ascii="Aptos" w:hAnsi="Aptos"/>
                <w:b w:val="0"/>
                <w:sz w:val="16"/>
              </w:rPr>
              <w:t>The supervisor’s gatekeeping responsibility requires attention to observable performance, not merely acceptance of a vague reassurance. A focused assessment should determine the severity and duration of the limitation, the effect on client safety, and the need for immediate assignment changes, coverage, consultation, or other safeguards. The response and follow-up should be documented.</w:t>
            </w:r>
          </w:p>
        </w:tc>
        <w:tc>
          <w:tcPr>
            <w:tcW w:type="dxa" w:w="2520"/>
            <w:vAlign w:val="top"/>
          </w:tcPr>
          <w:p>
            <w:pPr>
              <w:spacing w:after="0"/>
            </w:pPr>
            <w:r/>
            <w:r>
              <w:rPr>
                <w:rFonts w:ascii="Aptos" w:hAnsi="Aptos"/>
                <w:b w:val="0"/>
                <w:sz w:val="16"/>
              </w:rPr>
              <w:t>When the supervisor has independent evidence of functional decline, gatekeeping requires assessment and protective action rather than passive reliance on the supervisee’s minimization.</w:t>
            </w:r>
          </w:p>
        </w:tc>
      </w:tr>
      <w:tr>
        <w:tc>
          <w:tcPr>
            <w:tcW w:type="dxa" w:w="2376"/>
            <w:vAlign w:val="top"/>
            <w:shd w:fill="F7F9FA"/>
          </w:tcPr>
          <w:p>
            <w:pPr>
              <w:spacing w:after="0"/>
            </w:pPr>
            <w:r/>
            <w:r>
              <w:rPr>
                <w:rFonts w:ascii="Aptos" w:hAnsi="Aptos"/>
                <w:b/>
                <w:sz w:val="16"/>
              </w:rPr>
              <w:t>Return-to-Practice Readiness</w:t>
            </w:r>
          </w:p>
        </w:tc>
        <w:tc>
          <w:tcPr>
            <w:tcW w:type="dxa" w:w="5256"/>
            <w:vAlign w:val="top"/>
            <w:shd w:fill="F7F9FA"/>
          </w:tcPr>
          <w:p>
            <w:pPr>
              <w:spacing w:after="0"/>
            </w:pPr>
            <w:r/>
            <w:r>
              <w:rPr>
                <w:rFonts w:ascii="Aptos" w:hAnsi="Aptos"/>
                <w:b w:val="0"/>
                <w:sz w:val="16"/>
              </w:rPr>
              <w:t>Return should be based on demonstrated functioning with proportionate limits or monitoring as needed.</w:t>
            </w:r>
          </w:p>
        </w:tc>
        <w:tc>
          <w:tcPr>
            <w:tcW w:type="dxa" w:w="2520"/>
            <w:vAlign w:val="top"/>
            <w:shd w:fill="F7F9FA"/>
          </w:tcPr>
          <w:p>
            <w:pPr>
              <w:spacing w:after="0"/>
            </w:pPr>
            <w:r/>
            <w:r>
              <w:rPr>
                <w:rFonts w:ascii="Aptos" w:hAnsi="Aptos"/>
                <w:b w:val="0"/>
                <w:sz w:val="16"/>
              </w:rPr>
              <w:t>Return-to-practice questions test current performance, not optimism or permanent stigma.</w:t>
            </w:r>
          </w:p>
        </w:tc>
      </w:tr>
      <w:tr>
        <w:tc>
          <w:tcPr>
            <w:tcW w:type="dxa" w:w="2376"/>
            <w:vAlign w:val="top"/>
          </w:tcPr>
          <w:p>
            <w:pPr>
              <w:spacing w:after="0"/>
            </w:pPr>
            <w:r/>
            <w:r>
              <w:rPr>
                <w:rFonts w:ascii="Aptos" w:hAnsi="Aptos"/>
                <w:b/>
                <w:sz w:val="16"/>
              </w:rPr>
              <w:t>Comprehensive Mental Health and Burnout Response</w:t>
            </w:r>
          </w:p>
        </w:tc>
        <w:tc>
          <w:tcPr>
            <w:tcW w:type="dxa" w:w="5256"/>
            <w:vAlign w:val="top"/>
          </w:tcPr>
          <w:p>
            <w:pPr>
              <w:spacing w:after="0"/>
            </w:pPr>
            <w:r/>
            <w:r>
              <w:rPr>
                <w:rFonts w:ascii="Aptos" w:hAnsi="Aptos"/>
                <w:b w:val="0"/>
                <w:sz w:val="16"/>
              </w:rPr>
              <w:t>Assess immediate fitness and client risk, limit or modify unsafe duties, arrange continuity and coverage, engage appropriate treatment and professional support, document relevant decisions, and reevaluate before fuller return This integrates functional assessment, safety, duty modification, continuity, support, documentation, and return-to-practice evaluation.</w:t>
            </w:r>
          </w:p>
        </w:tc>
        <w:tc>
          <w:tcPr>
            <w:tcW w:type="dxa" w:w="2520"/>
            <w:vAlign w:val="top"/>
          </w:tcPr>
          <w:p>
            <w:pPr>
              <w:spacing w:after="0"/>
            </w:pPr>
            <w:r/>
            <w:r>
              <w:rPr>
                <w:rFonts w:ascii="Aptos" w:hAnsi="Aptos"/>
                <w:b w:val="0"/>
                <w:sz w:val="16"/>
              </w:rPr>
              <w:t>For integrated items, organize the facts: current function, immediate risk, present duties, continuity, support, and demonstrated readiness.</w:t>
            </w:r>
          </w:p>
        </w:tc>
      </w:tr>
    </w:tbl>
    <w:p>
      <w:pPr>
        <w:pStyle w:val="Heading2"/>
      </w:pPr>
      <w:r>
        <w:t>Exam Reasoning Checklist</w:t>
      </w:r>
    </w:p>
    <w:p>
      <w:pPr>
        <w:pStyle w:val="ListBullet"/>
        <w:spacing w:after="30"/>
      </w:pPr>
      <w:r>
        <w:t>Avoid converting one difficult moment into an impairment finding.</w:t>
      </w:r>
    </w:p>
    <w:p>
      <w:pPr>
        <w:pStyle w:val="ListBullet"/>
        <w:spacing w:after="30"/>
      </w:pPr>
      <w:r>
        <w:t>Choose the answer tied to current professional functioning, not a label or treatment history.</w:t>
      </w:r>
    </w:p>
    <w:p>
      <w:pPr>
        <w:pStyle w:val="ListBullet"/>
        <w:spacing w:after="30"/>
      </w:pPr>
      <w:r>
        <w:t>When the stem affirmatively shows intact functioning, do not infer impairment from diagnosis alone.</w:t>
      </w:r>
    </w:p>
    <w:p>
      <w:pPr>
        <w:pStyle w:val="ListBullet"/>
        <w:spacing w:after="30"/>
      </w:pPr>
      <w:r>
        <w:t>Separate persistent occupational burnout from ordinary short-term fatigue and from professional impairment.</w:t>
      </w:r>
    </w:p>
    <w:p>
      <w:pPr>
        <w:pStyle w:val="ListBullet"/>
        <w:spacing w:after="30"/>
      </w:pPr>
      <w:r>
        <w:t>The exam may use overlapping terms; focus on the clinician's functional response and client impact.</w:t>
      </w:r>
    </w:p>
    <w:p>
      <w:pPr>
        <w:pStyle w:val="ListBullet"/>
        <w:spacing w:after="30"/>
      </w:pPr>
      <w:r>
        <w:t>When immediate danger is not established, identify and assess before choosing an extreme response.</w:t>
      </w:r>
    </w:p>
    <w:p>
      <w:pPr>
        <w:pStyle w:val="ListBullet"/>
        <w:spacing w:after="30"/>
      </w:pPr>
      <w:r>
        <w:t>Do not confuse the presence of emotional distress with professional impairment.</w:t>
      </w:r>
    </w:p>
    <w:p>
      <w:pPr>
        <w:pStyle w:val="ListBullet"/>
        <w:spacing w:after="30"/>
      </w:pPr>
      <w:r>
        <w:t>The exam favors early action when occupational stress is already affecting practice.</w:t>
      </w:r>
    </w:p>
    <w:p>
      <w:pPr>
        <w:pStyle w:val="Heading2"/>
      </w:pPr>
      <w:r>
        <w:t>Chapter Rapid Review</w:t>
      </w:r>
    </w:p>
    <w:p>
      <w:r>
        <w:rPr>
          <w:b/>
        </w:rPr>
        <w:t xml:space="preserve">Know these concepts: </w:t>
      </w:r>
      <w:r>
        <w:t>Single Sign vs. Pattern; Condition vs. Impairment; Diagnosis Does Not Equal Impairment; Burnout Definition; Compassion Fatigue and Secondary Traumatic Stress; Initial Response to Functional Change; Mental Health Condition With Intact Functioning; Burnout Affecting Practice; Secondary Traumatic Stress; Personal Reactions and Clinical Judgment; Business and Professions Code Section 820; Overlapping Stress Reactions; Supervisor Gatekeeping After Incomplete Disclosure; Return-to-Practice Readiness; Comprehensive Mental Health and Burnout Response</w:t>
      </w:r>
    </w:p>
    <w:p>
      <w:r>
        <w:br w:type="page"/>
      </w:r>
    </w:p>
    <w:p>
      <w:pPr>
        <w:pStyle w:val="Heading2"/>
      </w:pPr>
      <w:r>
        <w:t>Chapter 4</w:t>
      </w:r>
    </w:p>
    <w:p>
      <w:pPr>
        <w:pStyle w:val="Heading1"/>
      </w:pPr>
      <w:r>
        <w:t>Physical Conditions, Fatigue, and Professional Functioning</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professional issue is the functional effect on safe, ethical, and effective practice. The functional evidence shows that the clinician can practice safely and effectively.</w:t>
            </w:r>
          </w:p>
        </w:tc>
      </w:tr>
    </w:tbl>
    <w:p>
      <w:pPr>
        <w:pStyle w:val="Heading2"/>
      </w:pPr>
      <w:r>
        <w:t>What to Learn</w:t>
      </w:r>
    </w:p>
    <w:p>
      <w:pPr>
        <w:pStyle w:val="ListBullet"/>
        <w:spacing w:after="30"/>
      </w:pPr>
      <w:r>
        <w:t>Explain and apply Condition vs. Professional Impairment.</w:t>
      </w:r>
    </w:p>
    <w:p>
      <w:pPr>
        <w:pStyle w:val="ListBullet"/>
        <w:spacing w:after="30"/>
      </w:pPr>
      <w:r>
        <w:t>Explain and apply Disability and Competence.</w:t>
      </w:r>
    </w:p>
    <w:p>
      <w:pPr>
        <w:pStyle w:val="ListBullet"/>
        <w:spacing w:after="30"/>
      </w:pPr>
      <w:r>
        <w:t>Explain and apply Effects of Fatigue.</w:t>
      </w:r>
    </w:p>
    <w:p>
      <w:pPr>
        <w:pStyle w:val="ListBullet"/>
        <w:spacing w:after="30"/>
      </w:pPr>
      <w:r>
        <w:t>Explain and apply Effective Accommodation.</w:t>
      </w:r>
    </w:p>
    <w:p>
      <w:pPr>
        <w:pStyle w:val="ListBullet"/>
        <w:spacing w:after="30"/>
      </w:pPr>
      <w:r>
        <w:t>Explain and apply Medication Side Effects.</w:t>
      </w:r>
    </w:p>
    <w:p>
      <w:pPr>
        <w:pStyle w:val="ListBullet"/>
        <w:spacing w:after="30"/>
      </w:pPr>
      <w:r>
        <w:t>Explain and apply Chronic Pain and Proportionate Adjustment.</w:t>
      </w:r>
    </w:p>
    <w:p>
      <w:pPr>
        <w:pStyle w:val="ListBullet"/>
        <w:spacing w:after="30"/>
      </w:pPr>
      <w:r>
        <w:t>Explain and apply BPC Section 820.</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Condition vs. Professional Impairment</w:t>
            </w:r>
          </w:p>
        </w:tc>
        <w:tc>
          <w:tcPr>
            <w:tcW w:type="dxa" w:w="5256"/>
            <w:vAlign w:val="top"/>
          </w:tcPr>
          <w:p>
            <w:pPr>
              <w:spacing w:after="0"/>
            </w:pPr>
            <w:r/>
            <w:r>
              <w:rPr>
                <w:rFonts w:ascii="Aptos" w:hAnsi="Aptos"/>
                <w:b w:val="0"/>
                <w:sz w:val="16"/>
              </w:rPr>
              <w:t>The professional issue is the functional effect on safe, ethical, and effective practice.</w:t>
            </w:r>
          </w:p>
        </w:tc>
        <w:tc>
          <w:tcPr>
            <w:tcW w:type="dxa" w:w="2520"/>
            <w:vAlign w:val="top"/>
          </w:tcPr>
          <w:p>
            <w:pPr>
              <w:spacing w:after="0"/>
            </w:pPr>
            <w:r/>
            <w:r>
              <w:rPr>
                <w:rFonts w:ascii="Aptos" w:hAnsi="Aptos"/>
                <w:b w:val="0"/>
                <w:sz w:val="16"/>
              </w:rPr>
              <w:t>Choose the answer tied to present professional functioning rather than diagnosis, disability, or support use.</w:t>
            </w:r>
          </w:p>
        </w:tc>
      </w:tr>
      <w:tr>
        <w:tc>
          <w:tcPr>
            <w:tcW w:type="dxa" w:w="2376"/>
            <w:vAlign w:val="top"/>
            <w:shd w:fill="F7F9FA"/>
          </w:tcPr>
          <w:p>
            <w:pPr>
              <w:spacing w:after="0"/>
            </w:pPr>
            <w:r/>
            <w:r>
              <w:rPr>
                <w:rFonts w:ascii="Aptos" w:hAnsi="Aptos"/>
                <w:b/>
                <w:sz w:val="16"/>
              </w:rPr>
              <w:t>Disability and Competence</w:t>
            </w:r>
          </w:p>
        </w:tc>
        <w:tc>
          <w:tcPr>
            <w:tcW w:type="dxa" w:w="5256"/>
            <w:vAlign w:val="top"/>
            <w:shd w:fill="F7F9FA"/>
          </w:tcPr>
          <w:p>
            <w:pPr>
              <w:spacing w:after="0"/>
            </w:pPr>
            <w:r/>
            <w:r>
              <w:rPr>
                <w:rFonts w:ascii="Aptos" w:hAnsi="Aptos"/>
                <w:b w:val="0"/>
                <w:sz w:val="16"/>
              </w:rPr>
              <w:t>The functional evidence shows that the clinician can practice safely and effectively.</w:t>
            </w:r>
          </w:p>
        </w:tc>
        <w:tc>
          <w:tcPr>
            <w:tcW w:type="dxa" w:w="2520"/>
            <w:vAlign w:val="top"/>
            <w:shd w:fill="F7F9FA"/>
          </w:tcPr>
          <w:p>
            <w:pPr>
              <w:spacing w:after="0"/>
            </w:pPr>
            <w:r/>
            <w:r>
              <w:rPr>
                <w:rFonts w:ascii="Aptos" w:hAnsi="Aptos"/>
                <w:b w:val="0"/>
                <w:sz w:val="16"/>
              </w:rPr>
              <w:t>Avoid label-based and ableist distractors. Evaluate performance with the support in place.</w:t>
            </w:r>
          </w:p>
        </w:tc>
      </w:tr>
      <w:tr>
        <w:tc>
          <w:tcPr>
            <w:tcW w:type="dxa" w:w="2376"/>
            <w:vAlign w:val="top"/>
          </w:tcPr>
          <w:p>
            <w:pPr>
              <w:spacing w:after="0"/>
            </w:pPr>
            <w:r/>
            <w:r>
              <w:rPr>
                <w:rFonts w:ascii="Aptos" w:hAnsi="Aptos"/>
                <w:b/>
                <w:sz w:val="16"/>
              </w:rPr>
              <w:t>Effects of Fatigue</w:t>
            </w:r>
          </w:p>
        </w:tc>
        <w:tc>
          <w:tcPr>
            <w:tcW w:type="dxa" w:w="5256"/>
            <w:vAlign w:val="top"/>
          </w:tcPr>
          <w:p>
            <w:pPr>
              <w:spacing w:after="0"/>
            </w:pPr>
            <w:r/>
            <w:r>
              <w:rPr>
                <w:rFonts w:ascii="Aptos" w:hAnsi="Aptos"/>
                <w:b w:val="0"/>
                <w:sz w:val="16"/>
              </w:rPr>
              <w:t>CDC/NIOSH identifies these as important fatigue-related effects.</w:t>
            </w:r>
          </w:p>
        </w:tc>
        <w:tc>
          <w:tcPr>
            <w:tcW w:type="dxa" w:w="2520"/>
            <w:vAlign w:val="top"/>
          </w:tcPr>
          <w:p>
            <w:pPr>
              <w:spacing w:after="0"/>
            </w:pPr>
            <w:r/>
            <w:r>
              <w:rPr>
                <w:rFonts w:ascii="Aptos" w:hAnsi="Aptos"/>
                <w:b w:val="0"/>
                <w:sz w:val="16"/>
              </w:rPr>
              <w:t>When the stem asks about fatigue effects, select the answer describing cognitive and safety decline—not permanent stigma.</w:t>
            </w:r>
          </w:p>
        </w:tc>
      </w:tr>
      <w:tr>
        <w:tc>
          <w:tcPr>
            <w:tcW w:type="dxa" w:w="2376"/>
            <w:vAlign w:val="top"/>
            <w:shd w:fill="F7F9FA"/>
          </w:tcPr>
          <w:p>
            <w:pPr>
              <w:spacing w:after="0"/>
            </w:pPr>
            <w:r/>
            <w:r>
              <w:rPr>
                <w:rFonts w:ascii="Aptos" w:hAnsi="Aptos"/>
                <w:b/>
                <w:sz w:val="16"/>
              </w:rPr>
              <w:t>Effective Accommodation</w:t>
            </w:r>
          </w:p>
        </w:tc>
        <w:tc>
          <w:tcPr>
            <w:tcW w:type="dxa" w:w="5256"/>
            <w:vAlign w:val="top"/>
            <w:shd w:fill="F7F9FA"/>
          </w:tcPr>
          <w:p>
            <w:pPr>
              <w:spacing w:after="0"/>
            </w:pPr>
            <w:r/>
            <w:r>
              <w:rPr>
                <w:rFonts w:ascii="Aptos" w:hAnsi="Aptos"/>
                <w:b w:val="0"/>
                <w:sz w:val="16"/>
              </w:rPr>
              <w:t>The adjustment is intended to enable effective performance of essential functions.</w:t>
            </w:r>
          </w:p>
        </w:tc>
        <w:tc>
          <w:tcPr>
            <w:tcW w:type="dxa" w:w="2520"/>
            <w:vAlign w:val="top"/>
            <w:shd w:fill="F7F9FA"/>
          </w:tcPr>
          <w:p>
            <w:pPr>
              <w:spacing w:after="0"/>
            </w:pPr>
            <w:r/>
            <w:r>
              <w:rPr>
                <w:rFonts w:ascii="Aptos" w:hAnsi="Aptos"/>
                <w:b w:val="0"/>
                <w:sz w:val="16"/>
              </w:rPr>
              <w:t>Think support for essential functions—not lowered standards or proof of incompetence.</w:t>
            </w:r>
          </w:p>
        </w:tc>
      </w:tr>
      <w:tr>
        <w:tc>
          <w:tcPr>
            <w:tcW w:type="dxa" w:w="2376"/>
            <w:vAlign w:val="top"/>
          </w:tcPr>
          <w:p>
            <w:pPr>
              <w:spacing w:after="0"/>
            </w:pPr>
            <w:r/>
            <w:r>
              <w:rPr>
                <w:rFonts w:ascii="Aptos" w:hAnsi="Aptos"/>
                <w:b/>
                <w:sz w:val="16"/>
              </w:rPr>
              <w:t>Medication Side Effects</w:t>
            </w:r>
          </w:p>
        </w:tc>
        <w:tc>
          <w:tcPr>
            <w:tcW w:type="dxa" w:w="5256"/>
            <w:vAlign w:val="top"/>
          </w:tcPr>
          <w:p>
            <w:pPr>
              <w:spacing w:after="0"/>
            </w:pPr>
            <w:r/>
            <w:r>
              <w:rPr>
                <w:rFonts w:ascii="Aptos" w:hAnsi="Aptos"/>
                <w:b w:val="0"/>
                <w:sz w:val="16"/>
              </w:rPr>
              <w:t>Legal prescription status does not remove the duty to address functional side effects and client risk.</w:t>
            </w:r>
          </w:p>
        </w:tc>
        <w:tc>
          <w:tcPr>
            <w:tcW w:type="dxa" w:w="2520"/>
            <w:vAlign w:val="top"/>
          </w:tcPr>
          <w:p>
            <w:pPr>
              <w:spacing w:after="0"/>
            </w:pPr>
            <w:r/>
            <w:r>
              <w:rPr>
                <w:rFonts w:ascii="Aptos" w:hAnsi="Aptos"/>
                <w:b w:val="0"/>
                <w:sz w:val="16"/>
              </w:rPr>
              <w:t>Separate the medical decision from the professional-duty decision; both may require appropriate action.</w:t>
            </w:r>
          </w:p>
        </w:tc>
      </w:tr>
      <w:tr>
        <w:tc>
          <w:tcPr>
            <w:tcW w:type="dxa" w:w="2376"/>
            <w:vAlign w:val="top"/>
            <w:shd w:fill="F7F9FA"/>
          </w:tcPr>
          <w:p>
            <w:pPr>
              <w:spacing w:after="0"/>
            </w:pPr>
            <w:r/>
            <w:r>
              <w:rPr>
                <w:rFonts w:ascii="Aptos" w:hAnsi="Aptos"/>
                <w:b/>
                <w:sz w:val="16"/>
              </w:rPr>
              <w:t>Chronic Pain and Proportionate Adjustment</w:t>
            </w:r>
          </w:p>
        </w:tc>
        <w:tc>
          <w:tcPr>
            <w:tcW w:type="dxa" w:w="5256"/>
            <w:vAlign w:val="top"/>
            <w:shd w:fill="F7F9FA"/>
          </w:tcPr>
          <w:p>
            <w:pPr>
              <w:spacing w:after="0"/>
            </w:pPr>
            <w:r/>
            <w:r>
              <w:rPr>
                <w:rFonts w:ascii="Aptos" w:hAnsi="Aptos"/>
                <w:b w:val="0"/>
                <w:sz w:val="16"/>
              </w:rPr>
              <w:t>A proportionate, individualized adjustment may preserve safe practice.</w:t>
            </w:r>
          </w:p>
        </w:tc>
        <w:tc>
          <w:tcPr>
            <w:tcW w:type="dxa" w:w="2520"/>
            <w:vAlign w:val="top"/>
            <w:shd w:fill="F7F9FA"/>
          </w:tcPr>
          <w:p>
            <w:pPr>
              <w:spacing w:after="0"/>
            </w:pPr>
            <w:r/>
            <w:r>
              <w:rPr>
                <w:rFonts w:ascii="Aptos" w:hAnsi="Aptos"/>
                <w:b w:val="0"/>
                <w:sz w:val="16"/>
              </w:rPr>
              <w:t>Choose the least restrictive adjustment that adequately addresses the actual functional pattern.</w:t>
            </w:r>
          </w:p>
        </w:tc>
      </w:tr>
      <w:tr>
        <w:tc>
          <w:tcPr>
            <w:tcW w:type="dxa" w:w="2376"/>
            <w:vAlign w:val="top"/>
          </w:tcPr>
          <w:p>
            <w:pPr>
              <w:spacing w:after="0"/>
            </w:pPr>
            <w:r/>
            <w:r>
              <w:rPr>
                <w:rFonts w:ascii="Aptos" w:hAnsi="Aptos"/>
                <w:b/>
                <w:sz w:val="16"/>
              </w:rPr>
              <w:t>BPC Section 820</w:t>
            </w:r>
          </w:p>
        </w:tc>
        <w:tc>
          <w:tcPr>
            <w:tcW w:type="dxa" w:w="5256"/>
            <w:vAlign w:val="top"/>
          </w:tcPr>
          <w:p>
            <w:pPr>
              <w:spacing w:after="0"/>
            </w:pPr>
            <w:r/>
            <w:r>
              <w:rPr>
                <w:rFonts w:ascii="Aptos" w:hAnsi="Aptos"/>
                <w:b w:val="0"/>
                <w:sz w:val="16"/>
              </w:rPr>
              <w:t>Section 820 focuses on possible inability to practice safely because physical illness affects competency.</w:t>
            </w:r>
          </w:p>
        </w:tc>
        <w:tc>
          <w:tcPr>
            <w:tcW w:type="dxa" w:w="2520"/>
            <w:vAlign w:val="top"/>
          </w:tcPr>
          <w:p>
            <w:pPr>
              <w:spacing w:after="0"/>
            </w:pPr>
            <w:r/>
            <w:r>
              <w:rPr>
                <w:rFonts w:ascii="Aptos" w:hAnsi="Aptos"/>
                <w:b w:val="0"/>
                <w:sz w:val="16"/>
              </w:rPr>
              <w:t>On legal items, look for the statutory link among physical illness, competency, and safe practice.</w:t>
            </w:r>
          </w:p>
        </w:tc>
      </w:tr>
      <w:tr>
        <w:tc>
          <w:tcPr>
            <w:tcW w:type="dxa" w:w="2376"/>
            <w:vAlign w:val="top"/>
            <w:shd w:fill="F7F9FA"/>
          </w:tcPr>
          <w:p>
            <w:pPr>
              <w:spacing w:after="0"/>
            </w:pPr>
            <w:r/>
            <w:r>
              <w:rPr>
                <w:rFonts w:ascii="Aptos" w:hAnsi="Aptos"/>
                <w:b/>
                <w:sz w:val="16"/>
              </w:rPr>
              <w:t>High-Risk Duty and Severe Fatigue</w:t>
            </w:r>
          </w:p>
        </w:tc>
        <w:tc>
          <w:tcPr>
            <w:tcW w:type="dxa" w:w="5256"/>
            <w:vAlign w:val="top"/>
            <w:shd w:fill="F7F9FA"/>
          </w:tcPr>
          <w:p>
            <w:pPr>
              <w:spacing w:after="0"/>
            </w:pPr>
            <w:r/>
            <w:r>
              <w:rPr>
                <w:rFonts w:ascii="Aptos" w:hAnsi="Aptos"/>
                <w:b w:val="0"/>
                <w:sz w:val="16"/>
              </w:rPr>
              <w:t>Determine that the clinician cannot safely perform the task at that time and arrange qualified coverage or another immediate protective alternative The facts establish present inability to safely complete a high-consequence assessment.</w:t>
            </w:r>
          </w:p>
        </w:tc>
        <w:tc>
          <w:tcPr>
            <w:tcW w:type="dxa" w:w="2520"/>
            <w:vAlign w:val="top"/>
            <w:shd w:fill="F7F9FA"/>
          </w:tcPr>
          <w:p>
            <w:pPr>
              <w:spacing w:after="0"/>
            </w:pPr>
            <w:r/>
            <w:r>
              <w:rPr>
                <w:rFonts w:ascii="Aptos" w:hAnsi="Aptos"/>
                <w:b w:val="0"/>
                <w:sz w:val="16"/>
              </w:rPr>
              <w:t>When current inability and high risk are clear, protective reassignment comes before routine monitoring.</w:t>
            </w:r>
          </w:p>
        </w:tc>
      </w:tr>
      <w:tr>
        <w:tc>
          <w:tcPr>
            <w:tcW w:type="dxa" w:w="2376"/>
            <w:vAlign w:val="top"/>
          </w:tcPr>
          <w:p>
            <w:pPr>
              <w:spacing w:after="0"/>
            </w:pPr>
            <w:r/>
            <w:r>
              <w:rPr>
                <w:rFonts w:ascii="Aptos" w:hAnsi="Aptos"/>
                <w:b/>
                <w:sz w:val="16"/>
              </w:rPr>
              <w:t>Colleague Functional Concern</w:t>
            </w:r>
          </w:p>
        </w:tc>
        <w:tc>
          <w:tcPr>
            <w:tcW w:type="dxa" w:w="5256"/>
            <w:vAlign w:val="top"/>
          </w:tcPr>
          <w:p>
            <w:pPr>
              <w:spacing w:after="0"/>
            </w:pPr>
            <w:r/>
            <w:r>
              <w:rPr>
                <w:rFonts w:ascii="Aptos" w:hAnsi="Aptos"/>
                <w:b w:val="0"/>
                <w:sz w:val="16"/>
              </w:rPr>
              <w:t>The response is based on observable functioning, role, and client protection.</w:t>
            </w:r>
          </w:p>
        </w:tc>
        <w:tc>
          <w:tcPr>
            <w:tcW w:type="dxa" w:w="2520"/>
            <w:vAlign w:val="top"/>
          </w:tcPr>
          <w:p>
            <w:pPr>
              <w:spacing w:after="0"/>
            </w:pPr>
            <w:r/>
            <w:r>
              <w:rPr>
                <w:rFonts w:ascii="Aptos" w:hAnsi="Aptos"/>
                <w:b w:val="0"/>
                <w:sz w:val="16"/>
              </w:rPr>
              <w:t>With colleague or supervisee concerns, focus on observable conduct, immediate safety, and the correct channel.</w:t>
            </w:r>
          </w:p>
        </w:tc>
      </w:tr>
      <w:tr>
        <w:tc>
          <w:tcPr>
            <w:tcW w:type="dxa" w:w="2376"/>
            <w:vAlign w:val="top"/>
            <w:shd w:fill="F7F9FA"/>
          </w:tcPr>
          <w:p>
            <w:pPr>
              <w:spacing w:after="0"/>
            </w:pPr>
            <w:r/>
            <w:r>
              <w:rPr>
                <w:rFonts w:ascii="Aptos" w:hAnsi="Aptos"/>
                <w:b/>
                <w:sz w:val="16"/>
              </w:rPr>
              <w:t>Acute Illness and Continuity</w:t>
            </w:r>
          </w:p>
        </w:tc>
        <w:tc>
          <w:tcPr>
            <w:tcW w:type="dxa" w:w="5256"/>
            <w:vAlign w:val="top"/>
            <w:shd w:fill="F7F9FA"/>
          </w:tcPr>
          <w:p>
            <w:pPr>
              <w:spacing w:after="0"/>
            </w:pPr>
            <w:r/>
            <w:r>
              <w:rPr>
                <w:rFonts w:ascii="Aptos" w:hAnsi="Aptos"/>
                <w:b w:val="0"/>
                <w:sz w:val="16"/>
              </w:rPr>
              <w:t>Temporary inability still requires client protection, coverage, and continuity planning.</w:t>
            </w:r>
          </w:p>
        </w:tc>
        <w:tc>
          <w:tcPr>
            <w:tcW w:type="dxa" w:w="2520"/>
            <w:vAlign w:val="top"/>
            <w:shd w:fill="F7F9FA"/>
          </w:tcPr>
          <w:p>
            <w:pPr>
              <w:spacing w:after="0"/>
            </w:pPr>
            <w:r/>
            <w:r>
              <w:rPr>
                <w:rFonts w:ascii="Aptos" w:hAnsi="Aptos"/>
                <w:b w:val="0"/>
                <w:sz w:val="16"/>
              </w:rPr>
              <w:t>Temporary conditions can require substantial action when current functioning is unsafe.</w:t>
            </w:r>
          </w:p>
        </w:tc>
      </w:tr>
      <w:tr>
        <w:tc>
          <w:tcPr>
            <w:tcW w:type="dxa" w:w="2376"/>
            <w:vAlign w:val="top"/>
          </w:tcPr>
          <w:p>
            <w:pPr>
              <w:spacing w:after="0"/>
            </w:pPr>
            <w:r/>
            <w:r>
              <w:rPr>
                <w:rFonts w:ascii="Aptos" w:hAnsi="Aptos"/>
                <w:b/>
                <w:sz w:val="16"/>
              </w:rPr>
              <w:t>Communication Accommodation</w:t>
            </w:r>
          </w:p>
        </w:tc>
        <w:tc>
          <w:tcPr>
            <w:tcW w:type="dxa" w:w="5256"/>
            <w:vAlign w:val="top"/>
          </w:tcPr>
          <w:p>
            <w:pPr>
              <w:spacing w:after="0"/>
            </w:pPr>
            <w:r/>
            <w:r>
              <w:rPr>
                <w:rFonts w:ascii="Aptos" w:hAnsi="Aptos"/>
                <w:b w:val="0"/>
                <w:sz w:val="16"/>
              </w:rPr>
              <w:t>The functioning and effectiveness of the support are the controlling facts.</w:t>
            </w:r>
          </w:p>
        </w:tc>
        <w:tc>
          <w:tcPr>
            <w:tcW w:type="dxa" w:w="2520"/>
            <w:vAlign w:val="top"/>
          </w:tcPr>
          <w:p>
            <w:pPr>
              <w:spacing w:after="0"/>
            </w:pPr>
            <w:r/>
            <w:r>
              <w:rPr>
                <w:rFonts w:ascii="Aptos" w:hAnsi="Aptos"/>
                <w:b w:val="0"/>
                <w:sz w:val="16"/>
              </w:rPr>
              <w:t>Evaluate the effectiveness of the accommodation in the actual clinical tasks.</w:t>
            </w:r>
          </w:p>
        </w:tc>
      </w:tr>
      <w:tr>
        <w:tc>
          <w:tcPr>
            <w:tcW w:type="dxa" w:w="2376"/>
            <w:vAlign w:val="top"/>
            <w:shd w:fill="F7F9FA"/>
          </w:tcPr>
          <w:p>
            <w:pPr>
              <w:spacing w:after="0"/>
            </w:pPr>
            <w:r/>
            <w:r>
              <w:rPr>
                <w:rFonts w:ascii="Aptos" w:hAnsi="Aptos"/>
                <w:b/>
                <w:sz w:val="16"/>
              </w:rPr>
              <w:t>Driving, Fatigue, and Client Safety</w:t>
            </w:r>
          </w:p>
        </w:tc>
        <w:tc>
          <w:tcPr>
            <w:tcW w:type="dxa" w:w="5256"/>
            <w:vAlign w:val="top"/>
            <w:shd w:fill="F7F9FA"/>
          </w:tcPr>
          <w:p>
            <w:pPr>
              <w:spacing w:after="0"/>
            </w:pPr>
            <w:r/>
            <w:r>
              <w:rPr>
                <w:rFonts w:ascii="Aptos" w:hAnsi="Aptos"/>
                <w:b w:val="0"/>
                <w:sz w:val="16"/>
              </w:rPr>
              <w:t>Immediate operational safety and continuity require another qualified response.</w:t>
            </w:r>
          </w:p>
        </w:tc>
        <w:tc>
          <w:tcPr>
            <w:tcW w:type="dxa" w:w="2520"/>
            <w:vAlign w:val="top"/>
            <w:shd w:fill="F7F9FA"/>
          </w:tcPr>
          <w:p>
            <w:pPr>
              <w:spacing w:after="0"/>
            </w:pPr>
            <w:r/>
            <w:r>
              <w:rPr>
                <w:rFonts w:ascii="Aptos" w:hAnsi="Aptos"/>
                <w:b w:val="0"/>
                <w:sz w:val="16"/>
              </w:rPr>
              <w:t>High-risk transportation and crisis duties require present fitness, not merely availability.</w:t>
            </w:r>
          </w:p>
        </w:tc>
      </w:tr>
      <w:tr>
        <w:tc>
          <w:tcPr>
            <w:tcW w:type="dxa" w:w="2376"/>
            <w:vAlign w:val="top"/>
          </w:tcPr>
          <w:p>
            <w:pPr>
              <w:spacing w:after="0"/>
            </w:pPr>
            <w:r/>
            <w:r>
              <w:rPr>
                <w:rFonts w:ascii="Aptos" w:hAnsi="Aptos"/>
                <w:b/>
                <w:sz w:val="16"/>
              </w:rPr>
              <w:t>Disability Accommodation and Individualized Assessment</w:t>
            </w:r>
          </w:p>
        </w:tc>
        <w:tc>
          <w:tcPr>
            <w:tcW w:type="dxa" w:w="5256"/>
            <w:vAlign w:val="top"/>
          </w:tcPr>
          <w:p>
            <w:pPr>
              <w:spacing w:after="0"/>
            </w:pPr>
            <w:r/>
            <w:r>
              <w:rPr>
                <w:rFonts w:ascii="Aptos" w:hAnsi="Aptos"/>
                <w:b w:val="0"/>
                <w:sz w:val="16"/>
              </w:rPr>
              <w:t>California employment guidance emphasizes individualized assessment and reasonable accommodation while preserving essential functions and safety.</w:t>
            </w:r>
          </w:p>
        </w:tc>
        <w:tc>
          <w:tcPr>
            <w:tcW w:type="dxa" w:w="2520"/>
            <w:vAlign w:val="top"/>
          </w:tcPr>
          <w:p>
            <w:pPr>
              <w:spacing w:after="0"/>
            </w:pPr>
            <w:r/>
            <w:r>
              <w:rPr>
                <w:rFonts w:ascii="Aptos" w:hAnsi="Aptos"/>
                <w:b w:val="0"/>
                <w:sz w:val="16"/>
              </w:rPr>
              <w:t>Distinguish legitimate functional assessment from disability-based assumptions.</w:t>
            </w:r>
          </w:p>
        </w:tc>
      </w:tr>
      <w:tr>
        <w:tc>
          <w:tcPr>
            <w:tcW w:type="dxa" w:w="2376"/>
            <w:vAlign w:val="top"/>
            <w:shd w:fill="F7F9FA"/>
          </w:tcPr>
          <w:p>
            <w:pPr>
              <w:spacing w:after="0"/>
            </w:pPr>
            <w:r/>
            <w:r>
              <w:rPr>
                <w:rFonts w:ascii="Aptos" w:hAnsi="Aptos"/>
                <w:b/>
                <w:sz w:val="16"/>
              </w:rPr>
              <w:t>Accommodation Limits and Essential Duties</w:t>
            </w:r>
          </w:p>
        </w:tc>
        <w:tc>
          <w:tcPr>
            <w:tcW w:type="dxa" w:w="5256"/>
            <w:vAlign w:val="top"/>
            <w:shd w:fill="F7F9FA"/>
          </w:tcPr>
          <w:p>
            <w:pPr>
              <w:spacing w:after="0"/>
            </w:pPr>
            <w:r/>
            <w:r>
              <w:rPr>
                <w:rFonts w:ascii="Aptos" w:hAnsi="Aptos"/>
                <w:b w:val="0"/>
                <w:sz w:val="16"/>
              </w:rPr>
              <w:t>The response addresses the essential high-risk function, continuity, support, and reevaluation.</w:t>
            </w:r>
          </w:p>
        </w:tc>
        <w:tc>
          <w:tcPr>
            <w:tcW w:type="dxa" w:w="2520"/>
            <w:vAlign w:val="top"/>
            <w:shd w:fill="F7F9FA"/>
          </w:tcPr>
          <w:p>
            <w:pPr>
              <w:spacing w:after="0"/>
            </w:pPr>
            <w:r/>
            <w:r>
              <w:rPr>
                <w:rFonts w:ascii="Aptos" w:hAnsi="Aptos"/>
                <w:b w:val="0"/>
                <w:sz w:val="16"/>
              </w:rPr>
              <w:t>An accommodation is sufficient only when it actually preserves safe essential performance.</w:t>
            </w:r>
          </w:p>
        </w:tc>
      </w:tr>
      <w:tr>
        <w:tc>
          <w:tcPr>
            <w:tcW w:type="dxa" w:w="2376"/>
            <w:vAlign w:val="top"/>
          </w:tcPr>
          <w:p>
            <w:pPr>
              <w:spacing w:after="0"/>
            </w:pPr>
            <w:r/>
            <w:r>
              <w:rPr>
                <w:rFonts w:ascii="Aptos" w:hAnsi="Aptos"/>
                <w:b/>
                <w:sz w:val="16"/>
              </w:rPr>
              <w:t>Comprehensive Physical-Functioning Response</w:t>
            </w:r>
          </w:p>
        </w:tc>
        <w:tc>
          <w:tcPr>
            <w:tcW w:type="dxa" w:w="5256"/>
            <w:vAlign w:val="top"/>
          </w:tcPr>
          <w:p>
            <w:pPr>
              <w:spacing w:after="0"/>
            </w:pPr>
            <w:r/>
            <w:r>
              <w:rPr>
                <w:rFonts w:ascii="Aptos" w:hAnsi="Aptos"/>
                <w:b w:val="0"/>
                <w:sz w:val="16"/>
              </w:rPr>
              <w:t>Assess current fitness and immediate risk, limit or stop unsafe duties, arrange qualified coverage and continuity, engage appropriate medical, supervisory, and accommodation processes, document relevant decisions, and reevaluate before fuller return This integrates functional assessment, safety, duty modification, continuity, support, documentation, and return readiness.</w:t>
            </w:r>
          </w:p>
        </w:tc>
        <w:tc>
          <w:tcPr>
            <w:tcW w:type="dxa" w:w="2520"/>
            <w:vAlign w:val="top"/>
          </w:tcPr>
          <w:p>
            <w:pPr>
              <w:spacing w:after="0"/>
            </w:pPr>
            <w:r/>
            <w:r>
              <w:rPr>
                <w:rFonts w:ascii="Aptos" w:hAnsi="Aptos"/>
                <w:b w:val="0"/>
                <w:sz w:val="16"/>
              </w:rPr>
              <w:t>For integrated items, organize the facts using ALERT: Assess, Limit, Engage, Reconfigure, Track.</w:t>
            </w:r>
          </w:p>
        </w:tc>
      </w:tr>
    </w:tbl>
    <w:p>
      <w:pPr>
        <w:pStyle w:val="Heading2"/>
      </w:pPr>
      <w:r>
        <w:t>Exam Reasoning Checklist</w:t>
      </w:r>
    </w:p>
    <w:p>
      <w:pPr>
        <w:pStyle w:val="ListBullet"/>
        <w:spacing w:after="30"/>
      </w:pPr>
      <w:r>
        <w:t>Choose the answer tied to present professional functioning rather than diagnosis, disability, or support use.</w:t>
      </w:r>
    </w:p>
    <w:p>
      <w:pPr>
        <w:pStyle w:val="ListBullet"/>
        <w:spacing w:after="30"/>
      </w:pPr>
      <w:r>
        <w:t>Avoid label-based and ableist distractors. Evaluate performance with the support in place.</w:t>
      </w:r>
    </w:p>
    <w:p>
      <w:pPr>
        <w:pStyle w:val="ListBullet"/>
        <w:spacing w:after="30"/>
      </w:pPr>
      <w:r>
        <w:t>When the stem asks about fatigue effects, select the answer describing cognitive and safety decline—not permanent stigma.</w:t>
      </w:r>
    </w:p>
    <w:p>
      <w:pPr>
        <w:pStyle w:val="ListBullet"/>
        <w:spacing w:after="30"/>
      </w:pPr>
      <w:r>
        <w:t>Think support for essential functions—not lowered standards or proof of incompetence.</w:t>
      </w:r>
    </w:p>
    <w:p>
      <w:pPr>
        <w:pStyle w:val="ListBullet"/>
        <w:spacing w:after="30"/>
      </w:pPr>
      <w:r>
        <w:t>Separate the medical decision from the professional-duty decision; both may require appropriate action.</w:t>
      </w:r>
    </w:p>
    <w:p>
      <w:pPr>
        <w:pStyle w:val="ListBullet"/>
        <w:spacing w:after="30"/>
      </w:pPr>
      <w:r>
        <w:t>Choose the least restrictive adjustment that adequately addresses the actual functional pattern.</w:t>
      </w:r>
    </w:p>
    <w:p>
      <w:pPr>
        <w:pStyle w:val="ListBullet"/>
        <w:spacing w:after="30"/>
      </w:pPr>
      <w:r>
        <w:t>On legal items, look for the statutory link among physical illness, competency, and safe practice.</w:t>
      </w:r>
    </w:p>
    <w:p>
      <w:pPr>
        <w:pStyle w:val="ListBullet"/>
        <w:spacing w:after="30"/>
      </w:pPr>
      <w:r>
        <w:t>When current inability and high risk are clear, protective reassignment comes before routine monitoring.</w:t>
      </w:r>
    </w:p>
    <w:p>
      <w:pPr>
        <w:pStyle w:val="Heading2"/>
      </w:pPr>
      <w:r>
        <w:t>Chapter Rapid Review</w:t>
      </w:r>
    </w:p>
    <w:p>
      <w:r>
        <w:rPr>
          <w:b/>
        </w:rPr>
        <w:t xml:space="preserve">Know these concepts: </w:t>
      </w:r>
      <w:r>
        <w:t>Condition vs. Professional Impairment; Disability and Competence; Effects of Fatigue; Effective Accommodation; Medication Side Effects; Chronic Pain and Proportionate Adjustment; BPC Section 820; High-Risk Duty and Severe Fatigue; Colleague Functional Concern; Acute Illness and Continuity; Communication Accommodation; Driving, Fatigue, and Client Safety; Disability Accommodation and Individualized Assessment; Accommodation Limits and Essential Duties; Comprehensive Physical-Functioning Response</w:t>
      </w:r>
    </w:p>
    <w:p>
      <w:r>
        <w:br w:type="page"/>
      </w:r>
    </w:p>
    <w:p>
      <w:pPr>
        <w:pStyle w:val="Heading2"/>
      </w:pPr>
      <w:r>
        <w:t>Chapter 5</w:t>
      </w:r>
    </w:p>
    <w:p>
      <w:pPr>
        <w:pStyle w:val="Heading1"/>
      </w:pPr>
      <w:r>
        <w:t>Responding Ethically to Professional Impairment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response should match functional decline, urgency, role, and client risk. Recognition must be followed by timely corrective action that protects clients and addresses the functional problem.</w:t>
            </w:r>
          </w:p>
        </w:tc>
      </w:tr>
    </w:tbl>
    <w:p>
      <w:pPr>
        <w:pStyle w:val="Heading2"/>
      </w:pPr>
      <w:r>
        <w:t>What to Learn</w:t>
      </w:r>
    </w:p>
    <w:p>
      <w:pPr>
        <w:pStyle w:val="ListBullet"/>
        <w:spacing w:after="30"/>
      </w:pPr>
      <w:r>
        <w:t>Explain and apply Proportionate Response.</w:t>
      </w:r>
    </w:p>
    <w:p>
      <w:pPr>
        <w:pStyle w:val="ListBullet"/>
        <w:spacing w:after="30"/>
      </w:pPr>
      <w:r>
        <w:t>Explain and apply Primary Ethical Responsibility.</w:t>
      </w:r>
    </w:p>
    <w:p>
      <w:pPr>
        <w:pStyle w:val="ListBullet"/>
        <w:spacing w:after="30"/>
      </w:pPr>
      <w:r>
        <w:t>Explain and apply Treatment vs. Current Practice Safety.</w:t>
      </w:r>
    </w:p>
    <w:p>
      <w:pPr>
        <w:pStyle w:val="ListBullet"/>
        <w:spacing w:after="30"/>
      </w:pPr>
      <w:r>
        <w:t>Explain and apply Continuity of Care.</w:t>
      </w:r>
    </w:p>
    <w:p>
      <w:pPr>
        <w:pStyle w:val="ListBullet"/>
        <w:spacing w:after="30"/>
      </w:pPr>
      <w:r>
        <w:t>Explain and apply Board Fitness Process.</w:t>
      </w:r>
    </w:p>
    <w:p>
      <w:pPr>
        <w:pStyle w:val="ListBullet"/>
        <w:spacing w:after="30"/>
      </w:pPr>
      <w:r>
        <w:t>Explain and apply Early Decline and Available Support.</w:t>
      </w:r>
    </w:p>
    <w:p>
      <w:pPr>
        <w:pStyle w:val="ListBullet"/>
        <w:spacing w:after="30"/>
      </w:pPr>
      <w:r>
        <w:t>Explain and apply Immediate High-Risk Duty.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Proportionate Response</w:t>
            </w:r>
          </w:p>
        </w:tc>
        <w:tc>
          <w:tcPr>
            <w:tcW w:type="dxa" w:w="5256"/>
            <w:vAlign w:val="top"/>
          </w:tcPr>
          <w:p>
            <w:pPr>
              <w:spacing w:after="0"/>
            </w:pPr>
            <w:r/>
            <w:r>
              <w:rPr>
                <w:rFonts w:ascii="Aptos" w:hAnsi="Aptos"/>
                <w:b w:val="0"/>
                <w:sz w:val="16"/>
              </w:rPr>
              <w:t>The response should match functional decline, urgency, role, and client risk.</w:t>
            </w:r>
          </w:p>
        </w:tc>
        <w:tc>
          <w:tcPr>
            <w:tcW w:type="dxa" w:w="2520"/>
            <w:vAlign w:val="top"/>
          </w:tcPr>
          <w:p>
            <w:pPr>
              <w:spacing w:after="0"/>
            </w:pPr>
            <w:r/>
            <w:r>
              <w:rPr>
                <w:rFonts w:ascii="Aptos" w:hAnsi="Aptos"/>
                <w:b w:val="0"/>
                <w:sz w:val="16"/>
              </w:rPr>
              <w:t>“Least disruptive” is correct only when it is also sufficient for client protection.</w:t>
            </w:r>
          </w:p>
        </w:tc>
      </w:tr>
      <w:tr>
        <w:tc>
          <w:tcPr>
            <w:tcW w:type="dxa" w:w="2376"/>
            <w:vAlign w:val="top"/>
            <w:shd w:fill="F7F9FA"/>
          </w:tcPr>
          <w:p>
            <w:pPr>
              <w:spacing w:after="0"/>
            </w:pPr>
            <w:r/>
            <w:r>
              <w:rPr>
                <w:rFonts w:ascii="Aptos" w:hAnsi="Aptos"/>
                <w:b/>
                <w:sz w:val="16"/>
              </w:rPr>
              <w:t>Primary Ethical Responsibility</w:t>
            </w:r>
          </w:p>
        </w:tc>
        <w:tc>
          <w:tcPr>
            <w:tcW w:type="dxa" w:w="5256"/>
            <w:vAlign w:val="top"/>
            <w:shd w:fill="F7F9FA"/>
          </w:tcPr>
          <w:p>
            <w:pPr>
              <w:spacing w:after="0"/>
            </w:pPr>
            <w:r/>
            <w:r>
              <w:rPr>
                <w:rFonts w:ascii="Aptos" w:hAnsi="Aptos"/>
                <w:b w:val="0"/>
                <w:sz w:val="16"/>
              </w:rPr>
              <w:t>Recognition must be followed by timely corrective action that protects clients and addresses the functional problem.</w:t>
            </w:r>
          </w:p>
        </w:tc>
        <w:tc>
          <w:tcPr>
            <w:tcW w:type="dxa" w:w="2520"/>
            <w:vAlign w:val="top"/>
            <w:shd w:fill="F7F9FA"/>
          </w:tcPr>
          <w:p>
            <w:pPr>
              <w:spacing w:after="0"/>
            </w:pPr>
            <w:r/>
            <w:r>
              <w:rPr>
                <w:rFonts w:ascii="Aptos" w:hAnsi="Aptos"/>
                <w:b w:val="0"/>
                <w:sz w:val="16"/>
              </w:rPr>
              <w:t>When impairment is established, choose action and client protection—not delay, income, or unnecessary disclosure.</w:t>
            </w:r>
          </w:p>
        </w:tc>
      </w:tr>
      <w:tr>
        <w:tc>
          <w:tcPr>
            <w:tcW w:type="dxa" w:w="2376"/>
            <w:vAlign w:val="top"/>
          </w:tcPr>
          <w:p>
            <w:pPr>
              <w:spacing w:after="0"/>
            </w:pPr>
            <w:r/>
            <w:r>
              <w:rPr>
                <w:rFonts w:ascii="Aptos" w:hAnsi="Aptos"/>
                <w:b/>
                <w:sz w:val="16"/>
              </w:rPr>
              <w:t>Treatment vs. Current Practice Safety</w:t>
            </w:r>
          </w:p>
        </w:tc>
        <w:tc>
          <w:tcPr>
            <w:tcW w:type="dxa" w:w="5256"/>
            <w:vAlign w:val="top"/>
          </w:tcPr>
          <w:p>
            <w:pPr>
              <w:spacing w:after="0"/>
            </w:pPr>
            <w:r/>
            <w:r>
              <w:rPr>
                <w:rFonts w:ascii="Aptos" w:hAnsi="Aptos"/>
                <w:b w:val="0"/>
                <w:sz w:val="16"/>
              </w:rPr>
              <w:t>Recovery support and present client-protection measures may both be necessary.</w:t>
            </w:r>
          </w:p>
        </w:tc>
        <w:tc>
          <w:tcPr>
            <w:tcW w:type="dxa" w:w="2520"/>
            <w:vAlign w:val="top"/>
          </w:tcPr>
          <w:p>
            <w:pPr>
              <w:spacing w:after="0"/>
            </w:pPr>
            <w:r/>
            <w:r>
              <w:rPr>
                <w:rFonts w:ascii="Aptos" w:hAnsi="Aptos"/>
                <w:b w:val="0"/>
                <w:sz w:val="16"/>
              </w:rPr>
              <w:t>Separate recovery treatment from the question of whether current work can continue safely.</w:t>
            </w:r>
          </w:p>
        </w:tc>
      </w:tr>
      <w:tr>
        <w:tc>
          <w:tcPr>
            <w:tcW w:type="dxa" w:w="2376"/>
            <w:vAlign w:val="top"/>
            <w:shd w:fill="F7F9FA"/>
          </w:tcPr>
          <w:p>
            <w:pPr>
              <w:spacing w:after="0"/>
            </w:pPr>
            <w:r/>
            <w:r>
              <w:rPr>
                <w:rFonts w:ascii="Aptos" w:hAnsi="Aptos"/>
                <w:b/>
                <w:sz w:val="16"/>
              </w:rPr>
              <w:t>Continuity of Care</w:t>
            </w:r>
          </w:p>
        </w:tc>
        <w:tc>
          <w:tcPr>
            <w:tcW w:type="dxa" w:w="5256"/>
            <w:vAlign w:val="top"/>
            <w:shd w:fill="F7F9FA"/>
          </w:tcPr>
          <w:p>
            <w:pPr>
              <w:spacing w:after="0"/>
            </w:pPr>
            <w:r/>
            <w:r>
              <w:rPr>
                <w:rFonts w:ascii="Aptos" w:hAnsi="Aptos"/>
                <w:b w:val="0"/>
                <w:sz w:val="16"/>
              </w:rPr>
              <w:t>Limiting or stopping duties must be paired with reasonable continuity planning.</w:t>
            </w:r>
          </w:p>
        </w:tc>
        <w:tc>
          <w:tcPr>
            <w:tcW w:type="dxa" w:w="2520"/>
            <w:vAlign w:val="top"/>
            <w:shd w:fill="F7F9FA"/>
          </w:tcPr>
          <w:p>
            <w:pPr>
              <w:spacing w:after="0"/>
            </w:pPr>
            <w:r/>
            <w:r>
              <w:rPr>
                <w:rFonts w:ascii="Aptos" w:hAnsi="Aptos"/>
                <w:b w:val="0"/>
                <w:sz w:val="16"/>
              </w:rPr>
              <w:t>The exam often pairs “stop unsafe work” with a second duty: protect continuity and avoid abandonment.</w:t>
            </w:r>
          </w:p>
        </w:tc>
      </w:tr>
      <w:tr>
        <w:tc>
          <w:tcPr>
            <w:tcW w:type="dxa" w:w="2376"/>
            <w:vAlign w:val="top"/>
          </w:tcPr>
          <w:p>
            <w:pPr>
              <w:spacing w:after="0"/>
            </w:pPr>
            <w:r/>
            <w:r>
              <w:rPr>
                <w:rFonts w:ascii="Aptos" w:hAnsi="Aptos"/>
                <w:b/>
                <w:sz w:val="16"/>
              </w:rPr>
              <w:t>Board Fitness Process</w:t>
            </w:r>
          </w:p>
        </w:tc>
        <w:tc>
          <w:tcPr>
            <w:tcW w:type="dxa" w:w="5256"/>
            <w:vAlign w:val="top"/>
          </w:tcPr>
          <w:p>
            <w:pPr>
              <w:spacing w:after="0"/>
            </w:pPr>
            <w:r/>
            <w:r>
              <w:rPr>
                <w:rFonts w:ascii="Aptos" w:hAnsi="Aptos"/>
                <w:b w:val="0"/>
                <w:sz w:val="16"/>
              </w:rPr>
              <w:t>Section 820 concerns formal agency evaluation of possible inability to practice safely.</w:t>
            </w:r>
          </w:p>
        </w:tc>
        <w:tc>
          <w:tcPr>
            <w:tcW w:type="dxa" w:w="2520"/>
            <w:vAlign w:val="top"/>
          </w:tcPr>
          <w:p>
            <w:pPr>
              <w:spacing w:after="0"/>
            </w:pPr>
            <w:r/>
            <w:r>
              <w:rPr>
                <w:rFonts w:ascii="Aptos" w:hAnsi="Aptos"/>
                <w:b w:val="0"/>
                <w:sz w:val="16"/>
              </w:rPr>
              <w:t>Do not confuse a formal Board fitness mechanism with the first ethical step in ordinary practice.</w:t>
            </w:r>
          </w:p>
        </w:tc>
      </w:tr>
      <w:tr>
        <w:tc>
          <w:tcPr>
            <w:tcW w:type="dxa" w:w="2376"/>
            <w:vAlign w:val="top"/>
            <w:shd w:fill="F7F9FA"/>
          </w:tcPr>
          <w:p>
            <w:pPr>
              <w:spacing w:after="0"/>
            </w:pPr>
            <w:r/>
            <w:r>
              <w:rPr>
                <w:rFonts w:ascii="Aptos" w:hAnsi="Aptos"/>
                <w:b/>
                <w:sz w:val="16"/>
              </w:rPr>
              <w:t>Early Decline and Available Support</w:t>
            </w:r>
          </w:p>
        </w:tc>
        <w:tc>
          <w:tcPr>
            <w:tcW w:type="dxa" w:w="5256"/>
            <w:vAlign w:val="top"/>
            <w:shd w:fill="F7F9FA"/>
          </w:tcPr>
          <w:p>
            <w:pPr>
              <w:spacing w:after="0"/>
            </w:pPr>
            <w:r/>
            <w:r>
              <w:rPr>
                <w:rFonts w:ascii="Aptos" w:hAnsi="Aptos"/>
                <w:b w:val="0"/>
                <w:sz w:val="16"/>
              </w:rPr>
              <w:t>Implement a monitored, proportionate plan and escalate if functioning does not remain safe The facts support a limited, monitored response that preserves safe care while addressing the decline.</w:t>
            </w:r>
          </w:p>
        </w:tc>
        <w:tc>
          <w:tcPr>
            <w:tcW w:type="dxa" w:w="2520"/>
            <w:vAlign w:val="top"/>
            <w:shd w:fill="F7F9FA"/>
          </w:tcPr>
          <w:p>
            <w:pPr>
              <w:spacing w:after="0"/>
            </w:pPr>
            <w:r/>
            <w:r>
              <w:rPr>
                <w:rFonts w:ascii="Aptos" w:hAnsi="Aptos"/>
                <w:b w:val="0"/>
                <w:sz w:val="16"/>
              </w:rPr>
              <w:t>Use the lowest level of intervention that is demonstrably sufficient, then reevaluate.</w:t>
            </w:r>
          </w:p>
        </w:tc>
      </w:tr>
      <w:tr>
        <w:tc>
          <w:tcPr>
            <w:tcW w:type="dxa" w:w="2376"/>
            <w:vAlign w:val="top"/>
          </w:tcPr>
          <w:p>
            <w:pPr>
              <w:spacing w:after="0"/>
            </w:pPr>
            <w:r/>
            <w:r>
              <w:rPr>
                <w:rFonts w:ascii="Aptos" w:hAnsi="Aptos"/>
                <w:b/>
                <w:sz w:val="16"/>
              </w:rPr>
              <w:t>Immediate High-Risk Duty</w:t>
            </w:r>
          </w:p>
        </w:tc>
        <w:tc>
          <w:tcPr>
            <w:tcW w:type="dxa" w:w="5256"/>
            <w:vAlign w:val="top"/>
          </w:tcPr>
          <w:p>
            <w:pPr>
              <w:spacing w:after="0"/>
            </w:pPr>
            <w:r/>
            <w:r>
              <w:rPr>
                <w:rFonts w:ascii="Aptos" w:hAnsi="Aptos"/>
                <w:b w:val="0"/>
                <w:sz w:val="16"/>
              </w:rPr>
              <w:t>Immediate safety and qualified coverage come before routine long-term planning.</w:t>
            </w:r>
          </w:p>
        </w:tc>
        <w:tc>
          <w:tcPr>
            <w:tcW w:type="dxa" w:w="2520"/>
            <w:vAlign w:val="top"/>
          </w:tcPr>
          <w:p>
            <w:pPr>
              <w:spacing w:after="0"/>
            </w:pPr>
            <w:r/>
            <w:r>
              <w:rPr>
                <w:rFonts w:ascii="Aptos" w:hAnsi="Aptos"/>
                <w:b w:val="0"/>
                <w:sz w:val="16"/>
              </w:rPr>
              <w:t>When the clinician cannot safely perform a high-risk task now, protective action comes first.</w:t>
            </w:r>
          </w:p>
        </w:tc>
      </w:tr>
      <w:tr>
        <w:tc>
          <w:tcPr>
            <w:tcW w:type="dxa" w:w="2376"/>
            <w:vAlign w:val="top"/>
            <w:shd w:fill="F7F9FA"/>
          </w:tcPr>
          <w:p>
            <w:pPr>
              <w:spacing w:after="0"/>
            </w:pPr>
            <w:r/>
            <w:r>
              <w:rPr>
                <w:rFonts w:ascii="Aptos" w:hAnsi="Aptos"/>
                <w:b/>
                <w:sz w:val="16"/>
              </w:rPr>
              <w:t>Supervisee Disclosure and Assignment Safety</w:t>
            </w:r>
          </w:p>
        </w:tc>
        <w:tc>
          <w:tcPr>
            <w:tcW w:type="dxa" w:w="5256"/>
            <w:vAlign w:val="top"/>
            <w:shd w:fill="F7F9FA"/>
          </w:tcPr>
          <w:p>
            <w:pPr>
              <w:spacing w:after="0"/>
            </w:pPr>
            <w:r/>
            <w:r>
              <w:rPr>
                <w:rFonts w:ascii="Aptos" w:hAnsi="Aptos"/>
                <w:b w:val="0"/>
                <w:sz w:val="16"/>
              </w:rPr>
              <w:t>Material omissions interfere with supervisory risk assessment, oversight, and assignment decisions.</w:t>
            </w:r>
          </w:p>
        </w:tc>
        <w:tc>
          <w:tcPr>
            <w:tcW w:type="dxa" w:w="2520"/>
            <w:vAlign w:val="top"/>
            <w:shd w:fill="F7F9FA"/>
          </w:tcPr>
          <w:p>
            <w:pPr>
              <w:spacing w:after="0"/>
            </w:pPr>
            <w:r/>
            <w:r>
              <w:rPr>
                <w:rFonts w:ascii="Aptos" w:hAnsi="Aptos"/>
                <w:b w:val="0"/>
                <w:sz w:val="16"/>
              </w:rPr>
              <w:t>Supervision questions often turn on accurate information, client risk, assignment changes, and clear follow-up.</w:t>
            </w:r>
          </w:p>
        </w:tc>
      </w:tr>
      <w:tr>
        <w:tc>
          <w:tcPr>
            <w:tcW w:type="dxa" w:w="2376"/>
            <w:vAlign w:val="top"/>
          </w:tcPr>
          <w:p>
            <w:pPr>
              <w:spacing w:after="0"/>
            </w:pPr>
            <w:r/>
            <w:r>
              <w:rPr>
                <w:rFonts w:ascii="Aptos" w:hAnsi="Aptos"/>
                <w:b/>
                <w:sz w:val="16"/>
              </w:rPr>
              <w:t>Colleague Concern Without Immediate Danger</w:t>
            </w:r>
          </w:p>
        </w:tc>
        <w:tc>
          <w:tcPr>
            <w:tcW w:type="dxa" w:w="5256"/>
            <w:vAlign w:val="top"/>
          </w:tcPr>
          <w:p>
            <w:pPr>
              <w:spacing w:after="0"/>
            </w:pPr>
            <w:r/>
            <w:r>
              <w:rPr>
                <w:rFonts w:ascii="Aptos" w:hAnsi="Aptos"/>
                <w:b w:val="0"/>
                <w:sz w:val="16"/>
              </w:rPr>
              <w:t>Address the colleague privately when feasible, support appropriate remedial action, and use appropriate professional channels if the concern is not adequately addressed, while escalating promptly when client risk requires it.</w:t>
            </w:r>
          </w:p>
        </w:tc>
        <w:tc>
          <w:tcPr>
            <w:tcW w:type="dxa" w:w="2520"/>
            <w:vAlign w:val="top"/>
          </w:tcPr>
          <w:p>
            <w:pPr>
              <w:spacing w:after="0"/>
            </w:pPr>
            <w:r/>
            <w:r>
              <w:rPr>
                <w:rFonts w:ascii="Aptos" w:hAnsi="Aptos"/>
                <w:b w:val="0"/>
                <w:sz w:val="16"/>
              </w:rPr>
              <w:t>When no immediate danger exists, feasible direct intervention may precede formal channels; persistent risk changes the response.</w:t>
            </w:r>
          </w:p>
        </w:tc>
      </w:tr>
      <w:tr>
        <w:tc>
          <w:tcPr>
            <w:tcW w:type="dxa" w:w="2376"/>
            <w:vAlign w:val="top"/>
            <w:shd w:fill="F7F9FA"/>
          </w:tcPr>
          <w:p>
            <w:pPr>
              <w:spacing w:after="0"/>
            </w:pPr>
            <w:r/>
            <w:r>
              <w:rPr>
                <w:rFonts w:ascii="Aptos" w:hAnsi="Aptos"/>
                <w:b/>
                <w:sz w:val="16"/>
              </w:rPr>
              <w:t>Documentation and Privacy</w:t>
            </w:r>
          </w:p>
        </w:tc>
        <w:tc>
          <w:tcPr>
            <w:tcW w:type="dxa" w:w="5256"/>
            <w:vAlign w:val="top"/>
            <w:shd w:fill="F7F9FA"/>
          </w:tcPr>
          <w:p>
            <w:pPr>
              <w:spacing w:after="0"/>
            </w:pPr>
            <w:r/>
            <w:r>
              <w:rPr>
                <w:rFonts w:ascii="Aptos" w:hAnsi="Aptos"/>
                <w:b w:val="0"/>
                <w:sz w:val="16"/>
              </w:rPr>
              <w:t>Neutral, behavior-based documentation should show the professional concern, reasoning, action, and follow-up.</w:t>
            </w:r>
          </w:p>
        </w:tc>
        <w:tc>
          <w:tcPr>
            <w:tcW w:type="dxa" w:w="2520"/>
            <w:vAlign w:val="top"/>
            <w:shd w:fill="F7F9FA"/>
          </w:tcPr>
          <w:p>
            <w:pPr>
              <w:spacing w:after="0"/>
            </w:pPr>
            <w:r/>
            <w:r>
              <w:rPr>
                <w:rFonts w:ascii="Aptos" w:hAnsi="Aptos"/>
                <w:b w:val="0"/>
                <w:sz w:val="16"/>
              </w:rPr>
              <w:t>Document function and professional action—not gossip, unsupported diagnosis, or excessive private detail.</w:t>
            </w:r>
          </w:p>
        </w:tc>
      </w:tr>
      <w:tr>
        <w:tc>
          <w:tcPr>
            <w:tcW w:type="dxa" w:w="2376"/>
            <w:vAlign w:val="top"/>
          </w:tcPr>
          <w:p>
            <w:pPr>
              <w:spacing w:after="0"/>
            </w:pPr>
            <w:r/>
            <w:r>
              <w:rPr>
                <w:rFonts w:ascii="Aptos" w:hAnsi="Aptos"/>
                <w:b/>
                <w:sz w:val="16"/>
              </w:rPr>
              <w:t>Income and Client Safety</w:t>
            </w:r>
          </w:p>
        </w:tc>
        <w:tc>
          <w:tcPr>
            <w:tcW w:type="dxa" w:w="5256"/>
            <w:vAlign w:val="top"/>
          </w:tcPr>
          <w:p>
            <w:pPr>
              <w:spacing w:after="0"/>
            </w:pPr>
            <w:r/>
            <w:r>
              <w:rPr>
                <w:rFonts w:ascii="Aptos" w:hAnsi="Aptos"/>
                <w:b w:val="0"/>
                <w:sz w:val="16"/>
              </w:rPr>
              <w:t>Client welfare and current professional capacity control over income preservation.</w:t>
            </w:r>
          </w:p>
        </w:tc>
        <w:tc>
          <w:tcPr>
            <w:tcW w:type="dxa" w:w="2520"/>
            <w:vAlign w:val="top"/>
          </w:tcPr>
          <w:p>
            <w:pPr>
              <w:spacing w:after="0"/>
            </w:pPr>
            <w:r/>
            <w:r>
              <w:rPr>
                <w:rFonts w:ascii="Aptos" w:hAnsi="Aptos"/>
                <w:b w:val="0"/>
                <w:sz w:val="16"/>
              </w:rPr>
              <w:t>Distractors often protect income, pride, or reputation. The best answer protects clients.</w:t>
            </w:r>
          </w:p>
        </w:tc>
      </w:tr>
      <w:tr>
        <w:tc>
          <w:tcPr>
            <w:tcW w:type="dxa" w:w="2376"/>
            <w:vAlign w:val="top"/>
            <w:shd w:fill="F7F9FA"/>
          </w:tcPr>
          <w:p>
            <w:pPr>
              <w:spacing w:after="0"/>
            </w:pPr>
            <w:r/>
            <w:r>
              <w:rPr>
                <w:rFonts w:ascii="Aptos" w:hAnsi="Aptos"/>
                <w:b/>
                <w:sz w:val="16"/>
              </w:rPr>
              <w:t>Treatment Without Practice Adjustment</w:t>
            </w:r>
          </w:p>
        </w:tc>
        <w:tc>
          <w:tcPr>
            <w:tcW w:type="dxa" w:w="5256"/>
            <w:vAlign w:val="top"/>
            <w:shd w:fill="F7F9FA"/>
          </w:tcPr>
          <w:p>
            <w:pPr>
              <w:spacing w:after="0"/>
            </w:pPr>
            <w:r/>
            <w:r>
              <w:rPr>
                <w:rFonts w:ascii="Aptos" w:hAnsi="Aptos"/>
                <w:b w:val="0"/>
                <w:sz w:val="16"/>
              </w:rPr>
              <w:t>The clinician must address present client safety, workload, and continuity in addition to treatment.</w:t>
            </w:r>
          </w:p>
        </w:tc>
        <w:tc>
          <w:tcPr>
            <w:tcW w:type="dxa" w:w="2520"/>
            <w:vAlign w:val="top"/>
            <w:shd w:fill="F7F9FA"/>
          </w:tcPr>
          <w:p>
            <w:pPr>
              <w:spacing w:after="0"/>
            </w:pPr>
            <w:r/>
            <w:r>
              <w:rPr>
                <w:rFonts w:ascii="Aptos" w:hAnsi="Aptos"/>
                <w:b w:val="0"/>
                <w:sz w:val="16"/>
              </w:rPr>
              <w:t>Help-seeking is necessary in many cases, but the exam asks whether current clients are also protected.</w:t>
            </w:r>
          </w:p>
        </w:tc>
      </w:tr>
      <w:tr>
        <w:tc>
          <w:tcPr>
            <w:tcW w:type="dxa" w:w="2376"/>
            <w:vAlign w:val="top"/>
          </w:tcPr>
          <w:p>
            <w:pPr>
              <w:spacing w:after="0"/>
            </w:pPr>
            <w:r/>
            <w:r>
              <w:rPr>
                <w:rFonts w:ascii="Aptos" w:hAnsi="Aptos"/>
                <w:b/>
                <w:sz w:val="16"/>
              </w:rPr>
              <w:t>Immediate Colleague Risk</w:t>
            </w:r>
          </w:p>
        </w:tc>
        <w:tc>
          <w:tcPr>
            <w:tcW w:type="dxa" w:w="5256"/>
            <w:vAlign w:val="top"/>
          </w:tcPr>
          <w:p>
            <w:pPr>
              <w:spacing w:after="0"/>
            </w:pPr>
            <w:r/>
            <w:r>
              <w:rPr>
                <w:rFonts w:ascii="Aptos" w:hAnsi="Aptos"/>
                <w:b w:val="0"/>
                <w:sz w:val="16"/>
              </w:rPr>
              <w:t>Immediate client protection and qualified coverage take priority.</w:t>
            </w:r>
          </w:p>
        </w:tc>
        <w:tc>
          <w:tcPr>
            <w:tcW w:type="dxa" w:w="2520"/>
            <w:vAlign w:val="top"/>
          </w:tcPr>
          <w:p>
            <w:pPr>
              <w:spacing w:after="0"/>
            </w:pPr>
            <w:r/>
            <w:r>
              <w:rPr>
                <w:rFonts w:ascii="Aptos" w:hAnsi="Aptos"/>
                <w:b w:val="0"/>
                <w:sz w:val="16"/>
              </w:rPr>
              <w:t>In an emergency, do not delay protective action to preserve comfort, privacy, or collegiality.</w:t>
            </w:r>
          </w:p>
        </w:tc>
      </w:tr>
      <w:tr>
        <w:tc>
          <w:tcPr>
            <w:tcW w:type="dxa" w:w="2376"/>
            <w:vAlign w:val="top"/>
            <w:shd w:fill="F7F9FA"/>
          </w:tcPr>
          <w:p>
            <w:pPr>
              <w:spacing w:after="0"/>
            </w:pPr>
            <w:r/>
            <w:r>
              <w:rPr>
                <w:rFonts w:ascii="Aptos" w:hAnsi="Aptos"/>
                <w:b/>
                <w:sz w:val="16"/>
              </w:rPr>
              <w:t>Supervisor Response to Significant Impairment</w:t>
            </w:r>
          </w:p>
        </w:tc>
        <w:tc>
          <w:tcPr>
            <w:tcW w:type="dxa" w:w="5256"/>
            <w:vAlign w:val="top"/>
            <w:shd w:fill="F7F9FA"/>
          </w:tcPr>
          <w:p>
            <w:pPr>
              <w:spacing w:after="0"/>
            </w:pPr>
            <w:r/>
            <w:r>
              <w:rPr>
                <w:rFonts w:ascii="Aptos" w:hAnsi="Aptos"/>
                <w:b w:val="0"/>
                <w:sz w:val="16"/>
              </w:rPr>
              <w:t>Protect clients by modifying or stopping affected assignments, increasing oversight, setting measurable remediation, arranging continuity, and monitoring recovery This combines client protection, supervision, remediation, continuity, and reassessment.</w:t>
            </w:r>
          </w:p>
        </w:tc>
        <w:tc>
          <w:tcPr>
            <w:tcW w:type="dxa" w:w="2520"/>
            <w:vAlign w:val="top"/>
            <w:shd w:fill="F7F9FA"/>
          </w:tcPr>
          <w:p>
            <w:pPr>
              <w:spacing w:after="0"/>
            </w:pPr>
            <w:r/>
            <w:r>
              <w:rPr>
                <w:rFonts w:ascii="Aptos" w:hAnsi="Aptos"/>
                <w:b w:val="0"/>
                <w:sz w:val="16"/>
              </w:rPr>
              <w:t>The strongest supervision answer is supportive and accountable while immediately addressing unsafe work.</w:t>
            </w:r>
          </w:p>
        </w:tc>
      </w:tr>
      <w:tr>
        <w:tc>
          <w:tcPr>
            <w:tcW w:type="dxa" w:w="2376"/>
            <w:vAlign w:val="top"/>
          </w:tcPr>
          <w:p>
            <w:pPr>
              <w:spacing w:after="0"/>
            </w:pPr>
            <w:r/>
            <w:r>
              <w:rPr>
                <w:rFonts w:ascii="Aptos" w:hAnsi="Aptos"/>
                <w:b/>
                <w:sz w:val="16"/>
              </w:rPr>
              <w:t>Reporting Precision</w:t>
            </w:r>
          </w:p>
        </w:tc>
        <w:tc>
          <w:tcPr>
            <w:tcW w:type="dxa" w:w="5256"/>
            <w:vAlign w:val="top"/>
          </w:tcPr>
          <w:p>
            <w:pPr>
              <w:spacing w:after="0"/>
            </w:pPr>
            <w:r/>
            <w:r>
              <w:rPr>
                <w:rFonts w:ascii="Aptos" w:hAnsi="Aptos"/>
                <w:b w:val="0"/>
                <w:sz w:val="16"/>
              </w:rPr>
              <w:t>The analysis must be based on functioning, risk, role, and a specific reporting authority.</w:t>
            </w:r>
          </w:p>
        </w:tc>
        <w:tc>
          <w:tcPr>
            <w:tcW w:type="dxa" w:w="2520"/>
            <w:vAlign w:val="top"/>
          </w:tcPr>
          <w:p>
            <w:pPr>
              <w:spacing w:after="0"/>
            </w:pPr>
            <w:r/>
            <w:r>
              <w:rPr>
                <w:rFonts w:ascii="Aptos" w:hAnsi="Aptos"/>
                <w:b w:val="0"/>
                <w:sz w:val="16"/>
              </w:rPr>
              <w:t>Never invent a reporting duty. Identify the exact law, role, and facts before choosing a regulatory report.</w:t>
            </w:r>
          </w:p>
        </w:tc>
      </w:tr>
      <w:tr>
        <w:tc>
          <w:tcPr>
            <w:tcW w:type="dxa" w:w="2376"/>
            <w:vAlign w:val="top"/>
            <w:shd w:fill="F7F9FA"/>
          </w:tcPr>
          <w:p>
            <w:pPr>
              <w:spacing w:after="0"/>
            </w:pPr>
            <w:r/>
            <w:r>
              <w:rPr>
                <w:rFonts w:ascii="Aptos" w:hAnsi="Aptos"/>
                <w:b/>
                <w:sz w:val="16"/>
              </w:rPr>
              <w:t>Comprehensive Ethical Response</w:t>
            </w:r>
          </w:p>
        </w:tc>
        <w:tc>
          <w:tcPr>
            <w:tcW w:type="dxa" w:w="5256"/>
            <w:vAlign w:val="top"/>
            <w:shd w:fill="F7F9FA"/>
          </w:tcPr>
          <w:p>
            <w:pPr>
              <w:spacing w:after="0"/>
            </w:pPr>
            <w:r/>
            <w:r>
              <w:rPr>
                <w:rFonts w:ascii="Aptos" w:hAnsi="Aptos"/>
                <w:b w:val="0"/>
                <w:sz w:val="16"/>
              </w:rPr>
              <w:t>Prioritize immediate client safety, provide accurate functional information, obtain appropriate help, limit or stop unsafe duties, arrange continuity, document the plan, and resume fuller work only after functioning is demonstrated This integrates the full PROTECT sequence: safety, assessment, help, duty modification, continuity, documentation, and return evaluation.</w:t>
            </w:r>
          </w:p>
        </w:tc>
        <w:tc>
          <w:tcPr>
            <w:tcW w:type="dxa" w:w="2520"/>
            <w:vAlign w:val="top"/>
            <w:shd w:fill="F7F9FA"/>
          </w:tcPr>
          <w:p>
            <w:pPr>
              <w:spacing w:after="0"/>
            </w:pPr>
            <w:r/>
            <w:r>
              <w:rPr>
                <w:rFonts w:ascii="Aptos" w:hAnsi="Aptos"/>
                <w:b w:val="0"/>
                <w:sz w:val="16"/>
              </w:rPr>
              <w:t>For integrated items, organize the facts: SAFETY, FUNCTION, ROLE, RESPONSE, CONTINUITY, and RETURN.</w:t>
            </w:r>
          </w:p>
        </w:tc>
      </w:tr>
    </w:tbl>
    <w:p>
      <w:pPr>
        <w:pStyle w:val="Heading2"/>
      </w:pPr>
      <w:r>
        <w:t>Exam Reasoning Checklist</w:t>
      </w:r>
    </w:p>
    <w:p>
      <w:pPr>
        <w:pStyle w:val="ListBullet"/>
        <w:spacing w:after="30"/>
      </w:pPr>
      <w:r>
        <w:t>“Least disruptive” is correct only when it is also sufficient for client protection.</w:t>
      </w:r>
    </w:p>
    <w:p>
      <w:pPr>
        <w:pStyle w:val="ListBullet"/>
        <w:spacing w:after="30"/>
      </w:pPr>
      <w:r>
        <w:t>When impairment is established, choose action and client protection—not delay, income, or unnecessary disclosure.</w:t>
      </w:r>
    </w:p>
    <w:p>
      <w:pPr>
        <w:pStyle w:val="ListBullet"/>
        <w:spacing w:after="30"/>
      </w:pPr>
      <w:r>
        <w:t>Separate recovery treatment from the question of whether current work can continue safely.</w:t>
      </w:r>
    </w:p>
    <w:p>
      <w:pPr>
        <w:pStyle w:val="ListBullet"/>
        <w:spacing w:after="30"/>
      </w:pPr>
      <w:r>
        <w:t>The exam often pairs “stop unsafe work” with a second duty: protect continuity and avoid abandonment.</w:t>
      </w:r>
    </w:p>
    <w:p>
      <w:pPr>
        <w:pStyle w:val="ListBullet"/>
        <w:spacing w:after="30"/>
      </w:pPr>
      <w:r>
        <w:t>Do not confuse a formal Board fitness mechanism with the first ethical step in ordinary practice.</w:t>
      </w:r>
    </w:p>
    <w:p>
      <w:pPr>
        <w:pStyle w:val="ListBullet"/>
        <w:spacing w:after="30"/>
      </w:pPr>
      <w:r>
        <w:t>Use the lowest level of intervention that is demonstrably sufficient, then reevaluate.</w:t>
      </w:r>
    </w:p>
    <w:p>
      <w:pPr>
        <w:pStyle w:val="ListBullet"/>
        <w:spacing w:after="30"/>
      </w:pPr>
      <w:r>
        <w:t>When the clinician cannot safely perform a high-risk task now, protective action comes first.</w:t>
      </w:r>
    </w:p>
    <w:p>
      <w:pPr>
        <w:pStyle w:val="ListBullet"/>
        <w:spacing w:after="30"/>
      </w:pPr>
      <w:r>
        <w:t>Supervision questions often turn on accurate information, client risk, assignment changes, and clear follow-up.</w:t>
      </w:r>
    </w:p>
    <w:p>
      <w:pPr>
        <w:pStyle w:val="Heading2"/>
      </w:pPr>
      <w:r>
        <w:t>Chapter Rapid Review</w:t>
      </w:r>
    </w:p>
    <w:p>
      <w:r>
        <w:rPr>
          <w:b/>
        </w:rPr>
        <w:t xml:space="preserve">Know these concepts: </w:t>
      </w:r>
      <w:r>
        <w:t>Proportionate Response; Primary Ethical Responsibility; Treatment vs. Current Practice Safety; Continuity of Care; Board Fitness Process; Early Decline and Available Support; Immediate High-Risk Duty; Supervisee Disclosure and Assignment Safety; Colleague Concern Without Immediate Danger; Documentation and Privacy; Income and Client Safety; Treatment Without Practice Adjustment; Immediate Colleague Risk; Supervisor Response to Significant Impairment; Reporting Precision; Comprehensive Ethical Response</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4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4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