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1886857"/>
            <wp:docPr id="1" name="Picture 1"/>
            <wp:cNvGraphicFramePr>
              <a:graphicFrameLocks noChangeAspect="1"/>
            </wp:cNvGraphicFramePr>
            <a:graphic>
              <a:graphicData uri="http://schemas.openxmlformats.org/drawingml/2006/picture">
                <pic:pic>
                  <pic:nvPicPr>
                    <pic:cNvPr id="0" name="Primary Horizontal Logo.png"/>
                    <pic:cNvPicPr/>
                  </pic:nvPicPr>
                  <pic:blipFill>
                    <a:blip r:embed="rId9"/>
                    <a:stretch>
                      <a:fillRect/>
                    </a:stretch>
                  </pic:blipFill>
                  <pic:spPr>
                    <a:xfrm>
                      <a:off x="0" y="0"/>
                      <a:ext cx="2743200" cy="1886857"/>
                    </a:xfrm>
                    <a:prstGeom prst="rect"/>
                  </pic:spPr>
                </pic:pic>
              </a:graphicData>
            </a:graphic>
          </wp:inline>
        </w:drawing>
      </w:r>
    </w:p>
    <w:p>
      <w:pPr>
        <w:pStyle w:val="Title"/>
        <w:jc w:val="center"/>
      </w:pPr>
      <w:r>
        <w:t>LPCC Law &amp; Ethics Study Guide</w:t>
      </w:r>
    </w:p>
    <w:p>
      <w:pPr>
        <w:jc w:val="center"/>
      </w:pPr>
      <w:r>
        <w:rPr>
          <w:b/>
          <w:color w:val="179B95"/>
          <w:sz w:val="26"/>
        </w:rPr>
        <w:t>Workbook 5: Client Welfare and Harm Prevention | LPCC Candidate Edition</w:t>
      </w:r>
    </w:p>
    <w:p>
      <w:pPr>
        <w:jc w:val="center"/>
      </w:pPr>
      <w:r>
        <w:rPr>
          <w:color w:val="5F5F5F"/>
          <w:sz w:val="18"/>
        </w:rPr>
        <w:t>CTA-EP-003 | Version 1.0 | August 7, 2026</w:t>
      </w:r>
    </w:p>
    <w:tbl>
      <w:tblPr>
        <w:tblStyle w:val="TableGrid"/>
        <w:tblW w:type="auto" w:w="0"/>
        <w:jc w:val="center"/>
        <w:tblLook w:firstColumn="1" w:firstRow="1" w:lastColumn="0" w:lastRow="0" w:noHBand="0" w:noVBand="1" w:val="04A0"/>
      </w:tblPr>
      <w:tblGrid>
        <w:gridCol w:w="10368"/>
      </w:tblGrid>
      <w:tr>
        <w:tc>
          <w:tcPr>
            <w:tcW w:type="dxa" w:w="10368"/>
            <w:shd w:fill="FFF4D6"/>
            <w:vAlign w:val="top"/>
          </w:tcPr>
          <w:p>
            <w:pPr>
              <w:spacing w:after="0"/>
            </w:pPr>
            <w:r/>
            <w:r>
              <w:rPr>
                <w:rFonts w:ascii="Aptos" w:hAnsi="Aptos"/>
                <w:b/>
                <w:sz w:val="18"/>
              </w:rPr>
              <w:t>EXAM PREPARATION ONLY. No CE credit or certificate. Educational material - not legal advice, an eligibility decision, or a guarantee of examination success.</w:t>
            </w:r>
          </w:p>
        </w:tc>
      </w:tr>
    </w:tbl>
    <w:p>
      <w:pPr>
        <w:pStyle w:val="Heading1"/>
      </w:pPr>
      <w:r>
        <w:t>Publication Notice</w:t>
      </w:r>
    </w:p>
    <w:p>
      <w:r>
        <w:t>This LPCC Candidate Edition is a final learner-facing reconstruction built from the approved LPCC/APCC Study Center and completed LPCC production controls. It is profession-specific to the California LPCC Law and Ethics Examination. The guide teaches study principles and reasoning frameworks; candidates should consult current official BBS and examination materials for current administrative requirements.</w:t>
      </w:r>
    </w:p>
    <w:p>
      <w:r>
        <w:t>CTA is independent and is not affiliated with, sponsored by, or endorsed by the California Board of Behavioral Sciences, Pearson VUE, ACA, NBCC, or CCE.</w:t>
      </w:r>
    </w:p>
    <w:p>
      <w:pPr>
        <w:pStyle w:val="Heading1"/>
      </w:pPr>
      <w:r>
        <w:t>How to Use This Workbook</w:t>
      </w:r>
    </w:p>
    <w:p>
      <w:pPr>
        <w:pStyle w:val="ListBullet"/>
        <w:spacing w:after="30"/>
      </w:pPr>
      <w:r>
        <w:t>Study each core chapter in order or use the chapters selectively for remediation.</w:t>
      </w:r>
    </w:p>
    <w:p>
      <w:pPr>
        <w:pStyle w:val="ListBullet"/>
        <w:spacing w:after="30"/>
      </w:pPr>
      <w:r>
        <w:t>For each concept, learn the controlling rule first, then use the memory cue to recognize common exam distinctions.</w:t>
      </w:r>
    </w:p>
    <w:p>
      <w:pPr>
        <w:pStyle w:val="ListBullet"/>
        <w:spacing w:after="30"/>
      </w:pPr>
      <w:r>
        <w:t>Complete the corresponding online chapter test after study; chapter tests are separate from this learner guide.</w:t>
      </w:r>
    </w:p>
    <w:p>
      <w:pPr>
        <w:pStyle w:val="ListBullet"/>
        <w:spacing w:after="30"/>
      </w:pPr>
      <w:r>
        <w:t>Use the 807-card Study Center for spaced review and targeted remediation.</w:t>
      </w:r>
    </w:p>
    <w:p>
      <w:pPr>
        <w:pStyle w:val="ListBullet"/>
        <w:spacing w:after="30"/>
      </w:pPr>
      <w:r>
        <w:t>When a current legal, regulatory, or ethics source changes, follow CTA's posted update notice.</w:t>
      </w:r>
    </w:p>
    <w:p>
      <w:pPr>
        <w:pStyle w:val="Heading1"/>
      </w:pPr>
      <w:r>
        <w:t>Chapter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007"/>
            <w:vAlign w:val="top"/>
            <w:shd w:fill="17365D"/>
          </w:tcPr>
          <w:p>
            <w:pPr>
              <w:spacing w:after="0"/>
            </w:pPr>
            <w:r/>
            <w:r>
              <w:rPr>
                <w:rFonts w:ascii="Aptos" w:hAnsi="Aptos"/>
                <w:b/>
                <w:color w:val="FFFFFF"/>
                <w:sz w:val="18"/>
              </w:rPr>
              <w:t>Chapter</w:t>
            </w:r>
          </w:p>
        </w:tc>
        <w:tc>
          <w:tcPr>
            <w:tcW w:type="dxa" w:w="8063"/>
            <w:vAlign w:val="top"/>
            <w:shd w:fill="17365D"/>
          </w:tcPr>
          <w:p>
            <w:pPr>
              <w:spacing w:after="0"/>
            </w:pPr>
            <w:r/>
            <w:r>
              <w:rPr>
                <w:rFonts w:ascii="Aptos" w:hAnsi="Aptos"/>
                <w:b/>
                <w:color w:val="FFFFFF"/>
                <w:sz w:val="18"/>
              </w:rPr>
              <w:t>Title</w:t>
            </w:r>
          </w:p>
        </w:tc>
        <w:tc>
          <w:tcPr>
            <w:tcW w:type="dxa" w:w="1296"/>
            <w:vAlign w:val="top"/>
            <w:shd w:fill="17365D"/>
          </w:tcPr>
          <w:p>
            <w:pPr>
              <w:spacing w:after="0"/>
            </w:pPr>
            <w:r/>
            <w:r>
              <w:rPr>
                <w:rFonts w:ascii="Aptos" w:hAnsi="Aptos"/>
                <w:b/>
                <w:color w:val="FFFFFF"/>
                <w:sz w:val="18"/>
              </w:rPr>
              <w:t>Study Cards</w:t>
            </w:r>
          </w:p>
        </w:tc>
      </w:tr>
      <w:tr>
        <w:tc>
          <w:tcPr>
            <w:tcW w:type="dxa" w:w="1007"/>
            <w:vAlign w:val="top"/>
          </w:tcPr>
          <w:p>
            <w:pPr>
              <w:spacing w:after="0"/>
            </w:pPr>
            <w:r/>
            <w:r>
              <w:rPr>
                <w:rFonts w:ascii="Aptos" w:hAnsi="Aptos"/>
                <w:b w:val="0"/>
                <w:sz w:val="17"/>
              </w:rPr>
              <w:t>1</w:t>
            </w:r>
          </w:p>
        </w:tc>
        <w:tc>
          <w:tcPr>
            <w:tcW w:type="dxa" w:w="8063"/>
            <w:vAlign w:val="top"/>
          </w:tcPr>
          <w:p>
            <w:pPr>
              <w:spacing w:after="0"/>
            </w:pPr>
            <w:r/>
            <w:r>
              <w:rPr>
                <w:rFonts w:ascii="Aptos" w:hAnsi="Aptos"/>
                <w:b w:val="0"/>
                <w:sz w:val="17"/>
              </w:rPr>
              <w:t>The Principle of Nonmaleficence</w:t>
            </w:r>
          </w:p>
        </w:tc>
        <w:tc>
          <w:tcPr>
            <w:tcW w:type="dxa" w:w="1296"/>
            <w:vAlign w:val="top"/>
          </w:tcPr>
          <w:p>
            <w:pPr>
              <w:spacing w:after="0"/>
            </w:pPr>
            <w:r/>
            <w:r>
              <w:rPr>
                <w:rFonts w:ascii="Aptos" w:hAnsi="Aptos"/>
                <w:b w:val="0"/>
                <w:sz w:val="17"/>
              </w:rPr>
              <w:t>17</w:t>
            </w:r>
          </w:p>
        </w:tc>
      </w:tr>
      <w:tr>
        <w:tc>
          <w:tcPr>
            <w:tcW w:type="dxa" w:w="1007"/>
            <w:vAlign w:val="top"/>
            <w:shd w:fill="F2F4F7"/>
          </w:tcPr>
          <w:p>
            <w:pPr>
              <w:spacing w:after="0"/>
            </w:pPr>
            <w:r/>
            <w:r>
              <w:rPr>
                <w:rFonts w:ascii="Aptos" w:hAnsi="Aptos"/>
                <w:b w:val="0"/>
                <w:sz w:val="17"/>
              </w:rPr>
              <w:t>2</w:t>
            </w:r>
          </w:p>
        </w:tc>
        <w:tc>
          <w:tcPr>
            <w:tcW w:type="dxa" w:w="8063"/>
            <w:vAlign w:val="top"/>
            <w:shd w:fill="F2F4F7"/>
          </w:tcPr>
          <w:p>
            <w:pPr>
              <w:spacing w:after="0"/>
            </w:pPr>
            <w:r/>
            <w:r>
              <w:rPr>
                <w:rFonts w:ascii="Aptos" w:hAnsi="Aptos"/>
                <w:b w:val="0"/>
                <w:sz w:val="17"/>
              </w:rPr>
              <w:t>Avoiding and Preventing Client Harm</w:t>
            </w:r>
          </w:p>
        </w:tc>
        <w:tc>
          <w:tcPr>
            <w:tcW w:type="dxa" w:w="1296"/>
            <w:vAlign w:val="top"/>
            <w:shd w:fill="F2F4F7"/>
          </w:tcPr>
          <w:p>
            <w:pPr>
              <w:spacing w:after="0"/>
            </w:pPr>
            <w:r/>
            <w:r>
              <w:rPr>
                <w:rFonts w:ascii="Aptos" w:hAnsi="Aptos"/>
                <w:b w:val="0"/>
                <w:sz w:val="17"/>
              </w:rPr>
              <w:t>17</w:t>
            </w:r>
          </w:p>
        </w:tc>
      </w:tr>
      <w:tr>
        <w:tc>
          <w:tcPr>
            <w:tcW w:type="dxa" w:w="1007"/>
            <w:vAlign w:val="top"/>
          </w:tcPr>
          <w:p>
            <w:pPr>
              <w:spacing w:after="0"/>
            </w:pPr>
            <w:r/>
            <w:r>
              <w:rPr>
                <w:rFonts w:ascii="Aptos" w:hAnsi="Aptos"/>
                <w:b w:val="0"/>
                <w:sz w:val="17"/>
              </w:rPr>
              <w:t>3</w:t>
            </w:r>
          </w:p>
        </w:tc>
        <w:tc>
          <w:tcPr>
            <w:tcW w:type="dxa" w:w="8063"/>
            <w:vAlign w:val="top"/>
          </w:tcPr>
          <w:p>
            <w:pPr>
              <w:spacing w:after="0"/>
            </w:pPr>
            <w:r/>
            <w:r>
              <w:rPr>
                <w:rFonts w:ascii="Aptos" w:hAnsi="Aptos"/>
                <w:b w:val="0"/>
                <w:sz w:val="17"/>
              </w:rPr>
              <w:t>Beneficence and Promoting Client Welfare</w:t>
            </w:r>
          </w:p>
        </w:tc>
        <w:tc>
          <w:tcPr>
            <w:tcW w:type="dxa" w:w="1296"/>
            <w:vAlign w:val="top"/>
          </w:tcPr>
          <w:p>
            <w:pPr>
              <w:spacing w:after="0"/>
            </w:pPr>
            <w:r/>
            <w:r>
              <w:rPr>
                <w:rFonts w:ascii="Aptos" w:hAnsi="Aptos"/>
                <w:b w:val="0"/>
                <w:sz w:val="17"/>
              </w:rPr>
              <w:t>17</w:t>
            </w:r>
          </w:p>
        </w:tc>
      </w:tr>
      <w:tr>
        <w:tc>
          <w:tcPr>
            <w:tcW w:type="dxa" w:w="1007"/>
            <w:vAlign w:val="top"/>
            <w:shd w:fill="F2F4F7"/>
          </w:tcPr>
          <w:p>
            <w:pPr>
              <w:spacing w:after="0"/>
            </w:pPr>
            <w:r/>
            <w:r>
              <w:rPr>
                <w:rFonts w:ascii="Aptos" w:hAnsi="Aptos"/>
                <w:b w:val="0"/>
                <w:sz w:val="17"/>
              </w:rPr>
              <w:t>4</w:t>
            </w:r>
          </w:p>
        </w:tc>
        <w:tc>
          <w:tcPr>
            <w:tcW w:type="dxa" w:w="8063"/>
            <w:vAlign w:val="top"/>
            <w:shd w:fill="F2F4F7"/>
          </w:tcPr>
          <w:p>
            <w:pPr>
              <w:spacing w:after="0"/>
            </w:pPr>
            <w:r/>
            <w:r>
              <w:rPr>
                <w:rFonts w:ascii="Aptos" w:hAnsi="Aptos"/>
                <w:b w:val="0"/>
                <w:sz w:val="17"/>
              </w:rPr>
              <w:t>Professional Responsibility and Accountability</w:t>
            </w:r>
          </w:p>
        </w:tc>
        <w:tc>
          <w:tcPr>
            <w:tcW w:type="dxa" w:w="1296"/>
            <w:vAlign w:val="top"/>
            <w:shd w:fill="F2F4F7"/>
          </w:tcPr>
          <w:p>
            <w:pPr>
              <w:spacing w:after="0"/>
            </w:pPr>
            <w:r/>
            <w:r>
              <w:rPr>
                <w:rFonts w:ascii="Aptos" w:hAnsi="Aptos"/>
                <w:b w:val="0"/>
                <w:sz w:val="17"/>
              </w:rPr>
              <w:t>14</w:t>
            </w:r>
          </w:p>
        </w:tc>
      </w:tr>
      <w:tr>
        <w:tc>
          <w:tcPr>
            <w:tcW w:type="dxa" w:w="1007"/>
            <w:vAlign w:val="top"/>
          </w:tcPr>
          <w:p>
            <w:pPr>
              <w:spacing w:after="0"/>
            </w:pPr>
            <w:r/>
            <w:r>
              <w:rPr>
                <w:rFonts w:ascii="Aptos" w:hAnsi="Aptos"/>
                <w:b w:val="0"/>
                <w:sz w:val="17"/>
              </w:rPr>
              <w:t>5</w:t>
            </w:r>
          </w:p>
        </w:tc>
        <w:tc>
          <w:tcPr>
            <w:tcW w:type="dxa" w:w="8063"/>
            <w:vAlign w:val="top"/>
          </w:tcPr>
          <w:p>
            <w:pPr>
              <w:spacing w:after="0"/>
            </w:pPr>
            <w:r/>
            <w:r>
              <w:rPr>
                <w:rFonts w:ascii="Aptos" w:hAnsi="Aptos"/>
                <w:b w:val="0"/>
                <w:sz w:val="17"/>
              </w:rPr>
              <w:t>Professional Judgment and Ethical Decision-Making</w:t>
            </w:r>
          </w:p>
        </w:tc>
        <w:tc>
          <w:tcPr>
            <w:tcW w:type="dxa" w:w="1296"/>
            <w:vAlign w:val="top"/>
          </w:tcPr>
          <w:p>
            <w:pPr>
              <w:spacing w:after="0"/>
            </w:pPr>
            <w:r/>
            <w:r>
              <w:rPr>
                <w:rFonts w:ascii="Aptos" w:hAnsi="Aptos"/>
                <w:b w:val="0"/>
                <w:sz w:val="17"/>
              </w:rPr>
              <w:t>16</w:t>
            </w:r>
          </w:p>
        </w:tc>
      </w:tr>
    </w:tbl>
    <w:p>
      <w:r>
        <w:br w:type="page"/>
      </w:r>
    </w:p>
    <w:p>
      <w:pPr>
        <w:pStyle w:val="Heading2"/>
      </w:pPr>
      <w:r>
        <w:t>Chapter 1</w:t>
      </w:r>
    </w:p>
    <w:p>
      <w:pPr>
        <w:pStyle w:val="Heading1"/>
      </w:pPr>
      <w:r>
        <w:t>The Principle of Nonmaleficence</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Nonmaleficence directs clinicians to identify, avoid, and reduce unnecessary or unjustified harm while providing clinically appropriate care. Nonmaleficence is a broad ethical principle, while specific California statutes and regulations govern particular harmful conduct and duties This correctly separates the broad ethical principle from the specific legal provisions that regulate defined conduct.</w:t>
            </w:r>
          </w:p>
        </w:tc>
      </w:tr>
    </w:tbl>
    <w:p>
      <w:pPr>
        <w:pStyle w:val="Heading2"/>
      </w:pPr>
      <w:r>
        <w:t>What to Learn</w:t>
      </w:r>
    </w:p>
    <w:p>
      <w:pPr>
        <w:pStyle w:val="ListBullet"/>
        <w:spacing w:after="30"/>
      </w:pPr>
      <w:r>
        <w:t>Explain and apply Definition of Nonmaleficence.</w:t>
      </w:r>
    </w:p>
    <w:p>
      <w:pPr>
        <w:pStyle w:val="ListBullet"/>
        <w:spacing w:after="30"/>
      </w:pPr>
      <w:r>
        <w:t>Explain and apply Ethical Principle vs. Legal Rule.</w:t>
      </w:r>
    </w:p>
    <w:p>
      <w:pPr>
        <w:pStyle w:val="ListBullet"/>
        <w:spacing w:after="30"/>
      </w:pPr>
      <w:r>
        <w:t>Explain and apply Necessary Discomfort vs. Avoidable Harm.</w:t>
      </w:r>
    </w:p>
    <w:p>
      <w:pPr>
        <w:pStyle w:val="ListBullet"/>
        <w:spacing w:after="30"/>
      </w:pPr>
      <w:r>
        <w:t>Explain and apply Commission and Omission.</w:t>
      </w:r>
    </w:p>
    <w:p>
      <w:pPr>
        <w:pStyle w:val="ListBullet"/>
        <w:spacing w:after="30"/>
      </w:pPr>
      <w:r>
        <w:t>Explain and apply Foreseeable Risk.</w:t>
      </w:r>
    </w:p>
    <w:p>
      <w:pPr>
        <w:pStyle w:val="ListBullet"/>
        <w:spacing w:after="30"/>
      </w:pPr>
      <w:r>
        <w:t>Explain and apply Deterioration Without Immediate Danger.</w:t>
      </w:r>
    </w:p>
    <w:p>
      <w:pPr>
        <w:pStyle w:val="ListBullet"/>
        <w:spacing w:after="30"/>
      </w:pPr>
      <w:r>
        <w:t>Explain and apply Client Refusal and Noncoercion.</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Definition of Nonmaleficence</w:t>
            </w:r>
          </w:p>
        </w:tc>
        <w:tc>
          <w:tcPr>
            <w:tcW w:type="dxa" w:w="5256"/>
            <w:vAlign w:val="top"/>
          </w:tcPr>
          <w:p>
            <w:pPr>
              <w:spacing w:after="0"/>
            </w:pPr>
            <w:r/>
            <w:r>
              <w:rPr>
                <w:rFonts w:ascii="Aptos" w:hAnsi="Aptos"/>
                <w:b w:val="0"/>
                <w:sz w:val="16"/>
              </w:rPr>
              <w:t>Nonmaleficence directs clinicians to identify, avoid, and reduce unnecessary or unjustified harm while providing clinically appropriate care.</w:t>
            </w:r>
          </w:p>
        </w:tc>
        <w:tc>
          <w:tcPr>
            <w:tcW w:type="dxa" w:w="2520"/>
            <w:vAlign w:val="top"/>
          </w:tcPr>
          <w:p>
            <w:pPr>
              <w:spacing w:after="0"/>
            </w:pPr>
            <w:r/>
            <w:r>
              <w:rPr>
                <w:rFonts w:ascii="Aptos" w:hAnsi="Aptos"/>
                <w:b w:val="0"/>
                <w:sz w:val="16"/>
              </w:rPr>
              <w:t>Translate nonmaleficence as reasonable harm avoidance, not a promise of zero discomfort or zero risk.</w:t>
            </w:r>
          </w:p>
        </w:tc>
      </w:tr>
      <w:tr>
        <w:tc>
          <w:tcPr>
            <w:tcW w:type="dxa" w:w="2376"/>
            <w:vAlign w:val="top"/>
            <w:shd w:fill="F7F9FA"/>
          </w:tcPr>
          <w:p>
            <w:pPr>
              <w:spacing w:after="0"/>
            </w:pPr>
            <w:r/>
            <w:r>
              <w:rPr>
                <w:rFonts w:ascii="Aptos" w:hAnsi="Aptos"/>
                <w:b/>
                <w:sz w:val="16"/>
              </w:rPr>
              <w:t>Ethical Principle vs. Legal Rule</w:t>
            </w:r>
          </w:p>
        </w:tc>
        <w:tc>
          <w:tcPr>
            <w:tcW w:type="dxa" w:w="5256"/>
            <w:vAlign w:val="top"/>
            <w:shd w:fill="F7F9FA"/>
          </w:tcPr>
          <w:p>
            <w:pPr>
              <w:spacing w:after="0"/>
            </w:pPr>
            <w:r/>
            <w:r>
              <w:rPr>
                <w:rFonts w:ascii="Aptos" w:hAnsi="Aptos"/>
                <w:b w:val="0"/>
                <w:sz w:val="16"/>
              </w:rPr>
              <w:t>Nonmaleficence is a broad ethical principle, while specific California statutes and regulations govern particular harmful conduct and duties This correctly separates the broad ethical principle from the specific legal provisions that regulate defined conduct.</w:t>
            </w:r>
          </w:p>
        </w:tc>
        <w:tc>
          <w:tcPr>
            <w:tcW w:type="dxa" w:w="2520"/>
            <w:vAlign w:val="top"/>
            <w:shd w:fill="F7F9FA"/>
          </w:tcPr>
          <w:p>
            <w:pPr>
              <w:spacing w:after="0"/>
            </w:pPr>
            <w:r/>
            <w:r>
              <w:rPr>
                <w:rFonts w:ascii="Aptos" w:hAnsi="Aptos"/>
                <w:b w:val="0"/>
                <w:sz w:val="16"/>
              </w:rPr>
              <w:t>Do not convert a broad ethical value into a nonexistent single statute; identify the particular California rule.</w:t>
            </w:r>
          </w:p>
        </w:tc>
      </w:tr>
      <w:tr>
        <w:tc>
          <w:tcPr>
            <w:tcW w:type="dxa" w:w="2376"/>
            <w:vAlign w:val="top"/>
          </w:tcPr>
          <w:p>
            <w:pPr>
              <w:spacing w:after="0"/>
            </w:pPr>
            <w:r/>
            <w:r>
              <w:rPr>
                <w:rFonts w:ascii="Aptos" w:hAnsi="Aptos"/>
                <w:b/>
                <w:sz w:val="16"/>
              </w:rPr>
              <w:t>Necessary Discomfort vs. Avoidable Harm</w:t>
            </w:r>
          </w:p>
        </w:tc>
        <w:tc>
          <w:tcPr>
            <w:tcW w:type="dxa" w:w="5256"/>
            <w:vAlign w:val="top"/>
          </w:tcPr>
          <w:p>
            <w:pPr>
              <w:spacing w:after="0"/>
            </w:pPr>
            <w:r/>
            <w:r>
              <w:rPr>
                <w:rFonts w:ascii="Aptos" w:hAnsi="Aptos"/>
                <w:b w:val="0"/>
                <w:sz w:val="16"/>
              </w:rPr>
              <w:t>Purpose, preparation, proportionality, monitoring, and adjustment are central to distinguishing clinically justified discomfort from avoidable harm.</w:t>
            </w:r>
          </w:p>
        </w:tc>
        <w:tc>
          <w:tcPr>
            <w:tcW w:type="dxa" w:w="2520"/>
            <w:vAlign w:val="top"/>
          </w:tcPr>
          <w:p>
            <w:pPr>
              <w:spacing w:after="0"/>
            </w:pPr>
            <w:r/>
            <w:r>
              <w:rPr>
                <w:rFonts w:ascii="Aptos" w:hAnsi="Aptos"/>
                <w:b w:val="0"/>
                <w:sz w:val="16"/>
              </w:rPr>
              <w:t>Look for treatment purpose plus proportionality and monitoring—not discomfort alone.</w:t>
            </w:r>
          </w:p>
        </w:tc>
      </w:tr>
      <w:tr>
        <w:tc>
          <w:tcPr>
            <w:tcW w:type="dxa" w:w="2376"/>
            <w:vAlign w:val="top"/>
            <w:shd w:fill="F7F9FA"/>
          </w:tcPr>
          <w:p>
            <w:pPr>
              <w:spacing w:after="0"/>
            </w:pPr>
            <w:r/>
            <w:r>
              <w:rPr>
                <w:rFonts w:ascii="Aptos" w:hAnsi="Aptos"/>
                <w:b/>
                <w:sz w:val="16"/>
              </w:rPr>
              <w:t>Commission and Omission</w:t>
            </w:r>
          </w:p>
        </w:tc>
        <w:tc>
          <w:tcPr>
            <w:tcW w:type="dxa" w:w="5256"/>
            <w:vAlign w:val="top"/>
            <w:shd w:fill="F7F9FA"/>
          </w:tcPr>
          <w:p>
            <w:pPr>
              <w:spacing w:after="0"/>
            </w:pPr>
            <w:r/>
            <w:r>
              <w:rPr>
                <w:rFonts w:ascii="Aptos" w:hAnsi="Aptos"/>
                <w:b w:val="0"/>
                <w:sz w:val="16"/>
              </w:rPr>
              <w:t>The clinician fails to take a needed protective action despite material warning signs; omission can be as consequential as an affirmative act.</w:t>
            </w:r>
          </w:p>
        </w:tc>
        <w:tc>
          <w:tcPr>
            <w:tcW w:type="dxa" w:w="2520"/>
            <w:vAlign w:val="top"/>
            <w:shd w:fill="F7F9FA"/>
          </w:tcPr>
          <w:p>
            <w:pPr>
              <w:spacing w:after="0"/>
            </w:pPr>
            <w:r/>
            <w:r>
              <w:rPr>
                <w:rFonts w:ascii="Aptos" w:hAnsi="Aptos"/>
                <w:b w:val="0"/>
                <w:sz w:val="16"/>
              </w:rPr>
              <w:t>In omission questions, identify the protective duty the clinician failed to perform.</w:t>
            </w:r>
          </w:p>
        </w:tc>
      </w:tr>
      <w:tr>
        <w:tc>
          <w:tcPr>
            <w:tcW w:type="dxa" w:w="2376"/>
            <w:vAlign w:val="top"/>
          </w:tcPr>
          <w:p>
            <w:pPr>
              <w:spacing w:after="0"/>
            </w:pPr>
            <w:r/>
            <w:r>
              <w:rPr>
                <w:rFonts w:ascii="Aptos" w:hAnsi="Aptos"/>
                <w:b/>
                <w:sz w:val="16"/>
              </w:rPr>
              <w:t>Foreseeable Risk</w:t>
            </w:r>
          </w:p>
        </w:tc>
        <w:tc>
          <w:tcPr>
            <w:tcW w:type="dxa" w:w="5256"/>
            <w:vAlign w:val="top"/>
          </w:tcPr>
          <w:p>
            <w:pPr>
              <w:spacing w:after="0"/>
            </w:pPr>
            <w:r/>
            <w:r>
              <w:rPr>
                <w:rFonts w:ascii="Aptos" w:hAnsi="Aptos"/>
                <w:b w:val="0"/>
                <w:sz w:val="16"/>
              </w:rPr>
              <w:t>Risk management is preventive; material foreseeable risk warrants assessment and proportionate safeguards before actual injury.</w:t>
            </w:r>
          </w:p>
        </w:tc>
        <w:tc>
          <w:tcPr>
            <w:tcW w:type="dxa" w:w="2520"/>
            <w:vAlign w:val="top"/>
          </w:tcPr>
          <w:p>
            <w:pPr>
              <w:spacing w:after="0"/>
            </w:pPr>
            <w:r/>
            <w:r>
              <w:rPr>
                <w:rFonts w:ascii="Aptos" w:hAnsi="Aptos"/>
                <w:b w:val="0"/>
                <w:sz w:val="16"/>
              </w:rPr>
              <w:t>Foreseeability triggers prevention; actual harm and certainty are not prerequisites.</w:t>
            </w:r>
          </w:p>
        </w:tc>
      </w:tr>
      <w:tr>
        <w:tc>
          <w:tcPr>
            <w:tcW w:type="dxa" w:w="2376"/>
            <w:vAlign w:val="top"/>
            <w:shd w:fill="F7F9FA"/>
          </w:tcPr>
          <w:p>
            <w:pPr>
              <w:spacing w:after="0"/>
            </w:pPr>
            <w:r/>
            <w:r>
              <w:rPr>
                <w:rFonts w:ascii="Aptos" w:hAnsi="Aptos"/>
                <w:b/>
                <w:sz w:val="16"/>
              </w:rPr>
              <w:t>Deterioration Without Immediate Danger</w:t>
            </w:r>
          </w:p>
        </w:tc>
        <w:tc>
          <w:tcPr>
            <w:tcW w:type="dxa" w:w="5256"/>
            <w:vAlign w:val="top"/>
            <w:shd w:fill="F7F9FA"/>
          </w:tcPr>
          <w:p>
            <w:pPr>
              <w:spacing w:after="0"/>
            </w:pPr>
            <w:r/>
            <w:r>
              <w:rPr>
                <w:rFonts w:ascii="Aptos" w:hAnsi="Aptos"/>
                <w:b w:val="0"/>
                <w:sz w:val="16"/>
              </w:rPr>
              <w:t>Reassess the client, treatment fit, benefit, and risk; consult as needed and modify the plan based on the findings This gathers the clinically relevant facts and supports a proportionate response without minimizing or overreacting.</w:t>
            </w:r>
          </w:p>
        </w:tc>
        <w:tc>
          <w:tcPr>
            <w:tcW w:type="dxa" w:w="2520"/>
            <w:vAlign w:val="top"/>
            <w:shd w:fill="F7F9FA"/>
          </w:tcPr>
          <w:p>
            <w:pPr>
              <w:spacing w:after="0"/>
            </w:pPr>
            <w:r/>
            <w:r>
              <w:rPr>
                <w:rFonts w:ascii="Aptos" w:hAnsi="Aptos"/>
                <w:b w:val="0"/>
                <w:sz w:val="16"/>
              </w:rPr>
              <w:t>For meaningful but nonurgent deterioration, reassess before choosing the least disruptive effective modification.</w:t>
            </w:r>
          </w:p>
        </w:tc>
      </w:tr>
      <w:tr>
        <w:tc>
          <w:tcPr>
            <w:tcW w:type="dxa" w:w="2376"/>
            <w:vAlign w:val="top"/>
          </w:tcPr>
          <w:p>
            <w:pPr>
              <w:spacing w:after="0"/>
            </w:pPr>
            <w:r/>
            <w:r>
              <w:rPr>
                <w:rFonts w:ascii="Aptos" w:hAnsi="Aptos"/>
                <w:b/>
                <w:sz w:val="16"/>
              </w:rPr>
              <w:t>Client Refusal and Noncoercion</w:t>
            </w:r>
          </w:p>
        </w:tc>
        <w:tc>
          <w:tcPr>
            <w:tcW w:type="dxa" w:w="5256"/>
            <w:vAlign w:val="top"/>
          </w:tcPr>
          <w:p>
            <w:pPr>
              <w:spacing w:after="0"/>
            </w:pPr>
            <w:r/>
            <w:r>
              <w:rPr>
                <w:rFonts w:ascii="Aptos" w:hAnsi="Aptos"/>
                <w:b w:val="0"/>
                <w:sz w:val="16"/>
              </w:rPr>
              <w:t>Clarify the client’s understanding and concerns, explain material risks and alternatives, respect the refusal, and consider other appropriate options This supports informed choice, avoids coercion, and preserves the possibility of safe alternative care.</w:t>
            </w:r>
          </w:p>
        </w:tc>
        <w:tc>
          <w:tcPr>
            <w:tcW w:type="dxa" w:w="2520"/>
            <w:vAlign w:val="top"/>
          </w:tcPr>
          <w:p>
            <w:pPr>
              <w:spacing w:after="0"/>
            </w:pPr>
            <w:r/>
            <w:r>
              <w:rPr>
                <w:rFonts w:ascii="Aptos" w:hAnsi="Aptos"/>
                <w:b w:val="0"/>
                <w:sz w:val="16"/>
              </w:rPr>
              <w:t>When no emergency overrides choice, combine clear information with noncoercion and continuity planning.</w:t>
            </w:r>
          </w:p>
        </w:tc>
      </w:tr>
      <w:tr>
        <w:tc>
          <w:tcPr>
            <w:tcW w:type="dxa" w:w="2376"/>
            <w:vAlign w:val="top"/>
            <w:shd w:fill="F7F9FA"/>
          </w:tcPr>
          <w:p>
            <w:pPr>
              <w:spacing w:after="0"/>
            </w:pPr>
            <w:r/>
            <w:r>
              <w:rPr>
                <w:rFonts w:ascii="Aptos" w:hAnsi="Aptos"/>
                <w:b/>
                <w:sz w:val="16"/>
              </w:rPr>
              <w:t>Immediate Safety Sequencing</w:t>
            </w:r>
          </w:p>
        </w:tc>
        <w:tc>
          <w:tcPr>
            <w:tcW w:type="dxa" w:w="5256"/>
            <w:vAlign w:val="top"/>
            <w:shd w:fill="F7F9FA"/>
          </w:tcPr>
          <w:p>
            <w:pPr>
              <w:spacing w:after="0"/>
            </w:pPr>
            <w:r/>
            <w:r>
              <w:rPr>
                <w:rFonts w:ascii="Aptos" w:hAnsi="Aptos"/>
                <w:b w:val="0"/>
                <w:sz w:val="16"/>
              </w:rPr>
              <w:t>Acuity controls the sequence: protect first, maintain contact when feasible, and continue gathering the information needed for the response.</w:t>
            </w:r>
          </w:p>
        </w:tc>
        <w:tc>
          <w:tcPr>
            <w:tcW w:type="dxa" w:w="2520"/>
            <w:vAlign w:val="top"/>
            <w:shd w:fill="F7F9FA"/>
          </w:tcPr>
          <w:p>
            <w:pPr>
              <w:spacing w:after="0"/>
            </w:pPr>
            <w:r/>
            <w:r>
              <w:rPr>
                <w:rFonts w:ascii="Aptos" w:hAnsi="Aptos"/>
                <w:b w:val="0"/>
                <w:sz w:val="16"/>
              </w:rPr>
              <w:t>In an imminent-danger item, choose protection before exhaustive assessment or consultation.</w:t>
            </w:r>
          </w:p>
        </w:tc>
      </w:tr>
      <w:tr>
        <w:tc>
          <w:tcPr>
            <w:tcW w:type="dxa" w:w="2376"/>
            <w:vAlign w:val="top"/>
          </w:tcPr>
          <w:p>
            <w:pPr>
              <w:spacing w:after="0"/>
            </w:pPr>
            <w:r/>
            <w:r>
              <w:rPr>
                <w:rFonts w:ascii="Aptos" w:hAnsi="Aptos"/>
                <w:b/>
                <w:sz w:val="16"/>
              </w:rPr>
              <w:t>Adverse Outcome vs. Wrongdoing</w:t>
            </w:r>
          </w:p>
        </w:tc>
        <w:tc>
          <w:tcPr>
            <w:tcW w:type="dxa" w:w="5256"/>
            <w:vAlign w:val="top"/>
          </w:tcPr>
          <w:p>
            <w:pPr>
              <w:spacing w:after="0"/>
            </w:pPr>
            <w:r/>
            <w:r>
              <w:rPr>
                <w:rFonts w:ascii="Aptos" w:hAnsi="Aptos"/>
                <w:b w:val="0"/>
                <w:sz w:val="16"/>
              </w:rPr>
              <w:t>Outcomes matter, but wrongdoing depends on the governing rule and the reasonableness of care, monitoring, and response to new information.</w:t>
            </w:r>
          </w:p>
        </w:tc>
        <w:tc>
          <w:tcPr>
            <w:tcW w:type="dxa" w:w="2520"/>
            <w:vAlign w:val="top"/>
          </w:tcPr>
          <w:p>
            <w:pPr>
              <w:spacing w:after="0"/>
            </w:pPr>
            <w:r/>
            <w:r>
              <w:rPr>
                <w:rFonts w:ascii="Aptos" w:hAnsi="Aptos"/>
                <w:b w:val="0"/>
                <w:sz w:val="16"/>
              </w:rPr>
              <w:t>Separate outcome from process: review care and response without assuming either fault or immunity.</w:t>
            </w:r>
          </w:p>
        </w:tc>
      </w:tr>
      <w:tr>
        <w:tc>
          <w:tcPr>
            <w:tcW w:type="dxa" w:w="2376"/>
            <w:vAlign w:val="top"/>
            <w:shd w:fill="F7F9FA"/>
          </w:tcPr>
          <w:p>
            <w:pPr>
              <w:spacing w:after="0"/>
            </w:pPr>
            <w:r/>
            <w:r>
              <w:rPr>
                <w:rFonts w:ascii="Aptos" w:hAnsi="Aptos"/>
                <w:b/>
                <w:sz w:val="16"/>
              </w:rPr>
              <w:t>Exposure Pacing and Monitoring</w:t>
            </w:r>
          </w:p>
        </w:tc>
        <w:tc>
          <w:tcPr>
            <w:tcW w:type="dxa" w:w="5256"/>
            <w:vAlign w:val="top"/>
            <w:shd w:fill="F7F9FA"/>
          </w:tcPr>
          <w:p>
            <w:pPr>
              <w:spacing w:after="0"/>
            </w:pPr>
            <w:r/>
            <w:r>
              <w:rPr>
                <w:rFonts w:ascii="Aptos" w:hAnsi="Aptos"/>
                <w:b w:val="0"/>
                <w:sz w:val="16"/>
              </w:rPr>
              <w:t>Reassess safety, readiness, consent, and clinical benefit; reduce intensity, pause, or modify the intervention as indicated This treats new client data as clinically meaningful and uses proportionate modification to reduce avoidable harm.</w:t>
            </w:r>
          </w:p>
        </w:tc>
        <w:tc>
          <w:tcPr>
            <w:tcW w:type="dxa" w:w="2520"/>
            <w:vAlign w:val="top"/>
            <w:shd w:fill="F7F9FA"/>
          </w:tcPr>
          <w:p>
            <w:pPr>
              <w:spacing w:after="0"/>
            </w:pPr>
            <w:r/>
            <w:r>
              <w:rPr>
                <w:rFonts w:ascii="Aptos" w:hAnsi="Aptos"/>
                <w:b w:val="0"/>
                <w:sz w:val="16"/>
              </w:rPr>
              <w:t>When distress exceeds the plan, reassess and titrate; do not reflexively persist or abandon the entire modality.</w:t>
            </w:r>
          </w:p>
        </w:tc>
      </w:tr>
      <w:tr>
        <w:tc>
          <w:tcPr>
            <w:tcW w:type="dxa" w:w="2376"/>
            <w:vAlign w:val="top"/>
          </w:tcPr>
          <w:p>
            <w:pPr>
              <w:spacing w:after="0"/>
            </w:pPr>
            <w:r/>
            <w:r>
              <w:rPr>
                <w:rFonts w:ascii="Aptos" w:hAnsi="Aptos"/>
                <w:b/>
                <w:sz w:val="16"/>
              </w:rPr>
              <w:t>Competence and Risk</w:t>
            </w:r>
          </w:p>
        </w:tc>
        <w:tc>
          <w:tcPr>
            <w:tcW w:type="dxa" w:w="5256"/>
            <w:vAlign w:val="top"/>
          </w:tcPr>
          <w:p>
            <w:pPr>
              <w:spacing w:after="0"/>
            </w:pPr>
            <w:r/>
            <w:r>
              <w:rPr>
                <w:rFonts w:ascii="Aptos" w:hAnsi="Aptos"/>
                <w:b w:val="0"/>
                <w:sz w:val="16"/>
              </w:rPr>
              <w:t>Do not provide the procedure without adequate preparation and support; seek qualified consultation or training and use an appropriate alternative, collaboration, or referral This prevents the client from becoming an unprotected practice opportunity while preserving proportionate alternatives and continuity.</w:t>
            </w:r>
          </w:p>
        </w:tc>
        <w:tc>
          <w:tcPr>
            <w:tcW w:type="dxa" w:w="2520"/>
            <w:vAlign w:val="top"/>
          </w:tcPr>
          <w:p>
            <w:pPr>
              <w:spacing w:after="0"/>
            </w:pPr>
            <w:r/>
            <w:r>
              <w:rPr>
                <w:rFonts w:ascii="Aptos" w:hAnsi="Aptos"/>
                <w:b w:val="0"/>
                <w:sz w:val="16"/>
              </w:rPr>
              <w:t>When scope is legal but competence is lacking, protect the client through preparation, qualified help, and continuity—not a waiver.</w:t>
            </w:r>
          </w:p>
        </w:tc>
      </w:tr>
      <w:tr>
        <w:tc>
          <w:tcPr>
            <w:tcW w:type="dxa" w:w="2376"/>
            <w:vAlign w:val="top"/>
            <w:shd w:fill="F7F9FA"/>
          </w:tcPr>
          <w:p>
            <w:pPr>
              <w:spacing w:after="0"/>
            </w:pPr>
            <w:r/>
            <w:r>
              <w:rPr>
                <w:rFonts w:ascii="Aptos" w:hAnsi="Aptos"/>
                <w:b/>
                <w:sz w:val="16"/>
              </w:rPr>
              <w:t>Vulnerability and Power Imbalance</w:t>
            </w:r>
          </w:p>
        </w:tc>
        <w:tc>
          <w:tcPr>
            <w:tcW w:type="dxa" w:w="5256"/>
            <w:vAlign w:val="top"/>
            <w:shd w:fill="F7F9FA"/>
          </w:tcPr>
          <w:p>
            <w:pPr>
              <w:spacing w:after="0"/>
            </w:pPr>
            <w:r/>
            <w:r>
              <w:rPr>
                <w:rFonts w:ascii="Aptos" w:hAnsi="Aptos"/>
                <w:b w:val="0"/>
                <w:sz w:val="16"/>
              </w:rPr>
              <w:t>Pause the change, explore voluntariness and potential harm, clarify the client’s rights and alternatives, and use added safeguards or avoid the change This recognizes the power imbalance, prevents a potentially exploitative change, and restores conditions for meaningful choice.</w:t>
            </w:r>
          </w:p>
        </w:tc>
        <w:tc>
          <w:tcPr>
            <w:tcW w:type="dxa" w:w="2520"/>
            <w:vAlign w:val="top"/>
            <w:shd w:fill="F7F9FA"/>
          </w:tcPr>
          <w:p>
            <w:pPr>
              <w:spacing w:after="0"/>
            </w:pPr>
            <w:r/>
            <w:r>
              <w:rPr>
                <w:rFonts w:ascii="Aptos" w:hAnsi="Aptos"/>
                <w:b w:val="0"/>
                <w:sz w:val="16"/>
              </w:rPr>
              <w:t>When vulnerability or dependency affects consent, add safeguards rather than treating assent as conclusive.</w:t>
            </w:r>
          </w:p>
        </w:tc>
      </w:tr>
      <w:tr>
        <w:tc>
          <w:tcPr>
            <w:tcW w:type="dxa" w:w="2376"/>
            <w:vAlign w:val="top"/>
          </w:tcPr>
          <w:p>
            <w:pPr>
              <w:spacing w:after="0"/>
            </w:pPr>
            <w:r/>
            <w:r>
              <w:rPr>
                <w:rFonts w:ascii="Aptos" w:hAnsi="Aptos"/>
                <w:b/>
                <w:sz w:val="16"/>
              </w:rPr>
              <w:t>Statutory and Ethical Distinction</w:t>
            </w:r>
          </w:p>
        </w:tc>
        <w:tc>
          <w:tcPr>
            <w:tcW w:type="dxa" w:w="5256"/>
            <w:vAlign w:val="top"/>
          </w:tcPr>
          <w:p>
            <w:pPr>
              <w:spacing w:after="0"/>
            </w:pPr>
            <w:r/>
            <w:r>
              <w:rPr>
                <w:rFonts w:ascii="Aptos" w:hAnsi="Aptos"/>
                <w:b w:val="0"/>
                <w:sz w:val="16"/>
              </w:rPr>
              <w:t>The ethical principle broadly guides harm avoidance, while statutes identify particular grounds such as intentional or reckless client harm, gross negligence, and incompetence This preserves the broader ethical framework while accurately recognizing the conduct-based legal categories identified in profession-specific statutes.</w:t>
            </w:r>
          </w:p>
        </w:tc>
        <w:tc>
          <w:tcPr>
            <w:tcW w:type="dxa" w:w="2520"/>
            <w:vAlign w:val="top"/>
          </w:tcPr>
          <w:p>
            <w:pPr>
              <w:spacing w:after="0"/>
            </w:pPr>
            <w:r/>
            <w:r>
              <w:rPr>
                <w:rFonts w:ascii="Aptos" w:hAnsi="Aptos"/>
                <w:b w:val="0"/>
                <w:sz w:val="16"/>
              </w:rPr>
              <w:t>Match the label to its threshold: broad ethical concern and statutory unprofessional conduct are related but not identical.</w:t>
            </w:r>
          </w:p>
        </w:tc>
      </w:tr>
      <w:tr>
        <w:tc>
          <w:tcPr>
            <w:tcW w:type="dxa" w:w="2376"/>
            <w:vAlign w:val="top"/>
            <w:shd w:fill="F7F9FA"/>
          </w:tcPr>
          <w:p>
            <w:pPr>
              <w:spacing w:after="0"/>
            </w:pPr>
            <w:r/>
            <w:r>
              <w:rPr>
                <w:rFonts w:ascii="Aptos" w:hAnsi="Aptos"/>
                <w:b/>
                <w:sz w:val="16"/>
              </w:rPr>
              <w:t>Escalating Risk and Omission</w:t>
            </w:r>
          </w:p>
        </w:tc>
        <w:tc>
          <w:tcPr>
            <w:tcW w:type="dxa" w:w="5256"/>
            <w:vAlign w:val="top"/>
            <w:shd w:fill="F7F9FA"/>
          </w:tcPr>
          <w:p>
            <w:pPr>
              <w:spacing w:after="0"/>
            </w:pPr>
            <w:r/>
            <w:r>
              <w:rPr>
                <w:rFonts w:ascii="Aptos" w:hAnsi="Aptos"/>
                <w:b w:val="0"/>
                <w:sz w:val="16"/>
              </w:rPr>
              <w:t>Address the client’s immediate safety and continuity needs, involve the supervisor, and then evaluate, document, and correct the omissions This sequences immediate protection first while preserving supervision, documentation, corrective action, and accountability.</w:t>
            </w:r>
          </w:p>
        </w:tc>
        <w:tc>
          <w:tcPr>
            <w:tcW w:type="dxa" w:w="2520"/>
            <w:vAlign w:val="top"/>
            <w:shd w:fill="F7F9FA"/>
          </w:tcPr>
          <w:p>
            <w:pPr>
              <w:spacing w:after="0"/>
            </w:pPr>
            <w:r/>
            <w:r>
              <w:rPr>
                <w:rFonts w:ascii="Aptos" w:hAnsi="Aptos"/>
                <w:b w:val="0"/>
                <w:sz w:val="16"/>
              </w:rPr>
              <w:t>When omission and acute risk coexist, protect the client before completing personnel or accountability processes.</w:t>
            </w:r>
          </w:p>
        </w:tc>
      </w:tr>
      <w:tr>
        <w:tc>
          <w:tcPr>
            <w:tcW w:type="dxa" w:w="2376"/>
            <w:vAlign w:val="top"/>
          </w:tcPr>
          <w:p>
            <w:pPr>
              <w:spacing w:after="0"/>
            </w:pPr>
            <w:r/>
            <w:r>
              <w:rPr>
                <w:rFonts w:ascii="Aptos" w:hAnsi="Aptos"/>
                <w:b/>
                <w:sz w:val="16"/>
              </w:rPr>
              <w:t>Organizational Pressure and Individual Duty</w:t>
            </w:r>
          </w:p>
        </w:tc>
        <w:tc>
          <w:tcPr>
            <w:tcW w:type="dxa" w:w="5256"/>
            <w:vAlign w:val="top"/>
          </w:tcPr>
          <w:p>
            <w:pPr>
              <w:spacing w:after="0"/>
            </w:pPr>
            <w:r/>
            <w:r>
              <w:rPr>
                <w:rFonts w:ascii="Aptos" w:hAnsi="Aptos"/>
                <w:b w:val="0"/>
                <w:sz w:val="16"/>
              </w:rPr>
              <w:t>Take prompt steps to protect affected clients, document and communicate the risk through appropriate channels, seek workload or coverage changes, and escalate or consult if the risk persists This addresses both tracks: immediate client safety and the system condition creating repeated foreseeable harm.</w:t>
            </w:r>
          </w:p>
        </w:tc>
        <w:tc>
          <w:tcPr>
            <w:tcW w:type="dxa" w:w="2520"/>
            <w:vAlign w:val="top"/>
          </w:tcPr>
          <w:p>
            <w:pPr>
              <w:spacing w:after="0"/>
            </w:pPr>
            <w:r/>
            <w:r>
              <w:rPr>
                <w:rFonts w:ascii="Aptos" w:hAnsi="Aptos"/>
                <w:b w:val="0"/>
                <w:sz w:val="16"/>
              </w:rPr>
              <w:t>Employer pressure is context, not immunity. Protect current clients and address the system risk together.</w:t>
            </w:r>
          </w:p>
        </w:tc>
      </w:tr>
      <w:tr>
        <w:tc>
          <w:tcPr>
            <w:tcW w:type="dxa" w:w="2376"/>
            <w:vAlign w:val="top"/>
            <w:shd w:fill="F7F9FA"/>
          </w:tcPr>
          <w:p>
            <w:pPr>
              <w:spacing w:after="0"/>
            </w:pPr>
            <w:r/>
            <w:r>
              <w:rPr>
                <w:rFonts w:ascii="Aptos" w:hAnsi="Aptos"/>
                <w:b/>
                <w:sz w:val="16"/>
              </w:rPr>
              <w:t>Responding After a Mistake</w:t>
            </w:r>
          </w:p>
        </w:tc>
        <w:tc>
          <w:tcPr>
            <w:tcW w:type="dxa" w:w="5256"/>
            <w:vAlign w:val="top"/>
            <w:shd w:fill="F7F9FA"/>
          </w:tcPr>
          <w:p>
            <w:pPr>
              <w:spacing w:after="0"/>
            </w:pPr>
            <w:r/>
            <w:r>
              <w:rPr>
                <w:rFonts w:ascii="Aptos" w:hAnsi="Aptos"/>
                <w:b w:val="0"/>
                <w:sz w:val="16"/>
              </w:rPr>
              <w:t>Contain the disclosure, preserve facts, assess risk and applicable duties, consult as needed, mitigate harm, document, and notify when required This is a structured, proportionate response that prioritizes containment and mitigation while preserving the facts needed for legal analysis.</w:t>
            </w:r>
          </w:p>
        </w:tc>
        <w:tc>
          <w:tcPr>
            <w:tcW w:type="dxa" w:w="2520"/>
            <w:vAlign w:val="top"/>
            <w:shd w:fill="F7F9FA"/>
          </w:tcPr>
          <w:p>
            <w:pPr>
              <w:spacing w:after="0"/>
            </w:pPr>
            <w:r/>
            <w:r>
              <w:rPr>
                <w:rFonts w:ascii="Aptos" w:hAnsi="Aptos"/>
                <w:b w:val="0"/>
                <w:sz w:val="16"/>
              </w:rPr>
              <w:t>After a mistake, protect and assess—do not conceal, minimize, or declare conclusions before evaluating the facts.</w:t>
            </w:r>
          </w:p>
        </w:tc>
      </w:tr>
      <w:tr>
        <w:tc>
          <w:tcPr>
            <w:tcW w:type="dxa" w:w="2376"/>
            <w:vAlign w:val="top"/>
          </w:tcPr>
          <w:p>
            <w:pPr>
              <w:spacing w:after="0"/>
            </w:pPr>
            <w:r/>
            <w:r>
              <w:rPr>
                <w:rFonts w:ascii="Aptos" w:hAnsi="Aptos"/>
                <w:b/>
                <w:sz w:val="16"/>
              </w:rPr>
              <w:t>Integrated Harm Prevention and Sequencing</w:t>
            </w:r>
          </w:p>
        </w:tc>
        <w:tc>
          <w:tcPr>
            <w:tcW w:type="dxa" w:w="5256"/>
            <w:vAlign w:val="top"/>
          </w:tcPr>
          <w:p>
            <w:pPr>
              <w:spacing w:after="0"/>
            </w:pPr>
            <w:r/>
            <w:r>
              <w:rPr>
                <w:rFonts w:ascii="Aptos" w:hAnsi="Aptos"/>
                <w:b w:val="0"/>
                <w:sz w:val="16"/>
              </w:rPr>
              <w:t>Pause or modify the unsafe element, reassess the client’s condition and voluntariness, obtain qualified supervision or consultation, arrange competent alternative or collaborative care, and document and monitor continuity This integrates competence, deterioration, power imbalance, noncoercion, qualified assistance, proportionality, documentation, and continuity without delaying until harm occurs.</w:t>
            </w:r>
          </w:p>
        </w:tc>
        <w:tc>
          <w:tcPr>
            <w:tcW w:type="dxa" w:w="2520"/>
            <w:vAlign w:val="top"/>
          </w:tcPr>
          <w:p>
            <w:pPr>
              <w:spacing w:after="0"/>
            </w:pPr>
            <w:r/>
            <w:r>
              <w:rPr>
                <w:rFonts w:ascii="Aptos" w:hAnsi="Aptos"/>
                <w:b w:val="0"/>
                <w:sz w:val="16"/>
              </w:rPr>
              <w:t>In integrated items, identify each risk layer and choose the response that protects, corrects competence limits, and preserves continuity. Quality-Control Matrix Question Difficulty Type Key Primary concept</w:t>
            </w:r>
          </w:p>
        </w:tc>
      </w:tr>
    </w:tbl>
    <w:p>
      <w:pPr>
        <w:pStyle w:val="Heading2"/>
      </w:pPr>
      <w:r>
        <w:t>Exam Reasoning Checklist</w:t>
      </w:r>
    </w:p>
    <w:p>
      <w:pPr>
        <w:pStyle w:val="ListBullet"/>
        <w:spacing w:after="30"/>
      </w:pPr>
      <w:r>
        <w:t>Translate nonmaleficence as reasonable harm avoidance, not a promise of zero discomfort or zero risk.</w:t>
      </w:r>
    </w:p>
    <w:p>
      <w:pPr>
        <w:pStyle w:val="ListBullet"/>
        <w:spacing w:after="30"/>
      </w:pPr>
      <w:r>
        <w:t>Do not convert a broad ethical value into a nonexistent single statute; identify the particular California rule.</w:t>
      </w:r>
    </w:p>
    <w:p>
      <w:pPr>
        <w:pStyle w:val="ListBullet"/>
        <w:spacing w:after="30"/>
      </w:pPr>
      <w:r>
        <w:t>Look for treatment purpose plus proportionality and monitoring—not discomfort alone.</w:t>
      </w:r>
    </w:p>
    <w:p>
      <w:pPr>
        <w:pStyle w:val="ListBullet"/>
        <w:spacing w:after="30"/>
      </w:pPr>
      <w:r>
        <w:t>In omission questions, identify the protective duty the clinician failed to perform.</w:t>
      </w:r>
    </w:p>
    <w:p>
      <w:pPr>
        <w:pStyle w:val="ListBullet"/>
        <w:spacing w:after="30"/>
      </w:pPr>
      <w:r>
        <w:t>Foreseeability triggers prevention; actual harm and certainty are not prerequisites.</w:t>
      </w:r>
    </w:p>
    <w:p>
      <w:pPr>
        <w:pStyle w:val="ListBullet"/>
        <w:spacing w:after="30"/>
      </w:pPr>
      <w:r>
        <w:t>For meaningful but nonurgent deterioration, reassess before choosing the least disruptive effective modification.</w:t>
      </w:r>
    </w:p>
    <w:p>
      <w:pPr>
        <w:pStyle w:val="ListBullet"/>
        <w:spacing w:after="30"/>
      </w:pPr>
      <w:r>
        <w:t>When no emergency overrides choice, combine clear information with noncoercion and continuity planning.</w:t>
      </w:r>
    </w:p>
    <w:p>
      <w:pPr>
        <w:pStyle w:val="ListBullet"/>
        <w:spacing w:after="30"/>
      </w:pPr>
      <w:r>
        <w:t>In an imminent-danger item, choose protection before exhaustive assessment or consultation.</w:t>
      </w:r>
    </w:p>
    <w:p>
      <w:pPr>
        <w:pStyle w:val="Heading2"/>
      </w:pPr>
      <w:r>
        <w:t>Chapter Rapid Review</w:t>
      </w:r>
    </w:p>
    <w:p>
      <w:r>
        <w:rPr>
          <w:b/>
        </w:rPr>
        <w:t xml:space="preserve">Know these concepts: </w:t>
      </w:r>
      <w:r>
        <w:t>Definition of Nonmaleficence; Ethical Principle vs. Legal Rule; Necessary Discomfort vs. Avoidable Harm; Commission and Omission; Foreseeable Risk; Deterioration Without Immediate Danger; Client Refusal and Noncoercion; Immediate Safety Sequencing; Adverse Outcome vs. Wrongdoing; Exposure Pacing and Monitoring; Competence and Risk; Vulnerability and Power Imbalance; Statutory and Ethical Distinction; Escalating Risk and Omission; Organizational Pressure and Individual Duty; Responding After a Mistake; Integrated Harm Prevention and Sequencing</w:t>
      </w:r>
    </w:p>
    <w:p>
      <w:r>
        <w:br w:type="page"/>
      </w:r>
    </w:p>
    <w:p>
      <w:pPr>
        <w:pStyle w:val="Heading2"/>
      </w:pPr>
      <w:r>
        <w:t>Chapter 2</w:t>
      </w:r>
    </w:p>
    <w:p>
      <w:pPr>
        <w:pStyle w:val="Heading1"/>
      </w:pPr>
      <w:r>
        <w:t>Avoiding and Preventing Client Harm</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Prevention requires attention to material foreseeable risk and proportionate measures that protect client welfare. Ongoing care requires attention to material changes that affect risk, treatment fit, and client needs.</w:t>
            </w:r>
          </w:p>
        </w:tc>
      </w:tr>
    </w:tbl>
    <w:p>
      <w:pPr>
        <w:pStyle w:val="Heading2"/>
      </w:pPr>
      <w:r>
        <w:t>What to Learn</w:t>
      </w:r>
    </w:p>
    <w:p>
      <w:pPr>
        <w:pStyle w:val="ListBullet"/>
        <w:spacing w:after="30"/>
      </w:pPr>
      <w:r>
        <w:t>Explain and apply Purpose of Harm Prevention.</w:t>
      </w:r>
    </w:p>
    <w:p>
      <w:pPr>
        <w:pStyle w:val="ListBullet"/>
        <w:spacing w:after="30"/>
      </w:pPr>
      <w:r>
        <w:t>Explain and apply Safety Throughout Treatment.</w:t>
      </w:r>
    </w:p>
    <w:p>
      <w:pPr>
        <w:pStyle w:val="ListBullet"/>
        <w:spacing w:after="30"/>
      </w:pPr>
      <w:r>
        <w:t>Explain and apply Assessment and Urgency.</w:t>
      </w:r>
    </w:p>
    <w:p>
      <w:pPr>
        <w:pStyle w:val="ListBullet"/>
        <w:spacing w:after="30"/>
      </w:pPr>
      <w:r>
        <w:t>Explain and apply Communication and Prevention.</w:t>
      </w:r>
    </w:p>
    <w:p>
      <w:pPr>
        <w:pStyle w:val="ListBullet"/>
        <w:spacing w:after="30"/>
      </w:pPr>
      <w:r>
        <w:t>Explain and apply Documentation as Prevention.</w:t>
      </w:r>
    </w:p>
    <w:p>
      <w:pPr>
        <w:pStyle w:val="ListBullet"/>
        <w:spacing w:after="30"/>
      </w:pPr>
      <w:r>
        <w:t>Explain and apply Pattern of Warning Signs.</w:t>
      </w:r>
    </w:p>
    <w:p>
      <w:pPr>
        <w:pStyle w:val="ListBullet"/>
        <w:spacing w:after="30"/>
      </w:pPr>
      <w:r>
        <w:t>Explain and apply Material Treatment Change.</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Purpose of Harm Prevention</w:t>
            </w:r>
          </w:p>
        </w:tc>
        <w:tc>
          <w:tcPr>
            <w:tcW w:type="dxa" w:w="5256"/>
            <w:vAlign w:val="top"/>
          </w:tcPr>
          <w:p>
            <w:pPr>
              <w:spacing w:after="0"/>
            </w:pPr>
            <w:r/>
            <w:r>
              <w:rPr>
                <w:rFonts w:ascii="Aptos" w:hAnsi="Aptos"/>
                <w:b w:val="0"/>
                <w:sz w:val="16"/>
              </w:rPr>
              <w:t>Prevention requires attention to material foreseeable risk and proportionate measures that protect client welfare.</w:t>
            </w:r>
          </w:p>
        </w:tc>
        <w:tc>
          <w:tcPr>
            <w:tcW w:type="dxa" w:w="2520"/>
            <w:vAlign w:val="top"/>
          </w:tcPr>
          <w:p>
            <w:pPr>
              <w:spacing w:after="0"/>
            </w:pPr>
            <w:r/>
            <w:r>
              <w:rPr>
                <w:rFonts w:ascii="Aptos" w:hAnsi="Aptos"/>
                <w:b w:val="0"/>
                <w:sz w:val="16"/>
              </w:rPr>
              <w:t>Choose reasonable risk reduction, not absolute promises or clinician-centered goals.</w:t>
            </w:r>
          </w:p>
        </w:tc>
      </w:tr>
      <w:tr>
        <w:tc>
          <w:tcPr>
            <w:tcW w:type="dxa" w:w="2376"/>
            <w:vAlign w:val="top"/>
            <w:shd w:fill="F7F9FA"/>
          </w:tcPr>
          <w:p>
            <w:pPr>
              <w:spacing w:after="0"/>
            </w:pPr>
            <w:r/>
            <w:r>
              <w:rPr>
                <w:rFonts w:ascii="Aptos" w:hAnsi="Aptos"/>
                <w:b/>
                <w:sz w:val="16"/>
              </w:rPr>
              <w:t>Safety Throughout Treatment</w:t>
            </w:r>
          </w:p>
        </w:tc>
        <w:tc>
          <w:tcPr>
            <w:tcW w:type="dxa" w:w="5256"/>
            <w:vAlign w:val="top"/>
            <w:shd w:fill="F7F9FA"/>
          </w:tcPr>
          <w:p>
            <w:pPr>
              <w:spacing w:after="0"/>
            </w:pPr>
            <w:r/>
            <w:r>
              <w:rPr>
                <w:rFonts w:ascii="Aptos" w:hAnsi="Aptos"/>
                <w:b w:val="0"/>
                <w:sz w:val="16"/>
              </w:rPr>
              <w:t>Ongoing care requires attention to material changes that affect risk, treatment fit, and client needs.</w:t>
            </w:r>
          </w:p>
        </w:tc>
        <w:tc>
          <w:tcPr>
            <w:tcW w:type="dxa" w:w="2520"/>
            <w:vAlign w:val="top"/>
            <w:shd w:fill="F7F9FA"/>
          </w:tcPr>
          <w:p>
            <w:pPr>
              <w:spacing w:after="0"/>
            </w:pPr>
            <w:r/>
            <w:r>
              <w:rPr>
                <w:rFonts w:ascii="Aptos" w:hAnsi="Aptos"/>
                <w:b w:val="0"/>
                <w:sz w:val="16"/>
              </w:rPr>
              <w:t>Ongoing safety means responsive updating, not automatic repetition of the intake process.</w:t>
            </w:r>
          </w:p>
        </w:tc>
      </w:tr>
      <w:tr>
        <w:tc>
          <w:tcPr>
            <w:tcW w:type="dxa" w:w="2376"/>
            <w:vAlign w:val="top"/>
          </w:tcPr>
          <w:p>
            <w:pPr>
              <w:spacing w:after="0"/>
            </w:pPr>
            <w:r/>
            <w:r>
              <w:rPr>
                <w:rFonts w:ascii="Aptos" w:hAnsi="Aptos"/>
                <w:b/>
                <w:sz w:val="16"/>
              </w:rPr>
              <w:t>Assessment and Urgency</w:t>
            </w:r>
          </w:p>
        </w:tc>
        <w:tc>
          <w:tcPr>
            <w:tcW w:type="dxa" w:w="5256"/>
            <w:vAlign w:val="top"/>
          </w:tcPr>
          <w:p>
            <w:pPr>
              <w:spacing w:after="0"/>
            </w:pPr>
            <w:r/>
            <w:r>
              <w:rPr>
                <w:rFonts w:ascii="Aptos" w:hAnsi="Aptos"/>
                <w:b w:val="0"/>
                <w:sz w:val="16"/>
              </w:rPr>
              <w:t>Assessment should gather enough relevant information to guide action, without delaying protection when danger is immediate This captures both functions: informed decision-making and urgency-based protection.</w:t>
            </w:r>
          </w:p>
        </w:tc>
        <w:tc>
          <w:tcPr>
            <w:tcW w:type="dxa" w:w="2520"/>
            <w:vAlign w:val="top"/>
          </w:tcPr>
          <w:p>
            <w:pPr>
              <w:spacing w:after="0"/>
            </w:pPr>
            <w:r/>
            <w:r>
              <w:rPr>
                <w:rFonts w:ascii="Aptos" w:hAnsi="Aptos"/>
                <w:b w:val="0"/>
                <w:sz w:val="16"/>
              </w:rPr>
              <w:t>The exam favors sufficient assessment, except when acuity requires protection first.</w:t>
            </w:r>
          </w:p>
        </w:tc>
      </w:tr>
      <w:tr>
        <w:tc>
          <w:tcPr>
            <w:tcW w:type="dxa" w:w="2376"/>
            <w:vAlign w:val="top"/>
            <w:shd w:fill="F7F9FA"/>
          </w:tcPr>
          <w:p>
            <w:pPr>
              <w:spacing w:after="0"/>
            </w:pPr>
            <w:r/>
            <w:r>
              <w:rPr>
                <w:rFonts w:ascii="Aptos" w:hAnsi="Aptos"/>
                <w:b/>
                <w:sz w:val="16"/>
              </w:rPr>
              <w:t>Communication and Prevention</w:t>
            </w:r>
          </w:p>
        </w:tc>
        <w:tc>
          <w:tcPr>
            <w:tcW w:type="dxa" w:w="5256"/>
            <w:vAlign w:val="top"/>
            <w:shd w:fill="F7F9FA"/>
          </w:tcPr>
          <w:p>
            <w:pPr>
              <w:spacing w:after="0"/>
            </w:pPr>
            <w:r/>
            <w:r>
              <w:rPr>
                <w:rFonts w:ascii="Aptos" w:hAnsi="Aptos"/>
                <w:b w:val="0"/>
                <w:sz w:val="16"/>
              </w:rPr>
              <w:t>Role and expectation clarity can reduce confusion, uninformed decisions, boundary problems, missed follow-up, and crisis-response failures.</w:t>
            </w:r>
          </w:p>
        </w:tc>
        <w:tc>
          <w:tcPr>
            <w:tcW w:type="dxa" w:w="2520"/>
            <w:vAlign w:val="top"/>
            <w:shd w:fill="F7F9FA"/>
          </w:tcPr>
          <w:p>
            <w:pPr>
              <w:spacing w:after="0"/>
            </w:pPr>
            <w:r/>
            <w:r>
              <w:rPr>
                <w:rFonts w:ascii="Aptos" w:hAnsi="Aptos"/>
                <w:b w:val="0"/>
                <w:sz w:val="16"/>
              </w:rPr>
              <w:t>Link communication to understanding and safer participation—not compliance or paperwork avoidance.</w:t>
            </w:r>
          </w:p>
        </w:tc>
      </w:tr>
      <w:tr>
        <w:tc>
          <w:tcPr>
            <w:tcW w:type="dxa" w:w="2376"/>
            <w:vAlign w:val="top"/>
          </w:tcPr>
          <w:p>
            <w:pPr>
              <w:spacing w:after="0"/>
            </w:pPr>
            <w:r/>
            <w:r>
              <w:rPr>
                <w:rFonts w:ascii="Aptos" w:hAnsi="Aptos"/>
                <w:b/>
                <w:sz w:val="16"/>
              </w:rPr>
              <w:t>Documentation as Prevention</w:t>
            </w:r>
          </w:p>
        </w:tc>
        <w:tc>
          <w:tcPr>
            <w:tcW w:type="dxa" w:w="5256"/>
            <w:vAlign w:val="top"/>
          </w:tcPr>
          <w:p>
            <w:pPr>
              <w:spacing w:after="0"/>
            </w:pPr>
            <w:r/>
            <w:r>
              <w:rPr>
                <w:rFonts w:ascii="Aptos" w:hAnsi="Aptos"/>
                <w:b w:val="0"/>
                <w:sz w:val="16"/>
              </w:rPr>
              <w:t>Accurate documentation supports continuity, risk response, communication, accountability, and later reassessment.</w:t>
            </w:r>
          </w:p>
        </w:tc>
        <w:tc>
          <w:tcPr>
            <w:tcW w:type="dxa" w:w="2520"/>
            <w:vAlign w:val="top"/>
          </w:tcPr>
          <w:p>
            <w:pPr>
              <w:spacing w:after="0"/>
            </w:pPr>
            <w:r/>
            <w:r>
              <w:rPr>
                <w:rFonts w:ascii="Aptos" w:hAnsi="Aptos"/>
                <w:b w:val="0"/>
                <w:sz w:val="16"/>
              </w:rPr>
              <w:t>Choose documentation that supports care and continuity, not defensive image management.</w:t>
            </w:r>
          </w:p>
        </w:tc>
      </w:tr>
      <w:tr>
        <w:tc>
          <w:tcPr>
            <w:tcW w:type="dxa" w:w="2376"/>
            <w:vAlign w:val="top"/>
            <w:shd w:fill="F7F9FA"/>
          </w:tcPr>
          <w:p>
            <w:pPr>
              <w:spacing w:after="0"/>
            </w:pPr>
            <w:r/>
            <w:r>
              <w:rPr>
                <w:rFonts w:ascii="Aptos" w:hAnsi="Aptos"/>
                <w:b/>
                <w:sz w:val="16"/>
              </w:rPr>
              <w:t>Pattern of Warning Signs</w:t>
            </w:r>
          </w:p>
        </w:tc>
        <w:tc>
          <w:tcPr>
            <w:tcW w:type="dxa" w:w="5256"/>
            <w:vAlign w:val="top"/>
            <w:shd w:fill="F7F9FA"/>
          </w:tcPr>
          <w:p>
            <w:pPr>
              <w:spacing w:after="0"/>
            </w:pPr>
            <w:r/>
            <w:r>
              <w:rPr>
                <w:rFonts w:ascii="Aptos" w:hAnsi="Aptos"/>
                <w:b w:val="0"/>
                <w:sz w:val="16"/>
              </w:rPr>
              <w:t>Clarify the facts, assess affected clients and urgency, address immediate gaps, and evaluate the pattern and contributing conditions This protects clients, evaluates context and pattern, and supports proportionate supervisory and system correction.</w:t>
            </w:r>
          </w:p>
        </w:tc>
        <w:tc>
          <w:tcPr>
            <w:tcW w:type="dxa" w:w="2520"/>
            <w:vAlign w:val="top"/>
            <w:shd w:fill="F7F9FA"/>
          </w:tcPr>
          <w:p>
            <w:pPr>
              <w:spacing w:after="0"/>
            </w:pPr>
            <w:r/>
            <w:r>
              <w:rPr>
                <w:rFonts w:ascii="Aptos" w:hAnsi="Aptos"/>
                <w:b w:val="0"/>
                <w:sz w:val="16"/>
              </w:rPr>
              <w:t>For a recurring pattern, address current client impact while investigating context and cause.</w:t>
            </w:r>
          </w:p>
        </w:tc>
      </w:tr>
      <w:tr>
        <w:tc>
          <w:tcPr>
            <w:tcW w:type="dxa" w:w="2376"/>
            <w:vAlign w:val="top"/>
          </w:tcPr>
          <w:p>
            <w:pPr>
              <w:spacing w:after="0"/>
            </w:pPr>
            <w:r/>
            <w:r>
              <w:rPr>
                <w:rFonts w:ascii="Aptos" w:hAnsi="Aptos"/>
                <w:b/>
                <w:sz w:val="16"/>
              </w:rPr>
              <w:t>Material Treatment Change</w:t>
            </w:r>
          </w:p>
        </w:tc>
        <w:tc>
          <w:tcPr>
            <w:tcW w:type="dxa" w:w="5256"/>
            <w:vAlign w:val="top"/>
          </w:tcPr>
          <w:p>
            <w:pPr>
              <w:spacing w:after="0"/>
            </w:pPr>
            <w:r/>
            <w:r>
              <w:rPr>
                <w:rFonts w:ascii="Aptos" w:hAnsi="Aptos"/>
                <w:b w:val="0"/>
                <w:sz w:val="16"/>
              </w:rPr>
              <w:t>Discuss the change and its rationale in understandable terms, assess the misunderstanding and client response, and revisit the plan and consent as appropriate This directly addresses the communication failure, supports informed participation, and uses the client’s response to reassess treatment fit.</w:t>
            </w:r>
          </w:p>
        </w:tc>
        <w:tc>
          <w:tcPr>
            <w:tcW w:type="dxa" w:w="2520"/>
            <w:vAlign w:val="top"/>
          </w:tcPr>
          <w:p>
            <w:pPr>
              <w:spacing w:after="0"/>
            </w:pPr>
            <w:r/>
            <w:r>
              <w:rPr>
                <w:rFonts w:ascii="Aptos" w:hAnsi="Aptos"/>
                <w:b w:val="0"/>
                <w:sz w:val="16"/>
              </w:rPr>
              <w:t>When a material change creates confusion, repair communication and reassess before choosing a disruptive response.</w:t>
            </w:r>
          </w:p>
        </w:tc>
      </w:tr>
      <w:tr>
        <w:tc>
          <w:tcPr>
            <w:tcW w:type="dxa" w:w="2376"/>
            <w:vAlign w:val="top"/>
            <w:shd w:fill="F7F9FA"/>
          </w:tcPr>
          <w:p>
            <w:pPr>
              <w:spacing w:after="0"/>
            </w:pPr>
            <w:r/>
            <w:r>
              <w:rPr>
                <w:rFonts w:ascii="Aptos" w:hAnsi="Aptos"/>
                <w:b/>
                <w:sz w:val="16"/>
              </w:rPr>
              <w:t>Boundary Pattern and Dependency</w:t>
            </w:r>
          </w:p>
        </w:tc>
        <w:tc>
          <w:tcPr>
            <w:tcW w:type="dxa" w:w="5256"/>
            <w:vAlign w:val="top"/>
            <w:shd w:fill="F7F9FA"/>
          </w:tcPr>
          <w:p>
            <w:pPr>
              <w:spacing w:after="0"/>
            </w:pPr>
            <w:r/>
            <w:r>
              <w:rPr>
                <w:rFonts w:ascii="Aptos" w:hAnsi="Aptos"/>
                <w:b w:val="0"/>
                <w:sz w:val="16"/>
              </w:rPr>
              <w:t>Assess the dependency and risk, clarify communication and emergency boundaries, repair expectations, consult as needed, and monitor the effect on treatment This directly evaluates the boundary’s impact and uses communication, consultation, and monitoring to reduce harm.</w:t>
            </w:r>
          </w:p>
        </w:tc>
        <w:tc>
          <w:tcPr>
            <w:tcW w:type="dxa" w:w="2520"/>
            <w:vAlign w:val="top"/>
            <w:shd w:fill="F7F9FA"/>
          </w:tcPr>
          <w:p>
            <w:pPr>
              <w:spacing w:after="0"/>
            </w:pPr>
            <w:r/>
            <w:r>
              <w:rPr>
                <w:rFonts w:ascii="Aptos" w:hAnsi="Aptos"/>
                <w:b w:val="0"/>
                <w:sz w:val="16"/>
              </w:rPr>
              <w:t>Boundary questions turn on function and client impact, not generosity or rigid punishment.</w:t>
            </w:r>
          </w:p>
        </w:tc>
      </w:tr>
      <w:tr>
        <w:tc>
          <w:tcPr>
            <w:tcW w:type="dxa" w:w="2376"/>
            <w:vAlign w:val="top"/>
          </w:tcPr>
          <w:p>
            <w:pPr>
              <w:spacing w:after="0"/>
            </w:pPr>
            <w:r/>
            <w:r>
              <w:rPr>
                <w:rFonts w:ascii="Aptos" w:hAnsi="Aptos"/>
                <w:b/>
                <w:sz w:val="16"/>
              </w:rPr>
              <w:t>Incomplete Risk Assessment</w:t>
            </w:r>
          </w:p>
        </w:tc>
        <w:tc>
          <w:tcPr>
            <w:tcW w:type="dxa" w:w="5256"/>
            <w:vAlign w:val="top"/>
          </w:tcPr>
          <w:p>
            <w:pPr>
              <w:spacing w:after="0"/>
            </w:pPr>
            <w:r/>
            <w:r>
              <w:rPr>
                <w:rFonts w:ascii="Aptos" w:hAnsi="Aptos"/>
                <w:b w:val="0"/>
                <w:sz w:val="16"/>
              </w:rPr>
              <w:t>The cluster of material changes warrants direct assessment and a risk-responsive plan.</w:t>
            </w:r>
          </w:p>
        </w:tc>
        <w:tc>
          <w:tcPr>
            <w:tcW w:type="dxa" w:w="2520"/>
            <w:vAlign w:val="top"/>
          </w:tcPr>
          <w:p>
            <w:pPr>
              <w:spacing w:after="0"/>
            </w:pPr>
            <w:r/>
            <w:r>
              <w:rPr>
                <w:rFonts w:ascii="Aptos" w:hAnsi="Aptos"/>
                <w:b w:val="0"/>
                <w:sz w:val="16"/>
              </w:rPr>
              <w:t>When multiple warning signs converge, choose direct assessment rather than assumption or avoidance.</w:t>
            </w:r>
          </w:p>
        </w:tc>
      </w:tr>
      <w:tr>
        <w:tc>
          <w:tcPr>
            <w:tcW w:type="dxa" w:w="2376"/>
            <w:vAlign w:val="top"/>
            <w:shd w:fill="F7F9FA"/>
          </w:tcPr>
          <w:p>
            <w:pPr>
              <w:spacing w:after="0"/>
            </w:pPr>
            <w:r/>
            <w:r>
              <w:rPr>
                <w:rFonts w:ascii="Aptos" w:hAnsi="Aptos"/>
                <w:b/>
                <w:sz w:val="16"/>
              </w:rPr>
              <w:t>Ineffective Treatment</w:t>
            </w:r>
          </w:p>
        </w:tc>
        <w:tc>
          <w:tcPr>
            <w:tcW w:type="dxa" w:w="5256"/>
            <w:vAlign w:val="top"/>
            <w:shd w:fill="F7F9FA"/>
          </w:tcPr>
          <w:p>
            <w:pPr>
              <w:spacing w:after="0"/>
            </w:pPr>
            <w:r/>
            <w:r>
              <w:rPr>
                <w:rFonts w:ascii="Aptos" w:hAnsi="Aptos"/>
                <w:b w:val="0"/>
                <w:sz w:val="16"/>
              </w:rPr>
              <w:t>Reassess the formulation, goals, treatment response, risk, competence needs, and level of care; consult and modify or arrange alternative care as indicated This uses outcome information to conduct a comprehensive but proportionate review and preserve continuity.</w:t>
            </w:r>
          </w:p>
        </w:tc>
        <w:tc>
          <w:tcPr>
            <w:tcW w:type="dxa" w:w="2520"/>
            <w:vAlign w:val="top"/>
            <w:shd w:fill="F7F9FA"/>
          </w:tcPr>
          <w:p>
            <w:pPr>
              <w:spacing w:after="0"/>
            </w:pPr>
            <w:r/>
            <w:r>
              <w:rPr>
                <w:rFonts w:ascii="Aptos" w:hAnsi="Aptos"/>
                <w:b w:val="0"/>
                <w:sz w:val="16"/>
              </w:rPr>
              <w:t>Sustained deterioration calls for reassessment and a reasoned change, not persistence, blame, or abandonment.</w:t>
            </w:r>
          </w:p>
        </w:tc>
      </w:tr>
      <w:tr>
        <w:tc>
          <w:tcPr>
            <w:tcW w:type="dxa" w:w="2376"/>
            <w:vAlign w:val="top"/>
          </w:tcPr>
          <w:p>
            <w:pPr>
              <w:spacing w:after="0"/>
            </w:pPr>
            <w:r/>
            <w:r>
              <w:rPr>
                <w:rFonts w:ascii="Aptos" w:hAnsi="Aptos"/>
                <w:b/>
                <w:sz w:val="16"/>
              </w:rPr>
              <w:t>Consultation and Responsibility</w:t>
            </w:r>
          </w:p>
        </w:tc>
        <w:tc>
          <w:tcPr>
            <w:tcW w:type="dxa" w:w="5256"/>
            <w:vAlign w:val="top"/>
          </w:tcPr>
          <w:p>
            <w:pPr>
              <w:spacing w:after="0"/>
            </w:pPr>
            <w:r/>
            <w:r>
              <w:rPr>
                <w:rFonts w:ascii="Aptos" w:hAnsi="Aptos"/>
                <w:b w:val="0"/>
                <w:sz w:val="16"/>
              </w:rPr>
              <w:t>Consultation informs judgment, but the treating clinician must apply the law and facts and remains responsible for the care decision.</w:t>
            </w:r>
          </w:p>
        </w:tc>
        <w:tc>
          <w:tcPr>
            <w:tcW w:type="dxa" w:w="2520"/>
            <w:vAlign w:val="top"/>
          </w:tcPr>
          <w:p>
            <w:pPr>
              <w:spacing w:after="0"/>
            </w:pPr>
            <w:r/>
            <w:r>
              <w:rPr>
                <w:rFonts w:ascii="Aptos" w:hAnsi="Aptos"/>
                <w:b w:val="0"/>
                <w:sz w:val="16"/>
              </w:rPr>
              <w:t>Consultation supplies perspective—not permission, immunity, or automatic control.</w:t>
            </w:r>
          </w:p>
        </w:tc>
      </w:tr>
      <w:tr>
        <w:tc>
          <w:tcPr>
            <w:tcW w:type="dxa" w:w="2376"/>
            <w:vAlign w:val="top"/>
            <w:shd w:fill="F7F9FA"/>
          </w:tcPr>
          <w:p>
            <w:pPr>
              <w:spacing w:after="0"/>
            </w:pPr>
            <w:r/>
            <w:r>
              <w:rPr>
                <w:rFonts w:ascii="Aptos" w:hAnsi="Aptos"/>
                <w:b/>
                <w:sz w:val="16"/>
              </w:rPr>
              <w:t>Correcting a Record</w:t>
            </w:r>
          </w:p>
        </w:tc>
        <w:tc>
          <w:tcPr>
            <w:tcW w:type="dxa" w:w="5256"/>
            <w:vAlign w:val="top"/>
            <w:shd w:fill="F7F9FA"/>
          </w:tcPr>
          <w:p>
            <w:pPr>
              <w:spacing w:after="0"/>
            </w:pPr>
            <w:r/>
            <w:r>
              <w:rPr>
                <w:rFonts w:ascii="Aptos" w:hAnsi="Aptos"/>
                <w:b w:val="0"/>
                <w:sz w:val="16"/>
              </w:rPr>
              <w:t>Correct or amend the record transparently under applicable procedures, preserve the integrity of the history, and address any care affected by the error This supports accuracy, continuity, accountability, and mitigation of any clinical effect.</w:t>
            </w:r>
          </w:p>
        </w:tc>
        <w:tc>
          <w:tcPr>
            <w:tcW w:type="dxa" w:w="2520"/>
            <w:vAlign w:val="top"/>
            <w:shd w:fill="F7F9FA"/>
          </w:tcPr>
          <w:p>
            <w:pPr>
              <w:spacing w:after="0"/>
            </w:pPr>
            <w:r/>
            <w:r>
              <w:rPr>
                <w:rFonts w:ascii="Aptos" w:hAnsi="Aptos"/>
                <w:b w:val="0"/>
                <w:sz w:val="16"/>
              </w:rPr>
              <w:t>Correct records transparently; do not erase history, conceal errors, or add unsupported blame.</w:t>
            </w:r>
          </w:p>
        </w:tc>
      </w:tr>
      <w:tr>
        <w:tc>
          <w:tcPr>
            <w:tcW w:type="dxa" w:w="2376"/>
            <w:vAlign w:val="top"/>
          </w:tcPr>
          <w:p>
            <w:pPr>
              <w:spacing w:after="0"/>
            </w:pPr>
            <w:r/>
            <w:r>
              <w:rPr>
                <w:rFonts w:ascii="Aptos" w:hAnsi="Aptos"/>
                <w:b/>
                <w:sz w:val="16"/>
              </w:rPr>
              <w:t>Lower-Acuity Conflicting Information</w:t>
            </w:r>
          </w:p>
        </w:tc>
        <w:tc>
          <w:tcPr>
            <w:tcW w:type="dxa" w:w="5256"/>
            <w:vAlign w:val="top"/>
          </w:tcPr>
          <w:p>
            <w:pPr>
              <w:spacing w:after="0"/>
            </w:pPr>
            <w:r/>
            <w:r>
              <w:rPr>
                <w:rFonts w:ascii="Aptos" w:hAnsi="Aptos"/>
                <w:b w:val="0"/>
                <w:sz w:val="16"/>
              </w:rPr>
              <w:t>Because no urgent danger is established, focused clarification and repair directly address possible coercion and misunderstanding.</w:t>
            </w:r>
          </w:p>
        </w:tc>
        <w:tc>
          <w:tcPr>
            <w:tcW w:type="dxa" w:w="2520"/>
            <w:vAlign w:val="top"/>
          </w:tcPr>
          <w:p>
            <w:pPr>
              <w:spacing w:after="0"/>
            </w:pPr>
            <w:r/>
            <w:r>
              <w:rPr>
                <w:rFonts w:ascii="Aptos" w:hAnsi="Aptos"/>
                <w:b w:val="0"/>
                <w:sz w:val="16"/>
              </w:rPr>
              <w:t>For a nonurgent relational concern, gather both perspectives and repair the direct source of risk before escalating.</w:t>
            </w:r>
          </w:p>
        </w:tc>
      </w:tr>
      <w:tr>
        <w:tc>
          <w:tcPr>
            <w:tcW w:type="dxa" w:w="2376"/>
            <w:vAlign w:val="top"/>
            <w:shd w:fill="F7F9FA"/>
          </w:tcPr>
          <w:p>
            <w:pPr>
              <w:spacing w:after="0"/>
            </w:pPr>
            <w:r/>
            <w:r>
              <w:rPr>
                <w:rFonts w:ascii="Aptos" w:hAnsi="Aptos"/>
                <w:b/>
                <w:sz w:val="16"/>
              </w:rPr>
              <w:t>Imminent Danger With Incomplete Facts</w:t>
            </w:r>
          </w:p>
        </w:tc>
        <w:tc>
          <w:tcPr>
            <w:tcW w:type="dxa" w:w="5256"/>
            <w:vAlign w:val="top"/>
            <w:shd w:fill="F7F9FA"/>
          </w:tcPr>
          <w:p>
            <w:pPr>
              <w:spacing w:after="0"/>
            </w:pPr>
            <w:r/>
            <w:r>
              <w:rPr>
                <w:rFonts w:ascii="Aptos" w:hAnsi="Aptos"/>
                <w:b w:val="0"/>
                <w:sz w:val="16"/>
              </w:rPr>
              <w:t>Promptly involve the supervisor, initiate focused assessment and applicable protective procedures, and continue gathering critical facts without delaying safety action This correctly combines associate supervision, urgency, focused assessment, and applicable protective duties.</w:t>
            </w:r>
          </w:p>
        </w:tc>
        <w:tc>
          <w:tcPr>
            <w:tcW w:type="dxa" w:w="2520"/>
            <w:vAlign w:val="top"/>
            <w:shd w:fill="F7F9FA"/>
          </w:tcPr>
          <w:p>
            <w:pPr>
              <w:spacing w:after="0"/>
            </w:pPr>
            <w:r/>
            <w:r>
              <w:rPr>
                <w:rFonts w:ascii="Aptos" w:hAnsi="Aptos"/>
                <w:b w:val="0"/>
                <w:sz w:val="16"/>
              </w:rPr>
              <w:t>When time-sensitive danger is credible, act on available facts while refining the assessment.</w:t>
            </w:r>
          </w:p>
        </w:tc>
      </w:tr>
      <w:tr>
        <w:tc>
          <w:tcPr>
            <w:tcW w:type="dxa" w:w="2376"/>
            <w:vAlign w:val="top"/>
          </w:tcPr>
          <w:p>
            <w:pPr>
              <w:spacing w:after="0"/>
            </w:pPr>
            <w:r/>
            <w:r>
              <w:rPr>
                <w:rFonts w:ascii="Aptos" w:hAnsi="Aptos"/>
                <w:b/>
                <w:sz w:val="16"/>
              </w:rPr>
              <w:t>Boundary Exception and Client Impact</w:t>
            </w:r>
          </w:p>
        </w:tc>
        <w:tc>
          <w:tcPr>
            <w:tcW w:type="dxa" w:w="5256"/>
            <w:vAlign w:val="top"/>
          </w:tcPr>
          <w:p>
            <w:pPr>
              <w:spacing w:after="0"/>
            </w:pPr>
            <w:r/>
            <w:r>
              <w:rPr>
                <w:rFonts w:ascii="Aptos" w:hAnsi="Aptos"/>
                <w:b w:val="0"/>
                <w:sz w:val="16"/>
              </w:rPr>
              <w:t>The pattern serves the clinician’s needs, exploits power and dependency, and requires prompt protection, correction, consultation, and continuity planning.</w:t>
            </w:r>
          </w:p>
        </w:tc>
        <w:tc>
          <w:tcPr>
            <w:tcW w:type="dxa" w:w="2520"/>
            <w:vAlign w:val="top"/>
          </w:tcPr>
          <w:p>
            <w:pPr>
              <w:spacing w:after="0"/>
            </w:pPr>
            <w:r/>
            <w:r>
              <w:rPr>
                <w:rFonts w:ascii="Aptos" w:hAnsi="Aptos"/>
                <w:b w:val="0"/>
                <w:sz w:val="16"/>
              </w:rPr>
              <w:t>Evaluate the function and power of the boundary pattern, not whether the clinician describes it as kindness.</w:t>
            </w:r>
          </w:p>
        </w:tc>
      </w:tr>
      <w:tr>
        <w:tc>
          <w:tcPr>
            <w:tcW w:type="dxa" w:w="2376"/>
            <w:vAlign w:val="top"/>
            <w:shd w:fill="F7F9FA"/>
          </w:tcPr>
          <w:p>
            <w:pPr>
              <w:spacing w:after="0"/>
            </w:pPr>
            <w:r/>
            <w:r>
              <w:rPr>
                <w:rFonts w:ascii="Aptos" w:hAnsi="Aptos"/>
                <w:b/>
                <w:sz w:val="16"/>
              </w:rPr>
              <w:t>Organizational Risk and Continuity</w:t>
            </w:r>
          </w:p>
        </w:tc>
        <w:tc>
          <w:tcPr>
            <w:tcW w:type="dxa" w:w="5256"/>
            <w:vAlign w:val="top"/>
            <w:shd w:fill="F7F9FA"/>
          </w:tcPr>
          <w:p>
            <w:pPr>
              <w:spacing w:after="0"/>
            </w:pPr>
            <w:r/>
            <w:r>
              <w:rPr>
                <w:rFonts w:ascii="Aptos" w:hAnsi="Aptos"/>
                <w:b w:val="0"/>
                <w:sz w:val="16"/>
              </w:rPr>
              <w:t>Use an immediate backup process, identify and contact affected clients, assess harm and risk, document and escalate the system problem, and verify that corrective measures work This addresses current clients, continuity, containment, organizational escalation, and verification of the remedy.</w:t>
            </w:r>
          </w:p>
        </w:tc>
        <w:tc>
          <w:tcPr>
            <w:tcW w:type="dxa" w:w="2520"/>
            <w:vAlign w:val="top"/>
            <w:shd w:fill="F7F9FA"/>
          </w:tcPr>
          <w:p>
            <w:pPr>
              <w:spacing w:after="0"/>
            </w:pPr>
            <w:r/>
            <w:r>
              <w:rPr>
                <w:rFonts w:ascii="Aptos" w:hAnsi="Aptos"/>
                <w:b w:val="0"/>
                <w:sz w:val="16"/>
              </w:rPr>
              <w:t>For system-caused harm, protect affected clients now and correct the system rather than shifting responsibility.</w:t>
            </w:r>
          </w:p>
        </w:tc>
      </w:tr>
      <w:tr>
        <w:tc>
          <w:tcPr>
            <w:tcW w:type="dxa" w:w="2376"/>
            <w:vAlign w:val="top"/>
          </w:tcPr>
          <w:p>
            <w:pPr>
              <w:spacing w:after="0"/>
            </w:pPr>
            <w:r/>
            <w:r>
              <w:rPr>
                <w:rFonts w:ascii="Aptos" w:hAnsi="Aptos"/>
                <w:b/>
                <w:sz w:val="16"/>
              </w:rPr>
              <w:t>Integrated Prevention and Sequencing</w:t>
            </w:r>
          </w:p>
        </w:tc>
        <w:tc>
          <w:tcPr>
            <w:tcW w:type="dxa" w:w="5256"/>
            <w:vAlign w:val="top"/>
          </w:tcPr>
          <w:p>
            <w:pPr>
              <w:spacing w:after="0"/>
            </w:pPr>
            <w:r/>
            <w:r>
              <w:rPr>
                <w:rFonts w:ascii="Aptos" w:hAnsi="Aptos"/>
                <w:b w:val="0"/>
                <w:sz w:val="16"/>
              </w:rPr>
              <w:t>Promptly reassess safety and treatment effectiveness, involve the supervisor, clarify communication and emergency boundaries, address dependency and the missed follow-up, modify or coordinate care as needed, and document and monitor the plan This integrates assessment, supervision, boundary repair, treatment review, continuity, documentation, and follow-up in a proportionate sequence.</w:t>
            </w:r>
          </w:p>
        </w:tc>
        <w:tc>
          <w:tcPr>
            <w:tcW w:type="dxa" w:w="2520"/>
            <w:vAlign w:val="top"/>
          </w:tcPr>
          <w:p>
            <w:pPr>
              <w:spacing w:after="0"/>
            </w:pPr>
            <w:r/>
            <w:r>
              <w:rPr>
                <w:rFonts w:ascii="Aptos" w:hAnsi="Aptos"/>
                <w:b w:val="0"/>
                <w:sz w:val="16"/>
              </w:rPr>
              <w:t>Integrated prevention items reward a coordinated response to client risk, clinician factors, boundaries, supervision, and continuity. Quality-Control Matrix Question Difficulty Type Key Primary concept</w:t>
            </w:r>
          </w:p>
        </w:tc>
      </w:tr>
    </w:tbl>
    <w:p>
      <w:pPr>
        <w:pStyle w:val="Heading2"/>
      </w:pPr>
      <w:r>
        <w:t>Exam Reasoning Checklist</w:t>
      </w:r>
    </w:p>
    <w:p>
      <w:pPr>
        <w:pStyle w:val="ListBullet"/>
        <w:spacing w:after="30"/>
      </w:pPr>
      <w:r>
        <w:t>Choose reasonable risk reduction, not absolute promises or clinician-centered goals.</w:t>
      </w:r>
    </w:p>
    <w:p>
      <w:pPr>
        <w:pStyle w:val="ListBullet"/>
        <w:spacing w:after="30"/>
      </w:pPr>
      <w:r>
        <w:t>Ongoing safety means responsive updating, not automatic repetition of the intake process.</w:t>
      </w:r>
    </w:p>
    <w:p>
      <w:pPr>
        <w:pStyle w:val="ListBullet"/>
        <w:spacing w:after="30"/>
      </w:pPr>
      <w:r>
        <w:t>The exam favors sufficient assessment, except when acuity requires protection first.</w:t>
      </w:r>
    </w:p>
    <w:p>
      <w:pPr>
        <w:pStyle w:val="ListBullet"/>
        <w:spacing w:after="30"/>
      </w:pPr>
      <w:r>
        <w:t>Link communication to understanding and safer participation—not compliance or paperwork avoidance.</w:t>
      </w:r>
    </w:p>
    <w:p>
      <w:pPr>
        <w:pStyle w:val="ListBullet"/>
        <w:spacing w:after="30"/>
      </w:pPr>
      <w:r>
        <w:t>Choose documentation that supports care and continuity, not defensive image management.</w:t>
      </w:r>
    </w:p>
    <w:p>
      <w:pPr>
        <w:pStyle w:val="ListBullet"/>
        <w:spacing w:after="30"/>
      </w:pPr>
      <w:r>
        <w:t>For a recurring pattern, address current client impact while investigating context and cause.</w:t>
      </w:r>
    </w:p>
    <w:p>
      <w:pPr>
        <w:pStyle w:val="ListBullet"/>
        <w:spacing w:after="30"/>
      </w:pPr>
      <w:r>
        <w:t>When a material change creates confusion, repair communication and reassess before choosing a disruptive response.</w:t>
      </w:r>
    </w:p>
    <w:p>
      <w:pPr>
        <w:pStyle w:val="ListBullet"/>
        <w:spacing w:after="30"/>
      </w:pPr>
      <w:r>
        <w:t>Boundary questions turn on function and client impact, not generosity or rigid punishment.</w:t>
      </w:r>
    </w:p>
    <w:p>
      <w:pPr>
        <w:pStyle w:val="Heading2"/>
      </w:pPr>
      <w:r>
        <w:t>Chapter Rapid Review</w:t>
      </w:r>
    </w:p>
    <w:p>
      <w:r>
        <w:rPr>
          <w:b/>
        </w:rPr>
        <w:t xml:space="preserve">Know these concepts: </w:t>
      </w:r>
      <w:r>
        <w:t>Purpose of Harm Prevention; Safety Throughout Treatment; Assessment and Urgency; Communication and Prevention; Documentation as Prevention; Pattern of Warning Signs; Material Treatment Change; Boundary Pattern and Dependency; Incomplete Risk Assessment; Ineffective Treatment; Consultation and Responsibility; Correcting a Record; Lower-Acuity Conflicting Information; Imminent Danger With Incomplete Facts; Boundary Exception and Client Impact; Organizational Risk and Continuity; Integrated Prevention and Sequencing</w:t>
      </w:r>
    </w:p>
    <w:p>
      <w:r>
        <w:br w:type="page"/>
      </w:r>
    </w:p>
    <w:p>
      <w:pPr>
        <w:pStyle w:val="Heading2"/>
      </w:pPr>
      <w:r>
        <w:t>Chapter 3</w:t>
      </w:r>
    </w:p>
    <w:p>
      <w:pPr>
        <w:pStyle w:val="Heading1"/>
      </w:pPr>
      <w:r>
        <w:t>Beneficence and Promoting Client Welfare</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Beneficence is the ethical commitment to pursue client welfare through competent and thoughtful professional action. The principles have different emphases but usually work together in clinical decision-making.</w:t>
            </w:r>
          </w:p>
        </w:tc>
      </w:tr>
    </w:tbl>
    <w:p>
      <w:pPr>
        <w:pStyle w:val="Heading2"/>
      </w:pPr>
      <w:r>
        <w:t>What to Learn</w:t>
      </w:r>
    </w:p>
    <w:p>
      <w:pPr>
        <w:pStyle w:val="ListBullet"/>
        <w:spacing w:after="30"/>
      </w:pPr>
      <w:r>
        <w:t>Explain and apply Meaning of Beneficence.</w:t>
      </w:r>
    </w:p>
    <w:p>
      <w:pPr>
        <w:pStyle w:val="ListBullet"/>
        <w:spacing w:after="30"/>
      </w:pPr>
      <w:r>
        <w:t>Explain and apply Beneficence and Nonmaleficence.</w:t>
      </w:r>
    </w:p>
    <w:p>
      <w:pPr>
        <w:pStyle w:val="ListBullet"/>
        <w:spacing w:after="30"/>
      </w:pPr>
      <w:r>
        <w:t>Explain and apply No Outcome Guarantee.</w:t>
      </w:r>
    </w:p>
    <w:p>
      <w:pPr>
        <w:pStyle w:val="ListBullet"/>
        <w:spacing w:after="30"/>
      </w:pPr>
      <w:r>
        <w:t>Explain and apply Beneficence and Autonomy.</w:t>
      </w:r>
    </w:p>
    <w:p>
      <w:pPr>
        <w:pStyle w:val="ListBullet"/>
        <w:spacing w:after="30"/>
      </w:pPr>
      <w:r>
        <w:t>Explain and apply Benefit-Risk Analysis.</w:t>
      </w:r>
    </w:p>
    <w:p>
      <w:pPr>
        <w:pStyle w:val="ListBullet"/>
        <w:spacing w:after="30"/>
      </w:pPr>
      <w:r>
        <w:t>Explain and apply Informed Preference.</w:t>
      </w:r>
    </w:p>
    <w:p>
      <w:pPr>
        <w:pStyle w:val="ListBullet"/>
        <w:spacing w:after="30"/>
      </w:pPr>
      <w:r>
        <w:t>Explain and apply Continuing Benefit.</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Meaning of Beneficence</w:t>
            </w:r>
          </w:p>
        </w:tc>
        <w:tc>
          <w:tcPr>
            <w:tcW w:type="dxa" w:w="5256"/>
            <w:vAlign w:val="top"/>
          </w:tcPr>
          <w:p>
            <w:pPr>
              <w:spacing w:after="0"/>
            </w:pPr>
            <w:r/>
            <w:r>
              <w:rPr>
                <w:rFonts w:ascii="Aptos" w:hAnsi="Aptos"/>
                <w:b w:val="0"/>
                <w:sz w:val="16"/>
              </w:rPr>
              <w:t>Beneficence is the ethical commitment to pursue client welfare through competent and thoughtful professional action.</w:t>
            </w:r>
          </w:p>
        </w:tc>
        <w:tc>
          <w:tcPr>
            <w:tcW w:type="dxa" w:w="2520"/>
            <w:vAlign w:val="top"/>
          </w:tcPr>
          <w:p>
            <w:pPr>
              <w:spacing w:after="0"/>
            </w:pPr>
            <w:r/>
            <w:r>
              <w:rPr>
                <w:rFonts w:ascii="Aptos" w:hAnsi="Aptos"/>
                <w:b w:val="0"/>
                <w:sz w:val="16"/>
              </w:rPr>
              <w:t>Choose reasonable, competent promotion of welfare—not guarantees, automatic compliance, or crisis-only duties.</w:t>
            </w:r>
          </w:p>
        </w:tc>
      </w:tr>
      <w:tr>
        <w:tc>
          <w:tcPr>
            <w:tcW w:type="dxa" w:w="2376"/>
            <w:vAlign w:val="top"/>
            <w:shd w:fill="F7F9FA"/>
          </w:tcPr>
          <w:p>
            <w:pPr>
              <w:spacing w:after="0"/>
            </w:pPr>
            <w:r/>
            <w:r>
              <w:rPr>
                <w:rFonts w:ascii="Aptos" w:hAnsi="Aptos"/>
                <w:b/>
                <w:sz w:val="16"/>
              </w:rPr>
              <w:t>Beneficence and Nonmaleficence</w:t>
            </w:r>
          </w:p>
        </w:tc>
        <w:tc>
          <w:tcPr>
            <w:tcW w:type="dxa" w:w="5256"/>
            <w:vAlign w:val="top"/>
            <w:shd w:fill="F7F9FA"/>
          </w:tcPr>
          <w:p>
            <w:pPr>
              <w:spacing w:after="0"/>
            </w:pPr>
            <w:r/>
            <w:r>
              <w:rPr>
                <w:rFonts w:ascii="Aptos" w:hAnsi="Aptos"/>
                <w:b w:val="0"/>
                <w:sz w:val="16"/>
              </w:rPr>
              <w:t>The principles have different emphases but usually work together in clinical decision-making.</w:t>
            </w:r>
          </w:p>
        </w:tc>
        <w:tc>
          <w:tcPr>
            <w:tcW w:type="dxa" w:w="2520"/>
            <w:vAlign w:val="top"/>
            <w:shd w:fill="F7F9FA"/>
          </w:tcPr>
          <w:p>
            <w:pPr>
              <w:spacing w:after="0"/>
            </w:pPr>
            <w:r/>
            <w:r>
              <w:rPr>
                <w:rFonts w:ascii="Aptos" w:hAnsi="Aptos"/>
                <w:b w:val="0"/>
                <w:sz w:val="16"/>
              </w:rPr>
              <w:t>Remember: promote welfare and reduce harm usually operate together, not as competing silos.</w:t>
            </w:r>
          </w:p>
        </w:tc>
      </w:tr>
      <w:tr>
        <w:tc>
          <w:tcPr>
            <w:tcW w:type="dxa" w:w="2376"/>
            <w:vAlign w:val="top"/>
          </w:tcPr>
          <w:p>
            <w:pPr>
              <w:spacing w:after="0"/>
            </w:pPr>
            <w:r/>
            <w:r>
              <w:rPr>
                <w:rFonts w:ascii="Aptos" w:hAnsi="Aptos"/>
                <w:b/>
                <w:sz w:val="16"/>
              </w:rPr>
              <w:t>No Outcome Guarantee</w:t>
            </w:r>
          </w:p>
        </w:tc>
        <w:tc>
          <w:tcPr>
            <w:tcW w:type="dxa" w:w="5256"/>
            <w:vAlign w:val="top"/>
          </w:tcPr>
          <w:p>
            <w:pPr>
              <w:spacing w:after="0"/>
            </w:pPr>
            <w:r/>
            <w:r>
              <w:rPr>
                <w:rFonts w:ascii="Aptos" w:hAnsi="Aptos"/>
                <w:b w:val="0"/>
                <w:sz w:val="16"/>
              </w:rPr>
              <w:t>A poor outcome alone does not prove a violation, but it should prompt appropriate reassessment and response This avoids hindsight-based liability while preserving the duty to respond to evidence that treatment is not helping.</w:t>
            </w:r>
          </w:p>
        </w:tc>
        <w:tc>
          <w:tcPr>
            <w:tcW w:type="dxa" w:w="2520"/>
            <w:vAlign w:val="top"/>
          </w:tcPr>
          <w:p>
            <w:pPr>
              <w:spacing w:after="0"/>
            </w:pPr>
            <w:r/>
            <w:r>
              <w:rPr>
                <w:rFonts w:ascii="Aptos" w:hAnsi="Aptos"/>
                <w:b w:val="0"/>
                <w:sz w:val="16"/>
              </w:rPr>
              <w:t>The exam tests a competent process and responsive reassessment, not guaranteed success.</w:t>
            </w:r>
          </w:p>
        </w:tc>
      </w:tr>
      <w:tr>
        <w:tc>
          <w:tcPr>
            <w:tcW w:type="dxa" w:w="2376"/>
            <w:vAlign w:val="top"/>
            <w:shd w:fill="F7F9FA"/>
          </w:tcPr>
          <w:p>
            <w:pPr>
              <w:spacing w:after="0"/>
            </w:pPr>
            <w:r/>
            <w:r>
              <w:rPr>
                <w:rFonts w:ascii="Aptos" w:hAnsi="Aptos"/>
                <w:b/>
                <w:sz w:val="16"/>
              </w:rPr>
              <w:t>Beneficence and Autonomy</w:t>
            </w:r>
          </w:p>
        </w:tc>
        <w:tc>
          <w:tcPr>
            <w:tcW w:type="dxa" w:w="5256"/>
            <w:vAlign w:val="top"/>
            <w:shd w:fill="F7F9FA"/>
          </w:tcPr>
          <w:p>
            <w:pPr>
              <w:spacing w:after="0"/>
            </w:pPr>
            <w:r/>
            <w:r>
              <w:rPr>
                <w:rFonts w:ascii="Aptos" w:hAnsi="Aptos"/>
                <w:b w:val="0"/>
                <w:sz w:val="16"/>
              </w:rPr>
              <w:t>The clinician should offer reasoned recommendations and support informed client participation among appropriate options This integrates professional judgment, understandable information, and meaningful participation.</w:t>
            </w:r>
          </w:p>
        </w:tc>
        <w:tc>
          <w:tcPr>
            <w:tcW w:type="dxa" w:w="2520"/>
            <w:vAlign w:val="top"/>
            <w:shd w:fill="F7F9FA"/>
          </w:tcPr>
          <w:p>
            <w:pPr>
              <w:spacing w:after="0"/>
            </w:pPr>
            <w:r/>
            <w:r>
              <w:rPr>
                <w:rFonts w:ascii="Aptos" w:hAnsi="Aptos"/>
                <w:b w:val="0"/>
                <w:sz w:val="16"/>
              </w:rPr>
              <w:t>Look for collaborative professional judgment—not control, passivity, or automatic compliance.</w:t>
            </w:r>
          </w:p>
        </w:tc>
      </w:tr>
      <w:tr>
        <w:tc>
          <w:tcPr>
            <w:tcW w:type="dxa" w:w="2376"/>
            <w:vAlign w:val="top"/>
          </w:tcPr>
          <w:p>
            <w:pPr>
              <w:spacing w:after="0"/>
            </w:pPr>
            <w:r/>
            <w:r>
              <w:rPr>
                <w:rFonts w:ascii="Aptos" w:hAnsi="Aptos"/>
                <w:b/>
                <w:sz w:val="16"/>
              </w:rPr>
              <w:t>Benefit-Risk Analysis</w:t>
            </w:r>
          </w:p>
        </w:tc>
        <w:tc>
          <w:tcPr>
            <w:tcW w:type="dxa" w:w="5256"/>
            <w:vAlign w:val="top"/>
          </w:tcPr>
          <w:p>
            <w:pPr>
              <w:spacing w:after="0"/>
            </w:pPr>
            <w:r/>
            <w:r>
              <w:rPr>
                <w:rFonts w:ascii="Aptos" w:hAnsi="Aptos"/>
                <w:b w:val="0"/>
                <w:sz w:val="16"/>
              </w:rPr>
              <w:t>Compare expected benefit, material risk, alternatives, client fit, feasibility, and how outcomes will be monitored This is a complete, client-centered benefit-risk and monitoring analysis.</w:t>
            </w:r>
          </w:p>
        </w:tc>
        <w:tc>
          <w:tcPr>
            <w:tcW w:type="dxa" w:w="2520"/>
            <w:vAlign w:val="top"/>
          </w:tcPr>
          <w:p>
            <w:pPr>
              <w:spacing w:after="0"/>
            </w:pPr>
            <w:r/>
            <w:r>
              <w:rPr>
                <w:rFonts w:ascii="Aptos" w:hAnsi="Aptos"/>
                <w:b w:val="0"/>
                <w:sz w:val="16"/>
              </w:rPr>
              <w:t>The strongest answer compares benefit, harm, alternatives, fit, feasibility, and follow-up.</w:t>
            </w:r>
          </w:p>
        </w:tc>
      </w:tr>
      <w:tr>
        <w:tc>
          <w:tcPr>
            <w:tcW w:type="dxa" w:w="2376"/>
            <w:vAlign w:val="top"/>
            <w:shd w:fill="F7F9FA"/>
          </w:tcPr>
          <w:p>
            <w:pPr>
              <w:spacing w:after="0"/>
            </w:pPr>
            <w:r/>
            <w:r>
              <w:rPr>
                <w:rFonts w:ascii="Aptos" w:hAnsi="Aptos"/>
                <w:b/>
                <w:sz w:val="16"/>
              </w:rPr>
              <w:t>Informed Preference</w:t>
            </w:r>
          </w:p>
        </w:tc>
        <w:tc>
          <w:tcPr>
            <w:tcW w:type="dxa" w:w="5256"/>
            <w:vAlign w:val="top"/>
            <w:shd w:fill="F7F9FA"/>
          </w:tcPr>
          <w:p>
            <w:pPr>
              <w:spacing w:after="0"/>
            </w:pPr>
            <w:r/>
            <w:r>
              <w:rPr>
                <w:rFonts w:ascii="Aptos" w:hAnsi="Aptos"/>
                <w:b w:val="0"/>
                <w:sz w:val="16"/>
              </w:rPr>
              <w:t>The option remains clinically reasonable, so respect for autonomy can coexist with monitoring and continuing professional judgment.</w:t>
            </w:r>
          </w:p>
        </w:tc>
        <w:tc>
          <w:tcPr>
            <w:tcW w:type="dxa" w:w="2520"/>
            <w:vAlign w:val="top"/>
            <w:shd w:fill="F7F9FA"/>
          </w:tcPr>
          <w:p>
            <w:pPr>
              <w:spacing w:after="0"/>
            </w:pPr>
            <w:r/>
            <w:r>
              <w:rPr>
                <w:rFonts w:ascii="Aptos" w:hAnsi="Aptos"/>
                <w:b w:val="0"/>
                <w:sz w:val="16"/>
              </w:rPr>
              <w:t>When multiple reasonable options exist, favor informed participation with monitoring over coercion or withdrawal.</w:t>
            </w:r>
          </w:p>
        </w:tc>
      </w:tr>
      <w:tr>
        <w:tc>
          <w:tcPr>
            <w:tcW w:type="dxa" w:w="2376"/>
            <w:vAlign w:val="top"/>
          </w:tcPr>
          <w:p>
            <w:pPr>
              <w:spacing w:after="0"/>
            </w:pPr>
            <w:r/>
            <w:r>
              <w:rPr>
                <w:rFonts w:ascii="Aptos" w:hAnsi="Aptos"/>
                <w:b/>
                <w:sz w:val="16"/>
              </w:rPr>
              <w:t>Continuing Benefit</w:t>
            </w:r>
          </w:p>
        </w:tc>
        <w:tc>
          <w:tcPr>
            <w:tcW w:type="dxa" w:w="5256"/>
            <w:vAlign w:val="top"/>
          </w:tcPr>
          <w:p>
            <w:pPr>
              <w:spacing w:after="0"/>
            </w:pPr>
            <w:r/>
            <w:r>
              <w:rPr>
                <w:rFonts w:ascii="Aptos" w:hAnsi="Aptos"/>
                <w:b w:val="0"/>
                <w:sz w:val="16"/>
              </w:rPr>
              <w:t>Reassess goals, formulation, risk, fit, barriers, and level of care; consult and modify or coordinate alternative care as indicated This directly tests whether the service remains beneficial and preserves continuity while considering a reasoned change.</w:t>
            </w:r>
          </w:p>
        </w:tc>
        <w:tc>
          <w:tcPr>
            <w:tcW w:type="dxa" w:w="2520"/>
            <w:vAlign w:val="top"/>
          </w:tcPr>
          <w:p>
            <w:pPr>
              <w:spacing w:after="0"/>
            </w:pPr>
            <w:r/>
            <w:r>
              <w:rPr>
                <w:rFonts w:ascii="Aptos" w:hAnsi="Aptos"/>
                <w:b w:val="0"/>
                <w:sz w:val="16"/>
              </w:rPr>
              <w:t>Sustained deterioration calls for reassessment and proportionate change—not persistence, blame, or abandonment.</w:t>
            </w:r>
          </w:p>
        </w:tc>
      </w:tr>
      <w:tr>
        <w:tc>
          <w:tcPr>
            <w:tcW w:type="dxa" w:w="2376"/>
            <w:vAlign w:val="top"/>
            <w:shd w:fill="F7F9FA"/>
          </w:tcPr>
          <w:p>
            <w:pPr>
              <w:spacing w:after="0"/>
            </w:pPr>
            <w:r/>
            <w:r>
              <w:rPr>
                <w:rFonts w:ascii="Aptos" w:hAnsi="Aptos"/>
                <w:b/>
                <w:sz w:val="16"/>
              </w:rPr>
              <w:t>Financial Incentive and Care</w:t>
            </w:r>
          </w:p>
        </w:tc>
        <w:tc>
          <w:tcPr>
            <w:tcW w:type="dxa" w:w="5256"/>
            <w:vAlign w:val="top"/>
            <w:shd w:fill="F7F9FA"/>
          </w:tcPr>
          <w:p>
            <w:pPr>
              <w:spacing w:after="0"/>
            </w:pPr>
            <w:r/>
            <w:r>
              <w:rPr>
                <w:rFonts w:ascii="Aptos" w:hAnsi="Aptos"/>
                <w:b w:val="0"/>
                <w:sz w:val="16"/>
              </w:rPr>
              <w:t>Clinical need and client welfare should guide the decision; the financial incentive must not replace professional judgment.</w:t>
            </w:r>
          </w:p>
        </w:tc>
        <w:tc>
          <w:tcPr>
            <w:tcW w:type="dxa" w:w="2520"/>
            <w:vAlign w:val="top"/>
            <w:shd w:fill="F7F9FA"/>
          </w:tcPr>
          <w:p>
            <w:pPr>
              <w:spacing w:after="0"/>
            </w:pPr>
            <w:r/>
            <w:r>
              <w:rPr>
                <w:rFonts w:ascii="Aptos" w:hAnsi="Aptos"/>
                <w:b w:val="0"/>
                <w:sz w:val="16"/>
              </w:rPr>
              <w:t>When money or policy conflicts with care, protect client-centered judgment without overreacting or misrepresenting the law.</w:t>
            </w:r>
          </w:p>
        </w:tc>
      </w:tr>
      <w:tr>
        <w:tc>
          <w:tcPr>
            <w:tcW w:type="dxa" w:w="2376"/>
            <w:vAlign w:val="top"/>
          </w:tcPr>
          <w:p>
            <w:pPr>
              <w:spacing w:after="0"/>
            </w:pPr>
            <w:r/>
            <w:r>
              <w:rPr>
                <w:rFonts w:ascii="Aptos" w:hAnsi="Aptos"/>
                <w:b/>
                <w:sz w:val="16"/>
              </w:rPr>
              <w:t>Competence and Access</w:t>
            </w:r>
          </w:p>
        </w:tc>
        <w:tc>
          <w:tcPr>
            <w:tcW w:type="dxa" w:w="5256"/>
            <w:vAlign w:val="top"/>
          </w:tcPr>
          <w:p>
            <w:pPr>
              <w:spacing w:after="0"/>
            </w:pPr>
            <w:r/>
            <w:r>
              <w:rPr>
                <w:rFonts w:ascii="Aptos" w:hAnsi="Aptos"/>
                <w:b w:val="0"/>
                <w:sz w:val="16"/>
              </w:rPr>
              <w:t>Explain the limitation and pursue a competent alternative, consultation, collaboration, training before use, or qualified referral while protecting continuity This combines welfare, competence, transparency, alternatives, and continuity.</w:t>
            </w:r>
          </w:p>
        </w:tc>
        <w:tc>
          <w:tcPr>
            <w:tcW w:type="dxa" w:w="2520"/>
            <w:vAlign w:val="top"/>
          </w:tcPr>
          <w:p>
            <w:pPr>
              <w:spacing w:after="0"/>
            </w:pPr>
            <w:r/>
            <w:r>
              <w:rPr>
                <w:rFonts w:ascii="Aptos" w:hAnsi="Aptos"/>
                <w:b w:val="0"/>
                <w:sz w:val="16"/>
              </w:rPr>
              <w:t>Beneficence must travel with competence and continuity; potential usefulness alone is not authorization.</w:t>
            </w:r>
          </w:p>
        </w:tc>
      </w:tr>
      <w:tr>
        <w:tc>
          <w:tcPr>
            <w:tcW w:type="dxa" w:w="2376"/>
            <w:vAlign w:val="top"/>
            <w:shd w:fill="F7F9FA"/>
          </w:tcPr>
          <w:p>
            <w:pPr>
              <w:spacing w:after="0"/>
            </w:pPr>
            <w:r/>
            <w:r>
              <w:rPr>
                <w:rFonts w:ascii="Aptos" w:hAnsi="Aptos"/>
                <w:b/>
                <w:sz w:val="16"/>
              </w:rPr>
              <w:t>Short-Term Comfort and Dependency</w:t>
            </w:r>
          </w:p>
        </w:tc>
        <w:tc>
          <w:tcPr>
            <w:tcW w:type="dxa" w:w="5256"/>
            <w:vAlign w:val="top"/>
            <w:shd w:fill="F7F9FA"/>
          </w:tcPr>
          <w:p>
            <w:pPr>
              <w:spacing w:after="0"/>
            </w:pPr>
            <w:r/>
            <w:r>
              <w:rPr>
                <w:rFonts w:ascii="Aptos" w:hAnsi="Aptos"/>
                <w:b w:val="0"/>
                <w:sz w:val="16"/>
              </w:rPr>
              <w:t>Assess risk and dependency, clarify sustainable communication and emergency plans, support coping, and monitor long-term treatment impact This addresses present distress while protecting autonomy, functioning, boundaries, and long-term welfare.</w:t>
            </w:r>
          </w:p>
        </w:tc>
        <w:tc>
          <w:tcPr>
            <w:tcW w:type="dxa" w:w="2520"/>
            <w:vAlign w:val="top"/>
            <w:shd w:fill="F7F9FA"/>
          </w:tcPr>
          <w:p>
            <w:pPr>
              <w:spacing w:after="0"/>
            </w:pPr>
            <w:r/>
            <w:r>
              <w:rPr>
                <w:rFonts w:ascii="Aptos" w:hAnsi="Aptos"/>
                <w:b w:val="0"/>
                <w:sz w:val="16"/>
              </w:rPr>
              <w:t>Do not confuse short-term comfort with durable benefit; analyze dependency, sustainability, and client functioning.</w:t>
            </w:r>
          </w:p>
        </w:tc>
      </w:tr>
      <w:tr>
        <w:tc>
          <w:tcPr>
            <w:tcW w:type="dxa" w:w="2376"/>
            <w:vAlign w:val="top"/>
          </w:tcPr>
          <w:p>
            <w:pPr>
              <w:spacing w:after="0"/>
            </w:pPr>
            <w:r/>
            <w:r>
              <w:rPr>
                <w:rFonts w:ascii="Aptos" w:hAnsi="Aptos"/>
                <w:b/>
                <w:sz w:val="16"/>
              </w:rPr>
              <w:t>Advocacy Within Role</w:t>
            </w:r>
          </w:p>
        </w:tc>
        <w:tc>
          <w:tcPr>
            <w:tcW w:type="dxa" w:w="5256"/>
            <w:vAlign w:val="top"/>
          </w:tcPr>
          <w:p>
            <w:pPr>
              <w:spacing w:after="0"/>
            </w:pPr>
            <w:r/>
            <w:r>
              <w:rPr>
                <w:rFonts w:ascii="Aptos" w:hAnsi="Aptos"/>
                <w:b w:val="0"/>
                <w:sz w:val="16"/>
              </w:rPr>
              <w:t>Explore the barrier with the client, identify realistic resources or service alternatives, coordinate within authorization and role, and follow up This supports feasible access without overpromising or disregarding privacy.</w:t>
            </w:r>
          </w:p>
        </w:tc>
        <w:tc>
          <w:tcPr>
            <w:tcW w:type="dxa" w:w="2520"/>
            <w:vAlign w:val="top"/>
          </w:tcPr>
          <w:p>
            <w:pPr>
              <w:spacing w:after="0"/>
            </w:pPr>
            <w:r/>
            <w:r>
              <w:rPr>
                <w:rFonts w:ascii="Aptos" w:hAnsi="Aptos"/>
                <w:b w:val="0"/>
                <w:sz w:val="16"/>
              </w:rPr>
              <w:t>Effective advocacy addresses real barriers within role, authority, confidentiality, and available resources.</w:t>
            </w:r>
          </w:p>
        </w:tc>
      </w:tr>
      <w:tr>
        <w:tc>
          <w:tcPr>
            <w:tcW w:type="dxa" w:w="2376"/>
            <w:vAlign w:val="top"/>
            <w:shd w:fill="F7F9FA"/>
          </w:tcPr>
          <w:p>
            <w:pPr>
              <w:spacing w:after="0"/>
            </w:pPr>
            <w:r/>
            <w:r>
              <w:rPr>
                <w:rFonts w:ascii="Aptos" w:hAnsi="Aptos"/>
                <w:b/>
                <w:sz w:val="16"/>
              </w:rPr>
              <w:t>Vulnerability Without Paternalism</w:t>
            </w:r>
          </w:p>
        </w:tc>
        <w:tc>
          <w:tcPr>
            <w:tcW w:type="dxa" w:w="5256"/>
            <w:vAlign w:val="top"/>
            <w:shd w:fill="F7F9FA"/>
          </w:tcPr>
          <w:p>
            <w:pPr>
              <w:spacing w:after="0"/>
            </w:pPr>
            <w:r/>
            <w:r>
              <w:rPr>
                <w:rFonts w:ascii="Aptos" w:hAnsi="Aptos"/>
                <w:b w:val="0"/>
                <w:sz w:val="16"/>
              </w:rPr>
              <w:t>Use accessible communication and supported decision-making, then respect the client’s informed choice This adds the support needed for meaningful participation without unnecessarily removing autonomy.</w:t>
            </w:r>
          </w:p>
        </w:tc>
        <w:tc>
          <w:tcPr>
            <w:tcW w:type="dxa" w:w="2520"/>
            <w:vAlign w:val="top"/>
            <w:shd w:fill="F7F9FA"/>
          </w:tcPr>
          <w:p>
            <w:pPr>
              <w:spacing w:after="0"/>
            </w:pPr>
            <w:r/>
            <w:r>
              <w:rPr>
                <w:rFonts w:ascii="Aptos" w:hAnsi="Aptos"/>
                <w:b w:val="0"/>
                <w:sz w:val="16"/>
              </w:rPr>
              <w:t>Vulnerability calls for tailored support and safeguards, not automatic loss of rights.</w:t>
            </w:r>
          </w:p>
        </w:tc>
      </w:tr>
      <w:tr>
        <w:tc>
          <w:tcPr>
            <w:tcW w:type="dxa" w:w="2376"/>
            <w:vAlign w:val="top"/>
          </w:tcPr>
          <w:p>
            <w:pPr>
              <w:spacing w:after="0"/>
            </w:pPr>
            <w:r/>
            <w:r>
              <w:rPr>
                <w:rFonts w:ascii="Aptos" w:hAnsi="Aptos"/>
                <w:b/>
                <w:sz w:val="16"/>
              </w:rPr>
              <w:t>Competing Benefits and Burdens</w:t>
            </w:r>
          </w:p>
        </w:tc>
        <w:tc>
          <w:tcPr>
            <w:tcW w:type="dxa" w:w="5256"/>
            <w:vAlign w:val="top"/>
          </w:tcPr>
          <w:p>
            <w:pPr>
              <w:spacing w:after="0"/>
            </w:pPr>
            <w:r/>
            <w:r>
              <w:rPr>
                <w:rFonts w:ascii="Aptos" w:hAnsi="Aptos"/>
                <w:b w:val="0"/>
                <w:sz w:val="16"/>
              </w:rPr>
              <w:t>Discuss the comparative benefits, burdens, uncertainty, and monitoring plan, and proceed with the accessible reasonable option if the informed client chooses it This weighs clinical evidence, real-world feasibility, autonomy, and outcome monitoring without equating beneficence with control.</w:t>
            </w:r>
          </w:p>
        </w:tc>
        <w:tc>
          <w:tcPr>
            <w:tcW w:type="dxa" w:w="2520"/>
            <w:vAlign w:val="top"/>
          </w:tcPr>
          <w:p>
            <w:pPr>
              <w:spacing w:after="0"/>
            </w:pPr>
            <w:r/>
            <w:r>
              <w:rPr>
                <w:rFonts w:ascii="Aptos" w:hAnsi="Aptos"/>
                <w:b w:val="0"/>
                <w:sz w:val="16"/>
              </w:rPr>
              <w:t>Benefit is practical and client-specific; an inaccessible ‘best’ option may not be the most beneficial available plan.</w:t>
            </w:r>
          </w:p>
        </w:tc>
      </w:tr>
      <w:tr>
        <w:tc>
          <w:tcPr>
            <w:tcW w:type="dxa" w:w="2376"/>
            <w:vAlign w:val="top"/>
            <w:shd w:fill="F7F9FA"/>
          </w:tcPr>
          <w:p>
            <w:pPr>
              <w:spacing w:after="0"/>
            </w:pPr>
            <w:r/>
            <w:r>
              <w:rPr>
                <w:rFonts w:ascii="Aptos" w:hAnsi="Aptos"/>
                <w:b/>
                <w:sz w:val="16"/>
              </w:rPr>
              <w:t>Organizational Pressure and Necessary Care</w:t>
            </w:r>
          </w:p>
        </w:tc>
        <w:tc>
          <w:tcPr>
            <w:tcW w:type="dxa" w:w="5256"/>
            <w:vAlign w:val="top"/>
            <w:shd w:fill="F7F9FA"/>
          </w:tcPr>
          <w:p>
            <w:pPr>
              <w:spacing w:after="0"/>
            </w:pPr>
            <w:r/>
            <w:r>
              <w:rPr>
                <w:rFonts w:ascii="Aptos" w:hAnsi="Aptos"/>
                <w:b w:val="0"/>
                <w:sz w:val="16"/>
              </w:rPr>
              <w:t>Assess current need and risk, raise the client-specific concern through appropriate channels, explore authorized exceptions or alternatives, and protect continuity This responds to client need, system constraints, accurate advocacy, and continuity without making unauthorized promises.</w:t>
            </w:r>
          </w:p>
        </w:tc>
        <w:tc>
          <w:tcPr>
            <w:tcW w:type="dxa" w:w="2520"/>
            <w:vAlign w:val="top"/>
            <w:shd w:fill="F7F9FA"/>
          </w:tcPr>
          <w:p>
            <w:pPr>
              <w:spacing w:after="0"/>
            </w:pPr>
            <w:r/>
            <w:r>
              <w:rPr>
                <w:rFonts w:ascii="Aptos" w:hAnsi="Aptos"/>
                <w:b w:val="0"/>
                <w:sz w:val="16"/>
              </w:rPr>
              <w:t>When policy conflicts with welfare, use accurate client-specific assessment, escalation, alternatives, and continuity—not blind compliance or fabrication.</w:t>
            </w:r>
          </w:p>
        </w:tc>
      </w:tr>
      <w:tr>
        <w:tc>
          <w:tcPr>
            <w:tcW w:type="dxa" w:w="2376"/>
            <w:vAlign w:val="top"/>
          </w:tcPr>
          <w:p>
            <w:pPr>
              <w:spacing w:after="0"/>
            </w:pPr>
            <w:r/>
            <w:r>
              <w:rPr>
                <w:rFonts w:ascii="Aptos" w:hAnsi="Aptos"/>
                <w:b/>
                <w:sz w:val="16"/>
              </w:rPr>
              <w:t>Proportionate Level of Care</w:t>
            </w:r>
          </w:p>
        </w:tc>
        <w:tc>
          <w:tcPr>
            <w:tcW w:type="dxa" w:w="5256"/>
            <w:vAlign w:val="top"/>
          </w:tcPr>
          <w:p>
            <w:pPr>
              <w:spacing w:after="0"/>
            </w:pPr>
            <w:r/>
            <w:r>
              <w:rPr>
                <w:rFonts w:ascii="Aptos" w:hAnsi="Aptos"/>
                <w:b w:val="0"/>
                <w:sz w:val="16"/>
              </w:rPr>
              <w:t>Validate and assess the concern, explain the clinical reasoning and options, create a proportionate outpatient safety and treatment plan, and reassess if risk changes This balances welfare, autonomy, risk, proportionality, and ongoing monitoring without unnecessary restriction.</w:t>
            </w:r>
          </w:p>
        </w:tc>
        <w:tc>
          <w:tcPr>
            <w:tcW w:type="dxa" w:w="2520"/>
            <w:vAlign w:val="top"/>
          </w:tcPr>
          <w:p>
            <w:pPr>
              <w:spacing w:after="0"/>
            </w:pPr>
            <w:r/>
            <w:r>
              <w:rPr>
                <w:rFonts w:ascii="Aptos" w:hAnsi="Aptos"/>
                <w:b w:val="0"/>
                <w:sz w:val="16"/>
              </w:rPr>
              <w:t>Choose the least disruptive response that adequately addresses assessed need and risk; intensity is not beneficence by itself.</w:t>
            </w:r>
          </w:p>
        </w:tc>
      </w:tr>
      <w:tr>
        <w:tc>
          <w:tcPr>
            <w:tcW w:type="dxa" w:w="2376"/>
            <w:vAlign w:val="top"/>
            <w:shd w:fill="F7F9FA"/>
          </w:tcPr>
          <w:p>
            <w:pPr>
              <w:spacing w:after="0"/>
            </w:pPr>
            <w:r/>
            <w:r>
              <w:rPr>
                <w:rFonts w:ascii="Aptos" w:hAnsi="Aptos"/>
                <w:b/>
                <w:sz w:val="16"/>
              </w:rPr>
              <w:t>Value Imposition</w:t>
            </w:r>
          </w:p>
        </w:tc>
        <w:tc>
          <w:tcPr>
            <w:tcW w:type="dxa" w:w="5256"/>
            <w:vAlign w:val="top"/>
            <w:shd w:fill="F7F9FA"/>
          </w:tcPr>
          <w:p>
            <w:pPr>
              <w:spacing w:after="0"/>
            </w:pPr>
            <w:r/>
            <w:r>
              <w:rPr>
                <w:rFonts w:ascii="Aptos" w:hAnsi="Aptos"/>
                <w:b w:val="0"/>
                <w:sz w:val="16"/>
              </w:rPr>
              <w:t>Stop imposing the therapist’s value, reassess safety and goals, acknowledge the client’s autonomy, seek consultation regarding bias, and support a client-centered plan This addresses value imposition, safety, professional self-awareness, autonomy, and the client-specific meaning of welfare.</w:t>
            </w:r>
          </w:p>
        </w:tc>
        <w:tc>
          <w:tcPr>
            <w:tcW w:type="dxa" w:w="2520"/>
            <w:vAlign w:val="top"/>
            <w:shd w:fill="F7F9FA"/>
          </w:tcPr>
          <w:p>
            <w:pPr>
              <w:spacing w:after="0"/>
            </w:pPr>
            <w:r/>
            <w:r>
              <w:rPr>
                <w:rFonts w:ascii="Aptos" w:hAnsi="Aptos"/>
                <w:b w:val="0"/>
                <w:sz w:val="16"/>
              </w:rPr>
              <w:t>‘Best interest’ language is a warning sign when it masks clinician values, coercion, or disregard of client-specific safety.</w:t>
            </w:r>
          </w:p>
        </w:tc>
      </w:tr>
      <w:tr>
        <w:tc>
          <w:tcPr>
            <w:tcW w:type="dxa" w:w="2376"/>
            <w:vAlign w:val="top"/>
          </w:tcPr>
          <w:p>
            <w:pPr>
              <w:spacing w:after="0"/>
            </w:pPr>
            <w:r/>
            <w:r>
              <w:rPr>
                <w:rFonts w:ascii="Aptos" w:hAnsi="Aptos"/>
                <w:b/>
                <w:sz w:val="16"/>
              </w:rPr>
              <w:t>Integrated Client-Welfare Analysis</w:t>
            </w:r>
          </w:p>
        </w:tc>
        <w:tc>
          <w:tcPr>
            <w:tcW w:type="dxa" w:w="5256"/>
            <w:vAlign w:val="top"/>
          </w:tcPr>
          <w:p>
            <w:pPr>
              <w:spacing w:after="0"/>
            </w:pPr>
            <w:r/>
            <w:r>
              <w:rPr>
                <w:rFonts w:ascii="Aptos" w:hAnsi="Aptos"/>
                <w:b w:val="0"/>
                <w:sz w:val="16"/>
              </w:rPr>
              <w:t>Reassess need, risk, effectiveness, access, and preferences; involve the supervisor; discuss benefits and alternatives; coordinate competent care and continuity; document and monitor the plan This integrates beneficence, nonmaleficence, autonomy, supervision, competence, access, referral, documentation, and outcome monitoring.</w:t>
            </w:r>
          </w:p>
        </w:tc>
        <w:tc>
          <w:tcPr>
            <w:tcW w:type="dxa" w:w="2520"/>
            <w:vAlign w:val="top"/>
          </w:tcPr>
          <w:p>
            <w:pPr>
              <w:spacing w:after="0"/>
            </w:pPr>
            <w:r/>
            <w:r>
              <w:rPr>
                <w:rFonts w:ascii="Aptos" w:hAnsi="Aptos"/>
                <w:b w:val="0"/>
                <w:sz w:val="16"/>
              </w:rPr>
              <w:t>Integrated welfare questions reward a coordinated plan that joins benefit, safety, autonomy, competence, access, supervision, and continuity. Quality-Control Matrix Question Difficulty Type Key Primary concept</w:t>
            </w:r>
          </w:p>
        </w:tc>
      </w:tr>
    </w:tbl>
    <w:p>
      <w:pPr>
        <w:pStyle w:val="Heading2"/>
      </w:pPr>
      <w:r>
        <w:t>Exam Reasoning Checklist</w:t>
      </w:r>
    </w:p>
    <w:p>
      <w:pPr>
        <w:pStyle w:val="ListBullet"/>
        <w:spacing w:after="30"/>
      </w:pPr>
      <w:r>
        <w:t>Choose reasonable, competent promotion of welfare—not guarantees, automatic compliance, or crisis-only duties.</w:t>
      </w:r>
    </w:p>
    <w:p>
      <w:pPr>
        <w:pStyle w:val="ListBullet"/>
        <w:spacing w:after="30"/>
      </w:pPr>
      <w:r>
        <w:t>Remember: promote welfare and reduce harm usually operate together, not as competing silos.</w:t>
      </w:r>
    </w:p>
    <w:p>
      <w:pPr>
        <w:pStyle w:val="ListBullet"/>
        <w:spacing w:after="30"/>
      </w:pPr>
      <w:r>
        <w:t>The exam tests a competent process and responsive reassessment, not guaranteed success.</w:t>
      </w:r>
    </w:p>
    <w:p>
      <w:pPr>
        <w:pStyle w:val="ListBullet"/>
        <w:spacing w:after="30"/>
      </w:pPr>
      <w:r>
        <w:t>Look for collaborative professional judgment—not control, passivity, or automatic compliance.</w:t>
      </w:r>
    </w:p>
    <w:p>
      <w:pPr>
        <w:pStyle w:val="ListBullet"/>
        <w:spacing w:after="30"/>
      </w:pPr>
      <w:r>
        <w:t>The strongest answer compares benefit, harm, alternatives, fit, feasibility, and follow-up.</w:t>
      </w:r>
    </w:p>
    <w:p>
      <w:pPr>
        <w:pStyle w:val="ListBullet"/>
        <w:spacing w:after="30"/>
      </w:pPr>
      <w:r>
        <w:t>When multiple reasonable options exist, favor informed participation with monitoring over coercion or withdrawal.</w:t>
      </w:r>
    </w:p>
    <w:p>
      <w:pPr>
        <w:pStyle w:val="ListBullet"/>
        <w:spacing w:after="30"/>
      </w:pPr>
      <w:r>
        <w:t>Sustained deterioration calls for reassessment and proportionate change—not persistence, blame, or abandonment.</w:t>
      </w:r>
    </w:p>
    <w:p>
      <w:pPr>
        <w:pStyle w:val="ListBullet"/>
        <w:spacing w:after="30"/>
      </w:pPr>
      <w:r>
        <w:t>When money or policy conflicts with care, protect client-centered judgment without overreacting or misrepresenting the law.</w:t>
      </w:r>
    </w:p>
    <w:p>
      <w:pPr>
        <w:pStyle w:val="Heading2"/>
      </w:pPr>
      <w:r>
        <w:t>Chapter Rapid Review</w:t>
      </w:r>
    </w:p>
    <w:p>
      <w:r>
        <w:rPr>
          <w:b/>
        </w:rPr>
        <w:t xml:space="preserve">Know these concepts: </w:t>
      </w:r>
      <w:r>
        <w:t>Meaning of Beneficence; Beneficence and Nonmaleficence; No Outcome Guarantee; Beneficence and Autonomy; Benefit-Risk Analysis; Informed Preference; Continuing Benefit; Financial Incentive and Care; Competence and Access; Short-Term Comfort and Dependency; Advocacy Within Role; Vulnerability Without Paternalism; Competing Benefits and Burdens; Organizational Pressure and Necessary Care; Proportionate Level of Care; Value Imposition; Integrated Client-Welfare Analysis</w:t>
      </w:r>
    </w:p>
    <w:p>
      <w:r>
        <w:br w:type="page"/>
      </w:r>
    </w:p>
    <w:p>
      <w:pPr>
        <w:pStyle w:val="Heading2"/>
      </w:pPr>
      <w:r>
        <w:t>Chapter 4</w:t>
      </w:r>
    </w:p>
    <w:p>
      <w:pPr>
        <w:pStyle w:val="Heading1"/>
      </w:pPr>
      <w:r>
        <w:t>Professional Responsibility and Accountability</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Professional responsibility is the obligation to fulfill the duties attached to the clinician’s role and conduct. Accountability centers on an honest, client-protective response and follow-through.</w:t>
            </w:r>
          </w:p>
        </w:tc>
      </w:tr>
    </w:tbl>
    <w:p>
      <w:pPr>
        <w:pStyle w:val="Heading2"/>
      </w:pPr>
      <w:r>
        <w:t>What to Learn</w:t>
      </w:r>
    </w:p>
    <w:p>
      <w:pPr>
        <w:pStyle w:val="ListBullet"/>
        <w:spacing w:after="30"/>
      </w:pPr>
      <w:r>
        <w:t>Explain and apply Professional Responsibility.</w:t>
      </w:r>
    </w:p>
    <w:p>
      <w:pPr>
        <w:pStyle w:val="ListBullet"/>
        <w:spacing w:after="30"/>
      </w:pPr>
      <w:r>
        <w:t>Explain and apply Meaning of Accountability.</w:t>
      </w:r>
    </w:p>
    <w:p>
      <w:pPr>
        <w:pStyle w:val="ListBullet"/>
        <w:spacing w:after="30"/>
      </w:pPr>
      <w:r>
        <w:t>Explain and apply First Priority After Error.</w:t>
      </w:r>
    </w:p>
    <w:p>
      <w:pPr>
        <w:pStyle w:val="ListBullet"/>
        <w:spacing w:after="30"/>
      </w:pPr>
      <w:r>
        <w:t>Explain and apply Missed Safety Follow-Up.</w:t>
      </w:r>
    </w:p>
    <w:p>
      <w:pPr>
        <w:pStyle w:val="ListBullet"/>
        <w:spacing w:after="30"/>
      </w:pPr>
      <w:r>
        <w:t>Explain and apply Late Entry and Correction.</w:t>
      </w:r>
    </w:p>
    <w:p>
      <w:pPr>
        <w:pStyle w:val="ListBullet"/>
        <w:spacing w:after="30"/>
      </w:pPr>
      <w:r>
        <w:t>Explain and apply Responding to Client Feedback.</w:t>
      </w:r>
    </w:p>
    <w:p>
      <w:pPr>
        <w:pStyle w:val="ListBullet"/>
        <w:spacing w:after="30"/>
      </w:pPr>
      <w:r>
        <w:t>Explain and apply Supervisee Disclosure.</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Professional Responsibility</w:t>
            </w:r>
          </w:p>
        </w:tc>
        <w:tc>
          <w:tcPr>
            <w:tcW w:type="dxa" w:w="5256"/>
            <w:vAlign w:val="top"/>
          </w:tcPr>
          <w:p>
            <w:pPr>
              <w:spacing w:after="0"/>
            </w:pPr>
            <w:r/>
            <w:r>
              <w:rPr>
                <w:rFonts w:ascii="Aptos" w:hAnsi="Aptos"/>
                <w:b w:val="0"/>
                <w:sz w:val="16"/>
              </w:rPr>
              <w:t>Professional responsibility is the obligation to fulfill the duties attached to the clinician’s role and conduct.</w:t>
            </w:r>
          </w:p>
        </w:tc>
        <w:tc>
          <w:tcPr>
            <w:tcW w:type="dxa" w:w="2520"/>
            <w:vAlign w:val="top"/>
          </w:tcPr>
          <w:p>
            <w:pPr>
              <w:spacing w:after="0"/>
            </w:pPr>
            <w:r/>
            <w:r>
              <w:rPr>
                <w:rFonts w:ascii="Aptos" w:hAnsi="Aptos"/>
                <w:b w:val="0"/>
                <w:sz w:val="16"/>
              </w:rPr>
              <w:t>Responsibility concerns applicable duties—not perfection, preference, or transfer of judgment.</w:t>
            </w:r>
          </w:p>
        </w:tc>
      </w:tr>
      <w:tr>
        <w:tc>
          <w:tcPr>
            <w:tcW w:type="dxa" w:w="2376"/>
            <w:vAlign w:val="top"/>
            <w:shd w:fill="F7F9FA"/>
          </w:tcPr>
          <w:p>
            <w:pPr>
              <w:spacing w:after="0"/>
            </w:pPr>
            <w:r/>
            <w:r>
              <w:rPr>
                <w:rFonts w:ascii="Aptos" w:hAnsi="Aptos"/>
                <w:b/>
                <w:sz w:val="16"/>
              </w:rPr>
              <w:t>Meaning of Accountability</w:t>
            </w:r>
          </w:p>
        </w:tc>
        <w:tc>
          <w:tcPr>
            <w:tcW w:type="dxa" w:w="5256"/>
            <w:vAlign w:val="top"/>
            <w:shd w:fill="F7F9FA"/>
          </w:tcPr>
          <w:p>
            <w:pPr>
              <w:spacing w:after="0"/>
            </w:pPr>
            <w:r/>
            <w:r>
              <w:rPr>
                <w:rFonts w:ascii="Aptos" w:hAnsi="Aptos"/>
                <w:b w:val="0"/>
                <w:sz w:val="16"/>
              </w:rPr>
              <w:t>Accountability centers on an honest, client-protective response and follow-through.</w:t>
            </w:r>
          </w:p>
        </w:tc>
        <w:tc>
          <w:tcPr>
            <w:tcW w:type="dxa" w:w="2520"/>
            <w:vAlign w:val="top"/>
            <w:shd w:fill="F7F9FA"/>
          </w:tcPr>
          <w:p>
            <w:pPr>
              <w:spacing w:after="0"/>
            </w:pPr>
            <w:r/>
            <w:r>
              <w:rPr>
                <w:rFonts w:ascii="Aptos" w:hAnsi="Aptos"/>
                <w:b w:val="0"/>
                <w:sz w:val="16"/>
              </w:rPr>
              <w:t>Choose truthful, proportionate action—not self-punishment, concealment, or indiscriminate reporting.</w:t>
            </w:r>
          </w:p>
        </w:tc>
      </w:tr>
      <w:tr>
        <w:tc>
          <w:tcPr>
            <w:tcW w:type="dxa" w:w="2376"/>
            <w:vAlign w:val="top"/>
          </w:tcPr>
          <w:p>
            <w:pPr>
              <w:spacing w:after="0"/>
            </w:pPr>
            <w:r/>
            <w:r>
              <w:rPr>
                <w:rFonts w:ascii="Aptos" w:hAnsi="Aptos"/>
                <w:b/>
                <w:sz w:val="16"/>
              </w:rPr>
              <w:t>First Priority After Error</w:t>
            </w:r>
          </w:p>
        </w:tc>
        <w:tc>
          <w:tcPr>
            <w:tcW w:type="dxa" w:w="5256"/>
            <w:vAlign w:val="top"/>
          </w:tcPr>
          <w:p>
            <w:pPr>
              <w:spacing w:after="0"/>
            </w:pPr>
            <w:r/>
            <w:r>
              <w:rPr>
                <w:rFonts w:ascii="Aptos" w:hAnsi="Aptos"/>
                <w:b w:val="0"/>
                <w:sz w:val="16"/>
              </w:rPr>
              <w:t>The first task is to determine and reduce any continuing client impact.</w:t>
            </w:r>
          </w:p>
        </w:tc>
        <w:tc>
          <w:tcPr>
            <w:tcW w:type="dxa" w:w="2520"/>
            <w:vAlign w:val="top"/>
          </w:tcPr>
          <w:p>
            <w:pPr>
              <w:spacing w:after="0"/>
            </w:pPr>
            <w:r/>
            <w:r>
              <w:rPr>
                <w:rFonts w:ascii="Aptos" w:hAnsi="Aptos"/>
                <w:b w:val="0"/>
                <w:sz w:val="16"/>
              </w:rPr>
              <w:t>When harm may be continuing, protect first; analyze blame and prevention afterward.</w:t>
            </w:r>
          </w:p>
        </w:tc>
      </w:tr>
      <w:tr>
        <w:tc>
          <w:tcPr>
            <w:tcW w:type="dxa" w:w="2376"/>
            <w:vAlign w:val="top"/>
            <w:shd w:fill="F7F9FA"/>
          </w:tcPr>
          <w:p>
            <w:pPr>
              <w:spacing w:after="0"/>
            </w:pPr>
            <w:r/>
            <w:r>
              <w:rPr>
                <w:rFonts w:ascii="Aptos" w:hAnsi="Aptos"/>
                <w:b/>
                <w:sz w:val="16"/>
              </w:rPr>
              <w:t>Missed Safety Follow-Up</w:t>
            </w:r>
          </w:p>
        </w:tc>
        <w:tc>
          <w:tcPr>
            <w:tcW w:type="dxa" w:w="5256"/>
            <w:vAlign w:val="top"/>
            <w:shd w:fill="F7F9FA"/>
          </w:tcPr>
          <w:p>
            <w:pPr>
              <w:spacing w:after="0"/>
            </w:pPr>
            <w:r/>
            <w:r>
              <w:rPr>
                <w:rFonts w:ascii="Aptos" w:hAnsi="Aptos"/>
                <w:b w:val="0"/>
                <w:sz w:val="16"/>
              </w:rPr>
              <w:t>Promptly assess the client’s current safety and take indicated protective action, then address documentation, consultation, and process correction This prioritizes safety and then completes the accountable corrective response.</w:t>
            </w:r>
          </w:p>
        </w:tc>
        <w:tc>
          <w:tcPr>
            <w:tcW w:type="dxa" w:w="2520"/>
            <w:vAlign w:val="top"/>
            <w:shd w:fill="F7F9FA"/>
          </w:tcPr>
          <w:p>
            <w:pPr>
              <w:spacing w:after="0"/>
            </w:pPr>
            <w:r/>
            <w:r>
              <w:rPr>
                <w:rFonts w:ascii="Aptos" w:hAnsi="Aptos"/>
                <w:b w:val="0"/>
                <w:sz w:val="16"/>
              </w:rPr>
              <w:t>Separate immediate client protection from later remediation; both matter, but safety comes first.</w:t>
            </w:r>
          </w:p>
        </w:tc>
      </w:tr>
      <w:tr>
        <w:tc>
          <w:tcPr>
            <w:tcW w:type="dxa" w:w="2376"/>
            <w:vAlign w:val="top"/>
          </w:tcPr>
          <w:p>
            <w:pPr>
              <w:spacing w:after="0"/>
            </w:pPr>
            <w:r/>
            <w:r>
              <w:rPr>
                <w:rFonts w:ascii="Aptos" w:hAnsi="Aptos"/>
                <w:b/>
                <w:sz w:val="16"/>
              </w:rPr>
              <w:t>Late Entry and Correction</w:t>
            </w:r>
          </w:p>
        </w:tc>
        <w:tc>
          <w:tcPr>
            <w:tcW w:type="dxa" w:w="5256"/>
            <w:vAlign w:val="top"/>
          </w:tcPr>
          <w:p>
            <w:pPr>
              <w:spacing w:after="0"/>
            </w:pPr>
            <w:r/>
            <w:r>
              <w:rPr>
                <w:rFonts w:ascii="Aptos" w:hAnsi="Aptos"/>
                <w:b w:val="0"/>
                <w:sz w:val="16"/>
              </w:rPr>
              <w:t>Follow the approved late-entry or amendment process, identify the current date and source of information, preserve the original history, and address any client impact This protects accuracy, continuity, and record integrity without rewriting history.</w:t>
            </w:r>
          </w:p>
        </w:tc>
        <w:tc>
          <w:tcPr>
            <w:tcW w:type="dxa" w:w="2520"/>
            <w:vAlign w:val="top"/>
          </w:tcPr>
          <w:p>
            <w:pPr>
              <w:spacing w:after="0"/>
            </w:pPr>
            <w:r/>
            <w:r>
              <w:rPr>
                <w:rFonts w:ascii="Aptos" w:hAnsi="Aptos"/>
                <w:b w:val="0"/>
                <w:sz w:val="16"/>
              </w:rPr>
              <w:t>A late correction should improve accuracy while showing honestly when and how it was made.</w:t>
            </w:r>
          </w:p>
        </w:tc>
      </w:tr>
      <w:tr>
        <w:tc>
          <w:tcPr>
            <w:tcW w:type="dxa" w:w="2376"/>
            <w:vAlign w:val="top"/>
            <w:shd w:fill="F7F9FA"/>
          </w:tcPr>
          <w:p>
            <w:pPr>
              <w:spacing w:after="0"/>
            </w:pPr>
            <w:r/>
            <w:r>
              <w:rPr>
                <w:rFonts w:ascii="Aptos" w:hAnsi="Aptos"/>
                <w:b/>
                <w:sz w:val="16"/>
              </w:rPr>
              <w:t>Responding to Client Feedback</w:t>
            </w:r>
          </w:p>
        </w:tc>
        <w:tc>
          <w:tcPr>
            <w:tcW w:type="dxa" w:w="5256"/>
            <w:vAlign w:val="top"/>
            <w:shd w:fill="F7F9FA"/>
          </w:tcPr>
          <w:p>
            <w:pPr>
              <w:spacing w:after="0"/>
            </w:pPr>
            <w:r/>
            <w:r>
              <w:rPr>
                <w:rFonts w:ascii="Aptos" w:hAnsi="Aptos"/>
                <w:b w:val="0"/>
                <w:sz w:val="16"/>
              </w:rPr>
              <w:t>Clarify what the client understood, provide accurate information, assess decision impact, correct the process if needed, and document the material discussion This treats feedback as relevant information and restores informed decision-making proportionately.</w:t>
            </w:r>
          </w:p>
        </w:tc>
        <w:tc>
          <w:tcPr>
            <w:tcW w:type="dxa" w:w="2520"/>
            <w:vAlign w:val="top"/>
            <w:shd w:fill="F7F9FA"/>
          </w:tcPr>
          <w:p>
            <w:pPr>
              <w:spacing w:after="0"/>
            </w:pPr>
            <w:r/>
            <w:r>
              <w:rPr>
                <w:rFonts w:ascii="Aptos" w:hAnsi="Aptos"/>
                <w:b w:val="0"/>
                <w:sz w:val="16"/>
              </w:rPr>
              <w:t>Credible feedback calls for clarification, impact assessment, correction, and follow-through—not defensiveness or reflexive overcorrection.</w:t>
            </w:r>
          </w:p>
        </w:tc>
      </w:tr>
      <w:tr>
        <w:tc>
          <w:tcPr>
            <w:tcW w:type="dxa" w:w="2376"/>
            <w:vAlign w:val="top"/>
          </w:tcPr>
          <w:p>
            <w:pPr>
              <w:spacing w:after="0"/>
            </w:pPr>
            <w:r/>
            <w:r>
              <w:rPr>
                <w:rFonts w:ascii="Aptos" w:hAnsi="Aptos"/>
                <w:b/>
                <w:sz w:val="16"/>
              </w:rPr>
              <w:t>Supervisee Disclosure</w:t>
            </w:r>
          </w:p>
        </w:tc>
        <w:tc>
          <w:tcPr>
            <w:tcW w:type="dxa" w:w="5256"/>
            <w:vAlign w:val="top"/>
          </w:tcPr>
          <w:p>
            <w:pPr>
              <w:spacing w:after="0"/>
            </w:pPr>
            <w:r/>
            <w:r>
              <w:rPr>
                <w:rFonts w:ascii="Aptos" w:hAnsi="Aptos"/>
                <w:b w:val="0"/>
                <w:sz w:val="16"/>
              </w:rPr>
              <w:t>Effective supervision requires honest material information and a client-centered corrective plan.</w:t>
            </w:r>
          </w:p>
        </w:tc>
        <w:tc>
          <w:tcPr>
            <w:tcW w:type="dxa" w:w="2520"/>
            <w:vAlign w:val="top"/>
          </w:tcPr>
          <w:p>
            <w:pPr>
              <w:spacing w:after="0"/>
            </w:pPr>
            <w:r/>
            <w:r>
              <w:rPr>
                <w:rFonts w:ascii="Aptos" w:hAnsi="Aptos"/>
                <w:b w:val="0"/>
                <w:sz w:val="16"/>
              </w:rPr>
              <w:t>A supervisee should restore effective oversight by disclosing material facts and addressing the client impact.</w:t>
            </w:r>
          </w:p>
        </w:tc>
      </w:tr>
      <w:tr>
        <w:tc>
          <w:tcPr>
            <w:tcW w:type="dxa" w:w="2376"/>
            <w:vAlign w:val="top"/>
            <w:shd w:fill="F7F9FA"/>
          </w:tcPr>
          <w:p>
            <w:pPr>
              <w:spacing w:after="0"/>
            </w:pPr>
            <w:r/>
            <w:r>
              <w:rPr>
                <w:rFonts w:ascii="Aptos" w:hAnsi="Aptos"/>
                <w:b/>
                <w:sz w:val="16"/>
              </w:rPr>
              <w:t>Billing and Diagnostic Error</w:t>
            </w:r>
          </w:p>
        </w:tc>
        <w:tc>
          <w:tcPr>
            <w:tcW w:type="dxa" w:w="5256"/>
            <w:vAlign w:val="top"/>
            <w:shd w:fill="F7F9FA"/>
          </w:tcPr>
          <w:p>
            <w:pPr>
              <w:spacing w:after="0"/>
            </w:pPr>
            <w:r/>
            <w:r>
              <w:rPr>
                <w:rFonts w:ascii="Aptos" w:hAnsi="Aptos"/>
                <w:b w:val="0"/>
                <w:sz w:val="16"/>
              </w:rPr>
              <w:t>Clarify the facts and clinical record, assess client consequences, consult appropriate billing or compliance resources, correct authorized records and claims, communicate as required, and track completion This coordinates factual, clinical, compliance, communication, and follow-up responsibilities.</w:t>
            </w:r>
          </w:p>
        </w:tc>
        <w:tc>
          <w:tcPr>
            <w:tcW w:type="dxa" w:w="2520"/>
            <w:vAlign w:val="top"/>
            <w:shd w:fill="F7F9FA"/>
          </w:tcPr>
          <w:p>
            <w:pPr>
              <w:spacing w:after="0"/>
            </w:pPr>
            <w:r/>
            <w:r>
              <w:rPr>
                <w:rFonts w:ascii="Aptos" w:hAnsi="Aptos"/>
                <w:b w:val="0"/>
                <w:sz w:val="16"/>
              </w:rPr>
              <w:t>Treat billing data as consequential information: verify, correct through proper channels, address impact, and confirm completion.</w:t>
            </w:r>
          </w:p>
        </w:tc>
      </w:tr>
      <w:tr>
        <w:tc>
          <w:tcPr>
            <w:tcW w:type="dxa" w:w="2376"/>
            <w:vAlign w:val="top"/>
          </w:tcPr>
          <w:p>
            <w:pPr>
              <w:spacing w:after="0"/>
            </w:pPr>
            <w:r/>
            <w:r>
              <w:rPr>
                <w:rFonts w:ascii="Aptos" w:hAnsi="Aptos"/>
                <w:b/>
                <w:sz w:val="16"/>
              </w:rPr>
              <w:t>Colleague Conduct</w:t>
            </w:r>
          </w:p>
        </w:tc>
        <w:tc>
          <w:tcPr>
            <w:tcW w:type="dxa" w:w="5256"/>
            <w:vAlign w:val="top"/>
          </w:tcPr>
          <w:p>
            <w:pPr>
              <w:spacing w:after="0"/>
            </w:pPr>
            <w:r/>
            <w:r>
              <w:rPr>
                <w:rFonts w:ascii="Aptos" w:hAnsi="Aptos"/>
                <w:b w:val="0"/>
                <w:sz w:val="16"/>
              </w:rPr>
              <w:t>Clarify facts within role, assess client risk and applicable duties, and obtain timely ethical, supervisory, legal, or organizational consultation before choosing the proper channel This is fact-based and proportionate while preserving the ability to act promptly if risk or a reporting duty is identified.</w:t>
            </w:r>
          </w:p>
        </w:tc>
        <w:tc>
          <w:tcPr>
            <w:tcW w:type="dxa" w:w="2520"/>
            <w:vAlign w:val="top"/>
          </w:tcPr>
          <w:p>
            <w:pPr>
              <w:spacing w:after="0"/>
            </w:pPr>
            <w:r/>
            <w:r>
              <w:rPr>
                <w:rFonts w:ascii="Aptos" w:hAnsi="Aptos"/>
                <w:b w:val="0"/>
                <w:sz w:val="16"/>
              </w:rPr>
              <w:t>With incomplete nonurgent facts, clarify risk and duties before selecting the intervention or reporting path.</w:t>
            </w:r>
          </w:p>
        </w:tc>
      </w:tr>
      <w:tr>
        <w:tc>
          <w:tcPr>
            <w:tcW w:type="dxa" w:w="2376"/>
            <w:vAlign w:val="top"/>
            <w:shd w:fill="F7F9FA"/>
          </w:tcPr>
          <w:p>
            <w:pPr>
              <w:spacing w:after="0"/>
            </w:pPr>
            <w:r/>
            <w:r>
              <w:rPr>
                <w:rFonts w:ascii="Aptos" w:hAnsi="Aptos"/>
                <w:b/>
                <w:sz w:val="16"/>
              </w:rPr>
              <w:t>System Failure</w:t>
            </w:r>
          </w:p>
        </w:tc>
        <w:tc>
          <w:tcPr>
            <w:tcW w:type="dxa" w:w="5256"/>
            <w:vAlign w:val="top"/>
            <w:shd w:fill="F7F9FA"/>
          </w:tcPr>
          <w:p>
            <w:pPr>
              <w:spacing w:after="0"/>
            </w:pPr>
            <w:r/>
            <w:r>
              <w:rPr>
                <w:rFonts w:ascii="Aptos" w:hAnsi="Aptos"/>
                <w:b w:val="0"/>
                <w:sz w:val="16"/>
              </w:rPr>
              <w:t>Contain the failure, identify affected clients, assess current risk, restore communication or alternatives, preserve evidence, notify through required channels, correct the system, and verify the fix This addresses current clients, evidence, duties, correction, and prevention as one coordinated response.</w:t>
            </w:r>
          </w:p>
        </w:tc>
        <w:tc>
          <w:tcPr>
            <w:tcW w:type="dxa" w:w="2520"/>
            <w:vAlign w:val="top"/>
            <w:shd w:fill="F7F9FA"/>
          </w:tcPr>
          <w:p>
            <w:pPr>
              <w:spacing w:after="0"/>
            </w:pPr>
            <w:r/>
            <w:r>
              <w:rPr>
                <w:rFonts w:ascii="Aptos" w:hAnsi="Aptos"/>
                <w:b w:val="0"/>
                <w:sz w:val="16"/>
              </w:rPr>
              <w:t>For multi-client system failures: contain, identify, assess, restore, preserve, correct, and verify.</w:t>
            </w:r>
          </w:p>
        </w:tc>
      </w:tr>
      <w:tr>
        <w:tc>
          <w:tcPr>
            <w:tcW w:type="dxa" w:w="2376"/>
            <w:vAlign w:val="top"/>
          </w:tcPr>
          <w:p>
            <w:pPr>
              <w:spacing w:after="0"/>
            </w:pPr>
            <w:r/>
            <w:r>
              <w:rPr>
                <w:rFonts w:ascii="Aptos" w:hAnsi="Aptos"/>
                <w:b/>
                <w:sz w:val="16"/>
              </w:rPr>
              <w:t>Client Error Disclosure</w:t>
            </w:r>
          </w:p>
        </w:tc>
        <w:tc>
          <w:tcPr>
            <w:tcW w:type="dxa" w:w="5256"/>
            <w:vAlign w:val="top"/>
          </w:tcPr>
          <w:p>
            <w:pPr>
              <w:spacing w:after="0"/>
            </w:pPr>
            <w:r/>
            <w:r>
              <w:rPr>
                <w:rFonts w:ascii="Aptos" w:hAnsi="Aptos"/>
                <w:b w:val="0"/>
                <w:sz w:val="16"/>
              </w:rPr>
              <w:t>Clarify impact and controlling duties, obtain timely qualified consultation, correct the problem, and communicate material client-centered information through an authorized approach This preserves prompt accountability while tailoring communication to materiality, law, authorization, and client need.</w:t>
            </w:r>
          </w:p>
        </w:tc>
        <w:tc>
          <w:tcPr>
            <w:tcW w:type="dxa" w:w="2520"/>
            <w:vAlign w:val="top"/>
          </w:tcPr>
          <w:p>
            <w:pPr>
              <w:spacing w:after="0"/>
            </w:pPr>
            <w:r/>
            <w:r>
              <w:rPr>
                <w:rFonts w:ascii="Aptos" w:hAnsi="Aptos"/>
                <w:b w:val="0"/>
                <w:sz w:val="16"/>
              </w:rPr>
              <w:t>Avoid both concealment and emotional overdisclosure; use a timely, client-centered, legally informed process.</w:t>
            </w:r>
          </w:p>
        </w:tc>
      </w:tr>
      <w:tr>
        <w:tc>
          <w:tcPr>
            <w:tcW w:type="dxa" w:w="2376"/>
            <w:vAlign w:val="top"/>
            <w:shd w:fill="F7F9FA"/>
          </w:tcPr>
          <w:p>
            <w:pPr>
              <w:spacing w:after="0"/>
            </w:pPr>
            <w:r/>
            <w:r>
              <w:rPr>
                <w:rFonts w:ascii="Aptos" w:hAnsi="Aptos"/>
                <w:b/>
                <w:sz w:val="16"/>
              </w:rPr>
              <w:t>Instruction to Falsify</w:t>
            </w:r>
          </w:p>
        </w:tc>
        <w:tc>
          <w:tcPr>
            <w:tcW w:type="dxa" w:w="5256"/>
            <w:vAlign w:val="top"/>
            <w:shd w:fill="F7F9FA"/>
          </w:tcPr>
          <w:p>
            <w:pPr>
              <w:spacing w:after="0"/>
            </w:pPr>
            <w:r/>
            <w:r>
              <w:rPr>
                <w:rFonts w:ascii="Aptos" w:hAnsi="Aptos"/>
                <w:b w:val="0"/>
                <w:sz w:val="16"/>
              </w:rPr>
              <w:t>Refuse to falsify the record, preserve accurate information, assess any client impact, involve the supervisor and appropriate compliance or legal channels, and document through authorized processes This protects the client and record while using the proper supervisory and organizational response.</w:t>
            </w:r>
          </w:p>
        </w:tc>
        <w:tc>
          <w:tcPr>
            <w:tcW w:type="dxa" w:w="2520"/>
            <w:vAlign w:val="top"/>
            <w:shd w:fill="F7F9FA"/>
          </w:tcPr>
          <w:p>
            <w:pPr>
              <w:spacing w:after="0"/>
            </w:pPr>
            <w:r/>
            <w:r>
              <w:rPr>
                <w:rFonts w:ascii="Aptos" w:hAnsi="Aptos"/>
                <w:b w:val="0"/>
                <w:sz w:val="16"/>
              </w:rPr>
              <w:t>Organizational pressure never makes falsification acceptable; protect the record, client, and authorized escalation path.</w:t>
            </w:r>
          </w:p>
        </w:tc>
      </w:tr>
      <w:tr>
        <w:tc>
          <w:tcPr>
            <w:tcW w:type="dxa" w:w="2376"/>
            <w:vAlign w:val="top"/>
          </w:tcPr>
          <w:p>
            <w:pPr>
              <w:spacing w:after="0"/>
            </w:pPr>
            <w:r/>
            <w:r>
              <w:rPr>
                <w:rFonts w:ascii="Aptos" w:hAnsi="Aptos"/>
                <w:b/>
                <w:sz w:val="16"/>
              </w:rPr>
              <w:t>Suspected Confidentiality Incident</w:t>
            </w:r>
          </w:p>
        </w:tc>
        <w:tc>
          <w:tcPr>
            <w:tcW w:type="dxa" w:w="5256"/>
            <w:vAlign w:val="top"/>
          </w:tcPr>
          <w:p>
            <w:pPr>
              <w:spacing w:after="0"/>
            </w:pPr>
            <w:r/>
            <w:r>
              <w:rPr>
                <w:rFonts w:ascii="Aptos" w:hAnsi="Aptos"/>
                <w:b w:val="0"/>
                <w:sz w:val="16"/>
              </w:rPr>
              <w:t>A suspected incident requires containment and structured assessment before a legally supported notification decision.</w:t>
            </w:r>
          </w:p>
        </w:tc>
        <w:tc>
          <w:tcPr>
            <w:tcW w:type="dxa" w:w="2520"/>
            <w:vAlign w:val="top"/>
          </w:tcPr>
          <w:p>
            <w:pPr>
              <w:spacing w:after="0"/>
            </w:pPr>
            <w:r/>
            <w:r>
              <w:rPr>
                <w:rFonts w:ascii="Aptos" w:hAnsi="Aptos"/>
                <w:b w:val="0"/>
                <w:sz w:val="16"/>
              </w:rPr>
              <w:t>Do not equate incident with confirmed reportable breach; contain, assess, preserve, consult, then notify as required.</w:t>
            </w:r>
          </w:p>
        </w:tc>
      </w:tr>
      <w:tr>
        <w:tc>
          <w:tcPr>
            <w:tcW w:type="dxa" w:w="2376"/>
            <w:vAlign w:val="top"/>
            <w:shd w:fill="F7F9FA"/>
          </w:tcPr>
          <w:p>
            <w:pPr>
              <w:spacing w:after="0"/>
            </w:pPr>
            <w:r/>
            <w:r>
              <w:rPr>
                <w:rFonts w:ascii="Aptos" w:hAnsi="Aptos"/>
                <w:b/>
                <w:sz w:val="16"/>
              </w:rPr>
              <w:t>Integrated Accountability Response</w:t>
            </w:r>
          </w:p>
        </w:tc>
        <w:tc>
          <w:tcPr>
            <w:tcW w:type="dxa" w:w="5256"/>
            <w:vAlign w:val="top"/>
            <w:shd w:fill="F7F9FA"/>
          </w:tcPr>
          <w:p>
            <w:pPr>
              <w:spacing w:after="0"/>
            </w:pPr>
            <w:r/>
            <w:r>
              <w:rPr>
                <w:rFonts w:ascii="Aptos" w:hAnsi="Aptos"/>
                <w:b w:val="0"/>
                <w:sz w:val="16"/>
              </w:rPr>
              <w:t>Promptly assess and protect the client, inform the supervisor with complete facts, preserve and correct the record transparently, determine required communication or reporting, document the response, and repair the workflow This integrates safety, supervision, record integrity, communication, documentation, and prevention in the proper sequence.</w:t>
            </w:r>
          </w:p>
        </w:tc>
        <w:tc>
          <w:tcPr>
            <w:tcW w:type="dxa" w:w="2520"/>
            <w:vAlign w:val="top"/>
            <w:shd w:fill="F7F9FA"/>
          </w:tcPr>
          <w:p>
            <w:pPr>
              <w:spacing w:after="0"/>
            </w:pPr>
            <w:r/>
            <w:r>
              <w:rPr>
                <w:rFonts w:ascii="Aptos" w:hAnsi="Aptos"/>
                <w:b w:val="0"/>
                <w:sz w:val="16"/>
              </w:rPr>
              <w:t>Integrated questions reward a coordinated sequence: protect, disclose material facts to oversight, correct honestly, apply duties, document, and prevent recurrence. Quality-Control Matrix Question Difficulty Type Key Primary concept</w:t>
            </w:r>
          </w:p>
        </w:tc>
      </w:tr>
    </w:tbl>
    <w:p>
      <w:pPr>
        <w:pStyle w:val="Heading2"/>
      </w:pPr>
      <w:r>
        <w:t>Exam Reasoning Checklist</w:t>
      </w:r>
    </w:p>
    <w:p>
      <w:pPr>
        <w:pStyle w:val="ListBullet"/>
        <w:spacing w:after="30"/>
      </w:pPr>
      <w:r>
        <w:t>Responsibility concerns applicable duties—not perfection, preference, or transfer of judgment.</w:t>
      </w:r>
    </w:p>
    <w:p>
      <w:pPr>
        <w:pStyle w:val="ListBullet"/>
        <w:spacing w:after="30"/>
      </w:pPr>
      <w:r>
        <w:t>Choose truthful, proportionate action—not self-punishment, concealment, or indiscriminate reporting.</w:t>
      </w:r>
    </w:p>
    <w:p>
      <w:pPr>
        <w:pStyle w:val="ListBullet"/>
        <w:spacing w:after="30"/>
      </w:pPr>
      <w:r>
        <w:t>When harm may be continuing, protect first; analyze blame and prevention afterward.</w:t>
      </w:r>
    </w:p>
    <w:p>
      <w:pPr>
        <w:pStyle w:val="ListBullet"/>
        <w:spacing w:after="30"/>
      </w:pPr>
      <w:r>
        <w:t>Separate immediate client protection from later remediation; both matter, but safety comes first.</w:t>
      </w:r>
    </w:p>
    <w:p>
      <w:pPr>
        <w:pStyle w:val="ListBullet"/>
        <w:spacing w:after="30"/>
      </w:pPr>
      <w:r>
        <w:t>A late correction should improve accuracy while showing honestly when and how it was made.</w:t>
      </w:r>
    </w:p>
    <w:p>
      <w:pPr>
        <w:pStyle w:val="ListBullet"/>
        <w:spacing w:after="30"/>
      </w:pPr>
      <w:r>
        <w:t>Credible feedback calls for clarification, impact assessment, correction, and follow-through—not defensiveness or reflexive overcorrection.</w:t>
      </w:r>
    </w:p>
    <w:p>
      <w:pPr>
        <w:pStyle w:val="ListBullet"/>
        <w:spacing w:after="30"/>
      </w:pPr>
      <w:r>
        <w:t>A supervisee should restore effective oversight by disclosing material facts and addressing the client impact.</w:t>
      </w:r>
    </w:p>
    <w:p>
      <w:pPr>
        <w:pStyle w:val="ListBullet"/>
        <w:spacing w:after="30"/>
      </w:pPr>
      <w:r>
        <w:t>Treat billing data as consequential information: verify, correct through proper channels, address impact, and confirm completion.</w:t>
      </w:r>
    </w:p>
    <w:p>
      <w:pPr>
        <w:pStyle w:val="Heading2"/>
      </w:pPr>
      <w:r>
        <w:t>Chapter Rapid Review</w:t>
      </w:r>
    </w:p>
    <w:p>
      <w:r>
        <w:rPr>
          <w:b/>
        </w:rPr>
        <w:t xml:space="preserve">Know these concepts: </w:t>
      </w:r>
      <w:r>
        <w:t>Professional Responsibility; Meaning of Accountability; First Priority After Error; Missed Safety Follow-Up; Late Entry and Correction; Responding to Client Feedback; Supervisee Disclosure; Billing and Diagnostic Error; Colleague Conduct; System Failure; Client Error Disclosure; Instruction to Falsify; Suspected Confidentiality Incident; Integrated Accountability Response</w:t>
      </w:r>
    </w:p>
    <w:p>
      <w:r>
        <w:br w:type="page"/>
      </w:r>
    </w:p>
    <w:p>
      <w:pPr>
        <w:pStyle w:val="Heading2"/>
      </w:pPr>
      <w:r>
        <w:t>Chapter 5</w:t>
      </w:r>
    </w:p>
    <w:p>
      <w:pPr>
        <w:pStyle w:val="Heading1"/>
      </w:pPr>
      <w:r>
        <w:t>Professional Judgment and Ethical Decision-Making</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BIG IDEA | Sound judgment integrates relevant sources through a reasoned process. Professional judgment begins with the controlling authority and then addresses implementation.</w:t>
            </w:r>
          </w:p>
        </w:tc>
      </w:tr>
    </w:tbl>
    <w:p>
      <w:pPr>
        <w:pStyle w:val="Heading2"/>
      </w:pPr>
      <w:r>
        <w:t>What to Learn</w:t>
      </w:r>
    </w:p>
    <w:p>
      <w:pPr>
        <w:pStyle w:val="ListBullet"/>
        <w:spacing w:after="30"/>
      </w:pPr>
      <w:r>
        <w:t>Explain and apply Meaning of Professional Judgment.</w:t>
      </w:r>
    </w:p>
    <w:p>
      <w:pPr>
        <w:pStyle w:val="ListBullet"/>
        <w:spacing w:after="30"/>
      </w:pPr>
      <w:r>
        <w:t>Explain and apply Legal Priority.</w:t>
      </w:r>
    </w:p>
    <w:p>
      <w:pPr>
        <w:pStyle w:val="ListBullet"/>
        <w:spacing w:after="30"/>
      </w:pPr>
      <w:r>
        <w:t>Explain and apply Facts and Assumptions.</w:t>
      </w:r>
    </w:p>
    <w:p>
      <w:pPr>
        <w:pStyle w:val="ListBullet"/>
        <w:spacing w:after="30"/>
      </w:pPr>
      <w:r>
        <w:t>Explain and apply Urgency.</w:t>
      </w:r>
    </w:p>
    <w:p>
      <w:pPr>
        <w:pStyle w:val="ListBullet"/>
        <w:spacing w:after="30"/>
      </w:pPr>
      <w:r>
        <w:t>Explain and apply Consultation.</w:t>
      </w:r>
    </w:p>
    <w:p>
      <w:pPr>
        <w:pStyle w:val="ListBullet"/>
        <w:spacing w:after="30"/>
      </w:pPr>
      <w:r>
        <w:t>Explain and apply Clarifying Conflicting Information.</w:t>
      </w:r>
    </w:p>
    <w:p>
      <w:pPr>
        <w:pStyle w:val="ListBullet"/>
        <w:spacing w:after="30"/>
      </w:pPr>
      <w:r>
        <w:t>Explain and apply Client Preference and Risk.</w:t>
      </w:r>
    </w:p>
    <w:p>
      <w:pPr>
        <w:pStyle w:val="Heading2"/>
      </w:pPr>
      <w:r>
        <w:t>Core Study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76"/>
            <w:vAlign w:val="top"/>
            <w:shd w:fill="17365D"/>
          </w:tcPr>
          <w:p>
            <w:pPr>
              <w:spacing w:after="0"/>
            </w:pPr>
            <w:r/>
            <w:r>
              <w:rPr>
                <w:rFonts w:ascii="Aptos" w:hAnsi="Aptos"/>
                <w:b/>
                <w:color w:val="FFFFFF"/>
                <w:sz w:val="17"/>
              </w:rPr>
              <w:t>Concept</w:t>
            </w:r>
          </w:p>
        </w:tc>
        <w:tc>
          <w:tcPr>
            <w:tcW w:type="dxa" w:w="5256"/>
            <w:vAlign w:val="top"/>
            <w:shd w:fill="17365D"/>
          </w:tcPr>
          <w:p>
            <w:pPr>
              <w:spacing w:after="0"/>
            </w:pPr>
            <w:r/>
            <w:r>
              <w:rPr>
                <w:rFonts w:ascii="Aptos" w:hAnsi="Aptos"/>
                <w:b/>
                <w:color w:val="FFFFFF"/>
                <w:sz w:val="17"/>
              </w:rPr>
              <w:t>Controlling Study Rule</w:t>
            </w:r>
          </w:p>
        </w:tc>
        <w:tc>
          <w:tcPr>
            <w:tcW w:type="dxa" w:w="2520"/>
            <w:vAlign w:val="top"/>
            <w:shd w:fill="17365D"/>
          </w:tcPr>
          <w:p>
            <w:pPr>
              <w:spacing w:after="0"/>
            </w:pPr>
            <w:r/>
            <w:r>
              <w:rPr>
                <w:rFonts w:ascii="Aptos" w:hAnsi="Aptos"/>
                <w:b/>
                <w:color w:val="FFFFFF"/>
                <w:sz w:val="17"/>
              </w:rPr>
              <w:t>Memory Cue</w:t>
            </w:r>
          </w:p>
        </w:tc>
      </w:tr>
      <w:tr>
        <w:tc>
          <w:tcPr>
            <w:tcW w:type="dxa" w:w="2376"/>
            <w:vAlign w:val="top"/>
          </w:tcPr>
          <w:p>
            <w:pPr>
              <w:spacing w:after="0"/>
            </w:pPr>
            <w:r/>
            <w:r>
              <w:rPr>
                <w:rFonts w:ascii="Aptos" w:hAnsi="Aptos"/>
                <w:b/>
                <w:sz w:val="16"/>
              </w:rPr>
              <w:t>Meaning of Professional Judgment</w:t>
            </w:r>
          </w:p>
        </w:tc>
        <w:tc>
          <w:tcPr>
            <w:tcW w:type="dxa" w:w="5256"/>
            <w:vAlign w:val="top"/>
          </w:tcPr>
          <w:p>
            <w:pPr>
              <w:spacing w:after="0"/>
            </w:pPr>
            <w:r/>
            <w:r>
              <w:rPr>
                <w:rFonts w:ascii="Aptos" w:hAnsi="Aptos"/>
                <w:b w:val="0"/>
                <w:sz w:val="16"/>
              </w:rPr>
              <w:t>Sound judgment integrates relevant sources through a reasoned process.</w:t>
            </w:r>
          </w:p>
        </w:tc>
        <w:tc>
          <w:tcPr>
            <w:tcW w:type="dxa" w:w="2520"/>
            <w:vAlign w:val="top"/>
          </w:tcPr>
          <w:p>
            <w:pPr>
              <w:spacing w:after="0"/>
            </w:pPr>
            <w:r/>
            <w:r>
              <w:rPr>
                <w:rFonts w:ascii="Aptos" w:hAnsi="Aptos"/>
                <w:b w:val="0"/>
                <w:sz w:val="16"/>
              </w:rPr>
              <w:t>Choose an integrated, reviewable process—not instinct, popularity, or guaranteed success.</w:t>
            </w:r>
          </w:p>
        </w:tc>
      </w:tr>
      <w:tr>
        <w:tc>
          <w:tcPr>
            <w:tcW w:type="dxa" w:w="2376"/>
            <w:vAlign w:val="top"/>
            <w:shd w:fill="F7F9FA"/>
          </w:tcPr>
          <w:p>
            <w:pPr>
              <w:spacing w:after="0"/>
            </w:pPr>
            <w:r/>
            <w:r>
              <w:rPr>
                <w:rFonts w:ascii="Aptos" w:hAnsi="Aptos"/>
                <w:b/>
                <w:sz w:val="16"/>
              </w:rPr>
              <w:t>Legal Priority</w:t>
            </w:r>
          </w:p>
        </w:tc>
        <w:tc>
          <w:tcPr>
            <w:tcW w:type="dxa" w:w="5256"/>
            <w:vAlign w:val="top"/>
            <w:shd w:fill="F7F9FA"/>
          </w:tcPr>
          <w:p>
            <w:pPr>
              <w:spacing w:after="0"/>
            </w:pPr>
            <w:r/>
            <w:r>
              <w:rPr>
                <w:rFonts w:ascii="Aptos" w:hAnsi="Aptos"/>
                <w:b w:val="0"/>
                <w:sz w:val="16"/>
              </w:rPr>
              <w:t>Professional judgment begins with the controlling authority and then addresses implementation.</w:t>
            </w:r>
          </w:p>
        </w:tc>
        <w:tc>
          <w:tcPr>
            <w:tcW w:type="dxa" w:w="2520"/>
            <w:vAlign w:val="top"/>
            <w:shd w:fill="F7F9FA"/>
          </w:tcPr>
          <w:p>
            <w:pPr>
              <w:spacing w:after="0"/>
            </w:pPr>
            <w:r/>
            <w:r>
              <w:rPr>
                <w:rFonts w:ascii="Aptos" w:hAnsi="Aptos"/>
                <w:b w:val="0"/>
                <w:sz w:val="16"/>
              </w:rPr>
              <w:t>Apply the legal rule first; exercise discretion only where the rule permits it.</w:t>
            </w:r>
          </w:p>
        </w:tc>
      </w:tr>
      <w:tr>
        <w:tc>
          <w:tcPr>
            <w:tcW w:type="dxa" w:w="2376"/>
            <w:vAlign w:val="top"/>
          </w:tcPr>
          <w:p>
            <w:pPr>
              <w:spacing w:after="0"/>
            </w:pPr>
            <w:r/>
            <w:r>
              <w:rPr>
                <w:rFonts w:ascii="Aptos" w:hAnsi="Aptos"/>
                <w:b/>
                <w:sz w:val="16"/>
              </w:rPr>
              <w:t>Facts and Assumptions</w:t>
            </w:r>
          </w:p>
        </w:tc>
        <w:tc>
          <w:tcPr>
            <w:tcW w:type="dxa" w:w="5256"/>
            <w:vAlign w:val="top"/>
          </w:tcPr>
          <w:p>
            <w:pPr>
              <w:spacing w:after="0"/>
            </w:pPr>
            <w:r/>
            <w:r>
              <w:rPr>
                <w:rFonts w:ascii="Aptos" w:hAnsi="Aptos"/>
                <w:b w:val="0"/>
                <w:sz w:val="16"/>
              </w:rPr>
              <w:t>The conclusion converts a therapist reaction into an unsupported trait judgment.</w:t>
            </w:r>
          </w:p>
        </w:tc>
        <w:tc>
          <w:tcPr>
            <w:tcW w:type="dxa" w:w="2520"/>
            <w:vAlign w:val="top"/>
          </w:tcPr>
          <w:p>
            <w:pPr>
              <w:spacing w:after="0"/>
            </w:pPr>
            <w:r/>
            <w:r>
              <w:rPr>
                <w:rFonts w:ascii="Aptos" w:hAnsi="Aptos"/>
                <w:b w:val="0"/>
                <w:sz w:val="16"/>
              </w:rPr>
              <w:t>Label sources and observations accurately; do not convert feelings or interpretations into facts.</w:t>
            </w:r>
          </w:p>
        </w:tc>
      </w:tr>
      <w:tr>
        <w:tc>
          <w:tcPr>
            <w:tcW w:type="dxa" w:w="2376"/>
            <w:vAlign w:val="top"/>
            <w:shd w:fill="F7F9FA"/>
          </w:tcPr>
          <w:p>
            <w:pPr>
              <w:spacing w:after="0"/>
            </w:pPr>
            <w:r/>
            <w:r>
              <w:rPr>
                <w:rFonts w:ascii="Aptos" w:hAnsi="Aptos"/>
                <w:b/>
                <w:sz w:val="16"/>
              </w:rPr>
              <w:t>Urgency</w:t>
            </w:r>
          </w:p>
        </w:tc>
        <w:tc>
          <w:tcPr>
            <w:tcW w:type="dxa" w:w="5256"/>
            <w:vAlign w:val="top"/>
            <w:shd w:fill="F7F9FA"/>
          </w:tcPr>
          <w:p>
            <w:pPr>
              <w:spacing w:after="0"/>
            </w:pPr>
            <w:r/>
            <w:r>
              <w:rPr>
                <w:rFonts w:ascii="Aptos" w:hAnsi="Aptos"/>
                <w:b w:val="0"/>
                <w:sz w:val="16"/>
              </w:rPr>
              <w:t>Gather enough relevant information for the risk and timing, while taking necessary protective action when delay would increase harm This calibrates information gathering to urgency and client protection.</w:t>
            </w:r>
          </w:p>
        </w:tc>
        <w:tc>
          <w:tcPr>
            <w:tcW w:type="dxa" w:w="2520"/>
            <w:vAlign w:val="top"/>
            <w:shd w:fill="F7F9FA"/>
          </w:tcPr>
          <w:p>
            <w:pPr>
              <w:spacing w:after="0"/>
            </w:pPr>
            <w:r/>
            <w:r>
              <w:rPr>
                <w:rFonts w:ascii="Aptos" w:hAnsi="Aptos"/>
                <w:b w:val="0"/>
                <w:sz w:val="16"/>
              </w:rPr>
              <w:t>Match the amount of assessment to urgency; neither paralysis nor reflexive escalation is sound judgment.</w:t>
            </w:r>
          </w:p>
        </w:tc>
      </w:tr>
      <w:tr>
        <w:tc>
          <w:tcPr>
            <w:tcW w:type="dxa" w:w="2376"/>
            <w:vAlign w:val="top"/>
          </w:tcPr>
          <w:p>
            <w:pPr>
              <w:spacing w:after="0"/>
            </w:pPr>
            <w:r/>
            <w:r>
              <w:rPr>
                <w:rFonts w:ascii="Aptos" w:hAnsi="Aptos"/>
                <w:b/>
                <w:sz w:val="16"/>
              </w:rPr>
              <w:t>Consultation</w:t>
            </w:r>
          </w:p>
        </w:tc>
        <w:tc>
          <w:tcPr>
            <w:tcW w:type="dxa" w:w="5256"/>
            <w:vAlign w:val="top"/>
          </w:tcPr>
          <w:p>
            <w:pPr>
              <w:spacing w:after="0"/>
            </w:pPr>
            <w:r/>
            <w:r>
              <w:rPr>
                <w:rFonts w:ascii="Aptos" w:hAnsi="Aptos"/>
                <w:b w:val="0"/>
                <w:sz w:val="16"/>
              </w:rPr>
              <w:t>Consultation strengthens but does not replace judgment.</w:t>
            </w:r>
          </w:p>
        </w:tc>
        <w:tc>
          <w:tcPr>
            <w:tcW w:type="dxa" w:w="2520"/>
            <w:vAlign w:val="top"/>
          </w:tcPr>
          <w:p>
            <w:pPr>
              <w:spacing w:after="0"/>
            </w:pPr>
            <w:r/>
            <w:r>
              <w:rPr>
                <w:rFonts w:ascii="Aptos" w:hAnsi="Aptos"/>
                <w:b w:val="0"/>
                <w:sz w:val="16"/>
              </w:rPr>
              <w:t>Consultation informs; it does not authorize, immunize, or transfer responsibility.</w:t>
            </w:r>
          </w:p>
        </w:tc>
      </w:tr>
      <w:tr>
        <w:tc>
          <w:tcPr>
            <w:tcW w:type="dxa" w:w="2376"/>
            <w:vAlign w:val="top"/>
            <w:shd w:fill="F7F9FA"/>
          </w:tcPr>
          <w:p>
            <w:pPr>
              <w:spacing w:after="0"/>
            </w:pPr>
            <w:r/>
            <w:r>
              <w:rPr>
                <w:rFonts w:ascii="Aptos" w:hAnsi="Aptos"/>
                <w:b/>
                <w:sz w:val="16"/>
              </w:rPr>
              <w:t>Clarifying Conflicting Information</w:t>
            </w:r>
          </w:p>
        </w:tc>
        <w:tc>
          <w:tcPr>
            <w:tcW w:type="dxa" w:w="5256"/>
            <w:vAlign w:val="top"/>
            <w:shd w:fill="F7F9FA"/>
          </w:tcPr>
          <w:p>
            <w:pPr>
              <w:spacing w:after="0"/>
            </w:pPr>
            <w:r/>
            <w:r>
              <w:rPr>
                <w:rFonts w:ascii="Aptos" w:hAnsi="Aptos"/>
                <w:b w:val="0"/>
                <w:sz w:val="16"/>
              </w:rPr>
              <w:t>Nonurgent conflicting information calls for focused fact gathering before major action.</w:t>
            </w:r>
          </w:p>
        </w:tc>
        <w:tc>
          <w:tcPr>
            <w:tcW w:type="dxa" w:w="2520"/>
            <w:vAlign w:val="top"/>
            <w:shd w:fill="F7F9FA"/>
          </w:tcPr>
          <w:p>
            <w:pPr>
              <w:spacing w:after="0"/>
            </w:pPr>
            <w:r/>
            <w:r>
              <w:rPr>
                <w:rFonts w:ascii="Aptos" w:hAnsi="Aptos"/>
                <w:b w:val="0"/>
                <w:sz w:val="16"/>
              </w:rPr>
              <w:t>When risk is not urgent, resolve material factual conflicts before labeling or acting.</w:t>
            </w:r>
          </w:p>
        </w:tc>
      </w:tr>
      <w:tr>
        <w:tc>
          <w:tcPr>
            <w:tcW w:type="dxa" w:w="2376"/>
            <w:vAlign w:val="top"/>
          </w:tcPr>
          <w:p>
            <w:pPr>
              <w:spacing w:after="0"/>
            </w:pPr>
            <w:r/>
            <w:r>
              <w:rPr>
                <w:rFonts w:ascii="Aptos" w:hAnsi="Aptos"/>
                <w:b/>
                <w:sz w:val="16"/>
              </w:rPr>
              <w:t>Client Preference and Risk</w:t>
            </w:r>
          </w:p>
        </w:tc>
        <w:tc>
          <w:tcPr>
            <w:tcW w:type="dxa" w:w="5256"/>
            <w:vAlign w:val="top"/>
          </w:tcPr>
          <w:p>
            <w:pPr>
              <w:spacing w:after="0"/>
            </w:pPr>
            <w:r/>
            <w:r>
              <w:rPr>
                <w:rFonts w:ascii="Aptos" w:hAnsi="Aptos"/>
                <w:b w:val="0"/>
                <w:sz w:val="16"/>
              </w:rPr>
              <w:t>Discuss comparative benefits, risks, and monitoring, then respect the informed reasonable choice This integrates informed participation and ongoing professional monitoring.</w:t>
            </w:r>
          </w:p>
        </w:tc>
        <w:tc>
          <w:tcPr>
            <w:tcW w:type="dxa" w:w="2520"/>
            <w:vAlign w:val="top"/>
          </w:tcPr>
          <w:p>
            <w:pPr>
              <w:spacing w:after="0"/>
            </w:pPr>
            <w:r/>
            <w:r>
              <w:rPr>
                <w:rFonts w:ascii="Aptos" w:hAnsi="Aptos"/>
                <w:b w:val="0"/>
                <w:sz w:val="16"/>
              </w:rPr>
              <w:t>When options are reasonable, support informed choice rather than control, passivity, or withdrawal.</w:t>
            </w:r>
          </w:p>
        </w:tc>
      </w:tr>
      <w:tr>
        <w:tc>
          <w:tcPr>
            <w:tcW w:type="dxa" w:w="2376"/>
            <w:vAlign w:val="top"/>
            <w:shd w:fill="F7F9FA"/>
          </w:tcPr>
          <w:p>
            <w:pPr>
              <w:spacing w:after="0"/>
            </w:pPr>
            <w:r/>
            <w:r>
              <w:rPr>
                <w:rFonts w:ascii="Aptos" w:hAnsi="Aptos"/>
                <w:b/>
                <w:sz w:val="16"/>
              </w:rPr>
              <w:t>Organizational Policy Conflict</w:t>
            </w:r>
          </w:p>
        </w:tc>
        <w:tc>
          <w:tcPr>
            <w:tcW w:type="dxa" w:w="5256"/>
            <w:vAlign w:val="top"/>
            <w:shd w:fill="F7F9FA"/>
          </w:tcPr>
          <w:p>
            <w:pPr>
              <w:spacing w:after="0"/>
            </w:pPr>
            <w:r/>
            <w:r>
              <w:rPr>
                <w:rFonts w:ascii="Aptos" w:hAnsi="Aptos"/>
                <w:b w:val="0"/>
                <w:sz w:val="16"/>
              </w:rPr>
              <w:t>Verify the governing requirement, raise the discrepancy through appropriate channels, protect affected clients, and document relevant action This combines authority verification, organizational response, client protection, and documentation.</w:t>
            </w:r>
          </w:p>
        </w:tc>
        <w:tc>
          <w:tcPr>
            <w:tcW w:type="dxa" w:w="2520"/>
            <w:vAlign w:val="top"/>
            <w:shd w:fill="F7F9FA"/>
          </w:tcPr>
          <w:p>
            <w:pPr>
              <w:spacing w:after="0"/>
            </w:pPr>
            <w:r/>
            <w:r>
              <w:rPr>
                <w:rFonts w:ascii="Aptos" w:hAnsi="Aptos"/>
                <w:b w:val="0"/>
                <w:sz w:val="16"/>
              </w:rPr>
              <w:t>When policy conflicts with duty, verify, escalate appropriately, protect clients, and preserve continuity.</w:t>
            </w:r>
          </w:p>
        </w:tc>
      </w:tr>
      <w:tr>
        <w:tc>
          <w:tcPr>
            <w:tcW w:type="dxa" w:w="2376"/>
            <w:vAlign w:val="top"/>
          </w:tcPr>
          <w:p>
            <w:pPr>
              <w:spacing w:after="0"/>
            </w:pPr>
            <w:r/>
            <w:r>
              <w:rPr>
                <w:rFonts w:ascii="Aptos" w:hAnsi="Aptos"/>
                <w:b/>
                <w:sz w:val="16"/>
              </w:rPr>
              <w:t>Bias Check</w:t>
            </w:r>
          </w:p>
        </w:tc>
        <w:tc>
          <w:tcPr>
            <w:tcW w:type="dxa" w:w="5256"/>
            <w:vAlign w:val="top"/>
          </w:tcPr>
          <w:p>
            <w:pPr>
              <w:spacing w:after="0"/>
            </w:pPr>
            <w:r/>
            <w:r>
              <w:rPr>
                <w:rFonts w:ascii="Aptos" w:hAnsi="Aptos"/>
                <w:b w:val="0"/>
                <w:sz w:val="16"/>
              </w:rPr>
              <w:t>Selective attention to confirming evidence can obscure treatment mismatch and calls for reassessment.</w:t>
            </w:r>
          </w:p>
        </w:tc>
        <w:tc>
          <w:tcPr>
            <w:tcW w:type="dxa" w:w="2520"/>
            <w:vAlign w:val="top"/>
          </w:tcPr>
          <w:p>
            <w:pPr>
              <w:spacing w:after="0"/>
            </w:pPr>
            <w:r/>
            <w:r>
              <w:rPr>
                <w:rFonts w:ascii="Aptos" w:hAnsi="Aptos"/>
                <w:b w:val="0"/>
                <w:sz w:val="16"/>
              </w:rPr>
              <w:t>Look for the reasoning distortion, then return to outcome data and alternative explanations.</w:t>
            </w:r>
          </w:p>
        </w:tc>
      </w:tr>
      <w:tr>
        <w:tc>
          <w:tcPr>
            <w:tcW w:type="dxa" w:w="2376"/>
            <w:vAlign w:val="top"/>
            <w:shd w:fill="F7F9FA"/>
          </w:tcPr>
          <w:p>
            <w:pPr>
              <w:spacing w:after="0"/>
            </w:pPr>
            <w:r/>
            <w:r>
              <w:rPr>
                <w:rFonts w:ascii="Aptos" w:hAnsi="Aptos"/>
                <w:b/>
                <w:sz w:val="16"/>
              </w:rPr>
              <w:t>Proportionality</w:t>
            </w:r>
          </w:p>
        </w:tc>
        <w:tc>
          <w:tcPr>
            <w:tcW w:type="dxa" w:w="5256"/>
            <w:vAlign w:val="top"/>
            <w:shd w:fill="F7F9FA"/>
          </w:tcPr>
          <w:p>
            <w:pPr>
              <w:spacing w:after="0"/>
            </w:pPr>
            <w:r/>
            <w:r>
              <w:rPr>
                <w:rFonts w:ascii="Aptos" w:hAnsi="Aptos"/>
                <w:b w:val="0"/>
                <w:sz w:val="16"/>
              </w:rPr>
              <w:t>When protection is equivalent, unnecessary intrusion should be avoided.</w:t>
            </w:r>
          </w:p>
        </w:tc>
        <w:tc>
          <w:tcPr>
            <w:tcW w:type="dxa" w:w="2520"/>
            <w:vAlign w:val="top"/>
            <w:shd w:fill="F7F9FA"/>
          </w:tcPr>
          <w:p>
            <w:pPr>
              <w:spacing w:after="0"/>
            </w:pPr>
            <w:r/>
            <w:r>
              <w:rPr>
                <w:rFonts w:ascii="Aptos" w:hAnsi="Aptos"/>
                <w:b w:val="0"/>
                <w:sz w:val="16"/>
              </w:rPr>
              <w:t>Prefer the least intrusive effective response, not the least action regardless of risk.</w:t>
            </w:r>
          </w:p>
        </w:tc>
      </w:tr>
      <w:tr>
        <w:tc>
          <w:tcPr>
            <w:tcW w:type="dxa" w:w="2376"/>
            <w:vAlign w:val="top"/>
          </w:tcPr>
          <w:p>
            <w:pPr>
              <w:spacing w:after="0"/>
            </w:pPr>
            <w:r/>
            <w:r>
              <w:rPr>
                <w:rFonts w:ascii="Aptos" w:hAnsi="Aptos"/>
                <w:b/>
                <w:sz w:val="16"/>
              </w:rPr>
              <w:t>Supporting Client Decisions</w:t>
            </w:r>
          </w:p>
        </w:tc>
        <w:tc>
          <w:tcPr>
            <w:tcW w:type="dxa" w:w="5256"/>
            <w:vAlign w:val="top"/>
          </w:tcPr>
          <w:p>
            <w:pPr>
              <w:spacing w:after="0"/>
            </w:pPr>
            <w:r/>
            <w:r>
              <w:rPr>
                <w:rFonts w:ascii="Aptos" w:hAnsi="Aptos"/>
                <w:b w:val="0"/>
                <w:sz w:val="16"/>
              </w:rPr>
              <w:t>Help the client clarify values, goals, options, and consequences while avoiding unnecessary substitution of therapist judgment This supports autonomy and decision-making capacity without abandoning therapeutic assistance.</w:t>
            </w:r>
          </w:p>
        </w:tc>
        <w:tc>
          <w:tcPr>
            <w:tcW w:type="dxa" w:w="2520"/>
            <w:vAlign w:val="top"/>
          </w:tcPr>
          <w:p>
            <w:pPr>
              <w:spacing w:after="0"/>
            </w:pPr>
            <w:r/>
            <w:r>
              <w:rPr>
                <w:rFonts w:ascii="Aptos" w:hAnsi="Aptos"/>
                <w:b w:val="0"/>
                <w:sz w:val="16"/>
              </w:rPr>
              <w:t>Support the process of client choice without taking ownership of the client’s decision.</w:t>
            </w:r>
          </w:p>
        </w:tc>
      </w:tr>
      <w:tr>
        <w:tc>
          <w:tcPr>
            <w:tcW w:type="dxa" w:w="2376"/>
            <w:vAlign w:val="top"/>
            <w:shd w:fill="F7F9FA"/>
          </w:tcPr>
          <w:p>
            <w:pPr>
              <w:spacing w:after="0"/>
            </w:pPr>
            <w:r/>
            <w:r>
              <w:rPr>
                <w:rFonts w:ascii="Aptos" w:hAnsi="Aptos"/>
                <w:b/>
                <w:sz w:val="16"/>
              </w:rPr>
              <w:t>Documentation of Judgment</w:t>
            </w:r>
          </w:p>
        </w:tc>
        <w:tc>
          <w:tcPr>
            <w:tcW w:type="dxa" w:w="5256"/>
            <w:vAlign w:val="top"/>
            <w:shd w:fill="F7F9FA"/>
          </w:tcPr>
          <w:p>
            <w:pPr>
              <w:spacing w:after="0"/>
            </w:pPr>
            <w:r/>
            <w:r>
              <w:rPr>
                <w:rFonts w:ascii="Aptos" w:hAnsi="Aptos"/>
                <w:b w:val="0"/>
                <w:sz w:val="16"/>
              </w:rPr>
              <w:t>Relevant facts, assessment, client participation, standards considered, consultation, rationale, action, and follow-up as appropriate This creates a clinically meaningful and proportionate record of the decision.</w:t>
            </w:r>
          </w:p>
        </w:tc>
        <w:tc>
          <w:tcPr>
            <w:tcW w:type="dxa" w:w="2520"/>
            <w:vAlign w:val="top"/>
            <w:shd w:fill="F7F9FA"/>
          </w:tcPr>
          <w:p>
            <w:pPr>
              <w:spacing w:after="0"/>
            </w:pPr>
            <w:r/>
            <w:r>
              <w:rPr>
                <w:rFonts w:ascii="Aptos" w:hAnsi="Aptos"/>
                <w:b w:val="0"/>
                <w:sz w:val="16"/>
              </w:rPr>
              <w:t>Document the significant facts and reasoning needed for care, not vague conclusions or every internal thought.</w:t>
            </w:r>
          </w:p>
        </w:tc>
      </w:tr>
      <w:tr>
        <w:tc>
          <w:tcPr>
            <w:tcW w:type="dxa" w:w="2376"/>
            <w:vAlign w:val="top"/>
          </w:tcPr>
          <w:p>
            <w:pPr>
              <w:spacing w:after="0"/>
            </w:pPr>
            <w:r/>
            <w:r>
              <w:rPr>
                <w:rFonts w:ascii="Aptos" w:hAnsi="Aptos"/>
                <w:b/>
                <w:sz w:val="16"/>
              </w:rPr>
              <w:t>Urgent Incomplete Information</w:t>
            </w:r>
          </w:p>
        </w:tc>
        <w:tc>
          <w:tcPr>
            <w:tcW w:type="dxa" w:w="5256"/>
            <w:vAlign w:val="top"/>
          </w:tcPr>
          <w:p>
            <w:pPr>
              <w:spacing w:after="0"/>
            </w:pPr>
            <w:r/>
            <w:r>
              <w:rPr>
                <w:rFonts w:ascii="Aptos" w:hAnsi="Aptos"/>
                <w:b w:val="0"/>
                <w:sz w:val="16"/>
              </w:rPr>
              <w:t>Urgent credible risk calls for timely assessment and protection based on information reasonably available.</w:t>
            </w:r>
          </w:p>
        </w:tc>
        <w:tc>
          <w:tcPr>
            <w:tcW w:type="dxa" w:w="2520"/>
            <w:vAlign w:val="top"/>
          </w:tcPr>
          <w:p>
            <w:pPr>
              <w:spacing w:after="0"/>
            </w:pPr>
            <w:r/>
            <w:r>
              <w:rPr>
                <w:rFonts w:ascii="Aptos" w:hAnsi="Aptos"/>
                <w:b w:val="0"/>
                <w:sz w:val="16"/>
              </w:rPr>
              <w:t>Urgency changes timing, not the need for proportionate fact-based action.</w:t>
            </w:r>
          </w:p>
        </w:tc>
      </w:tr>
      <w:tr>
        <w:tc>
          <w:tcPr>
            <w:tcW w:type="dxa" w:w="2376"/>
            <w:vAlign w:val="top"/>
            <w:shd w:fill="F7F9FA"/>
          </w:tcPr>
          <w:p>
            <w:pPr>
              <w:spacing w:after="0"/>
            </w:pPr>
            <w:r/>
            <w:r>
              <w:rPr>
                <w:rFonts w:ascii="Aptos" w:hAnsi="Aptos"/>
                <w:b/>
                <w:sz w:val="16"/>
              </w:rPr>
              <w:t>Outcome Bias</w:t>
            </w:r>
          </w:p>
        </w:tc>
        <w:tc>
          <w:tcPr>
            <w:tcW w:type="dxa" w:w="5256"/>
            <w:vAlign w:val="top"/>
            <w:shd w:fill="F7F9FA"/>
          </w:tcPr>
          <w:p>
            <w:pPr>
              <w:spacing w:after="0"/>
            </w:pPr>
            <w:r/>
            <w:r>
              <w:rPr>
                <w:rFonts w:ascii="Aptos" w:hAnsi="Aptos"/>
                <w:b w:val="0"/>
                <w:sz w:val="16"/>
              </w:rPr>
              <w:t>Evaluate the original reasoning using information reasonably available at the time, then respond appropriately to the new outcome This avoids hindsight bias while preserving the duty to reassess new information.</w:t>
            </w:r>
          </w:p>
        </w:tc>
        <w:tc>
          <w:tcPr>
            <w:tcW w:type="dxa" w:w="2520"/>
            <w:vAlign w:val="top"/>
            <w:shd w:fill="F7F9FA"/>
          </w:tcPr>
          <w:p>
            <w:pPr>
              <w:spacing w:after="0"/>
            </w:pPr>
            <w:r/>
            <w:r>
              <w:rPr>
                <w:rFonts w:ascii="Aptos" w:hAnsi="Aptos"/>
                <w:b w:val="0"/>
                <w:sz w:val="16"/>
              </w:rPr>
              <w:t>Judge the original process without hindsight, then treat the outcome as new information requiring response.</w:t>
            </w:r>
          </w:p>
        </w:tc>
      </w:tr>
      <w:tr>
        <w:tc>
          <w:tcPr>
            <w:tcW w:type="dxa" w:w="2376"/>
            <w:vAlign w:val="top"/>
          </w:tcPr>
          <w:p>
            <w:pPr>
              <w:spacing w:after="0"/>
            </w:pPr>
            <w:r/>
            <w:r>
              <w:rPr>
                <w:rFonts w:ascii="Aptos" w:hAnsi="Aptos"/>
                <w:b/>
                <w:sz w:val="16"/>
              </w:rPr>
              <w:t>Competing Duties</w:t>
            </w:r>
          </w:p>
        </w:tc>
        <w:tc>
          <w:tcPr>
            <w:tcW w:type="dxa" w:w="5256"/>
            <w:vAlign w:val="top"/>
          </w:tcPr>
          <w:p>
            <w:pPr>
              <w:spacing w:after="0"/>
            </w:pPr>
            <w:r/>
            <w:r>
              <w:rPr>
                <w:rFonts w:ascii="Aptos" w:hAnsi="Aptos"/>
                <w:b w:val="0"/>
                <w:sz w:val="16"/>
              </w:rPr>
              <w:t>Clarify facts and authority, assess seriousness, discuss options and consequences with the client, consult as needed, and use the least intrusive effective response This integrates fact gathering, authority, welfare, participation, consultation, and proportionality.</w:t>
            </w:r>
          </w:p>
        </w:tc>
        <w:tc>
          <w:tcPr>
            <w:tcW w:type="dxa" w:w="2520"/>
            <w:vAlign w:val="top"/>
          </w:tcPr>
          <w:p>
            <w:pPr>
              <w:spacing w:after="0"/>
            </w:pPr>
            <w:r/>
            <w:r>
              <w:rPr>
                <w:rFonts w:ascii="Aptos" w:hAnsi="Aptos"/>
                <w:b w:val="0"/>
                <w:sz w:val="16"/>
              </w:rPr>
              <w:t>When no automatic override applies, assess, involve the client, and choose a proportionate lawful response.</w:t>
            </w:r>
          </w:p>
        </w:tc>
      </w:tr>
      <w:tr>
        <w:tc>
          <w:tcPr>
            <w:tcW w:type="dxa" w:w="2376"/>
            <w:vAlign w:val="top"/>
            <w:shd w:fill="F7F9FA"/>
          </w:tcPr>
          <w:p>
            <w:pPr>
              <w:spacing w:after="0"/>
            </w:pPr>
            <w:r/>
            <w:r>
              <w:rPr>
                <w:rFonts w:ascii="Aptos" w:hAnsi="Aptos"/>
                <w:b/>
                <w:sz w:val="16"/>
              </w:rPr>
              <w:t>Integrated Ethical Decision-Making</w:t>
            </w:r>
          </w:p>
        </w:tc>
        <w:tc>
          <w:tcPr>
            <w:tcW w:type="dxa" w:w="5256"/>
            <w:vAlign w:val="top"/>
            <w:shd w:fill="F7F9FA"/>
          </w:tcPr>
          <w:p>
            <w:pPr>
              <w:spacing w:after="0"/>
            </w:pPr>
            <w:r/>
            <w:r>
              <w:rPr>
                <w:rFonts w:ascii="Aptos" w:hAnsi="Aptos"/>
                <w:b w:val="0"/>
                <w:sz w:val="16"/>
              </w:rPr>
              <w:t>Address urgent safety, clarify facts, identify governing standards, examine bias, include the client, consult appropriately, compare proportionate options, act, document, and reevaluate This integrates the complete structured process while preserving urgency and accountability.</w:t>
            </w:r>
          </w:p>
        </w:tc>
        <w:tc>
          <w:tcPr>
            <w:tcW w:type="dxa" w:w="2520"/>
            <w:vAlign w:val="top"/>
            <w:shd w:fill="F7F9FA"/>
          </w:tcPr>
          <w:p>
            <w:pPr>
              <w:spacing w:after="0"/>
            </w:pPr>
            <w:r/>
            <w:r>
              <w:rPr>
                <w:rFonts w:ascii="Aptos" w:hAnsi="Aptos"/>
                <w:b w:val="0"/>
                <w:sz w:val="16"/>
              </w:rPr>
              <w:t>Integrated questions reward a lawful, client-specific, bias-aware process that moves from urgency to action and follow-up. Quality-Control Matrix Question Difficulty Type Key Primary concept</w:t>
            </w:r>
          </w:p>
        </w:tc>
      </w:tr>
    </w:tbl>
    <w:p>
      <w:pPr>
        <w:pStyle w:val="Heading2"/>
      </w:pPr>
      <w:r>
        <w:t>Exam Reasoning Checklist</w:t>
      </w:r>
    </w:p>
    <w:p>
      <w:pPr>
        <w:pStyle w:val="ListBullet"/>
        <w:spacing w:after="30"/>
      </w:pPr>
      <w:r>
        <w:t>Choose an integrated, reviewable process—not instinct, popularity, or guaranteed success.</w:t>
      </w:r>
    </w:p>
    <w:p>
      <w:pPr>
        <w:pStyle w:val="ListBullet"/>
        <w:spacing w:after="30"/>
      </w:pPr>
      <w:r>
        <w:t>Apply the legal rule first; exercise discretion only where the rule permits it.</w:t>
      </w:r>
    </w:p>
    <w:p>
      <w:pPr>
        <w:pStyle w:val="ListBullet"/>
        <w:spacing w:after="30"/>
      </w:pPr>
      <w:r>
        <w:t>Label sources and observations accurately; do not convert feelings or interpretations into facts.</w:t>
      </w:r>
    </w:p>
    <w:p>
      <w:pPr>
        <w:pStyle w:val="ListBullet"/>
        <w:spacing w:after="30"/>
      </w:pPr>
      <w:r>
        <w:t>Match the amount of assessment to urgency; neither paralysis nor reflexive escalation is sound judgment.</w:t>
      </w:r>
    </w:p>
    <w:p>
      <w:pPr>
        <w:pStyle w:val="ListBullet"/>
        <w:spacing w:after="30"/>
      </w:pPr>
      <w:r>
        <w:t>Consultation informs; it does not authorize, immunize, or transfer responsibility.</w:t>
      </w:r>
    </w:p>
    <w:p>
      <w:pPr>
        <w:pStyle w:val="ListBullet"/>
        <w:spacing w:after="30"/>
      </w:pPr>
      <w:r>
        <w:t>When risk is not urgent, resolve material factual conflicts before labeling or acting.</w:t>
      </w:r>
    </w:p>
    <w:p>
      <w:pPr>
        <w:pStyle w:val="ListBullet"/>
        <w:spacing w:after="30"/>
      </w:pPr>
      <w:r>
        <w:t>When options are reasonable, support informed choice rather than control, passivity, or withdrawal.</w:t>
      </w:r>
    </w:p>
    <w:p>
      <w:pPr>
        <w:pStyle w:val="ListBullet"/>
        <w:spacing w:after="30"/>
      </w:pPr>
      <w:r>
        <w:t>When policy conflicts with duty, verify, escalate appropriately, protect clients, and preserve continuity.</w:t>
      </w:r>
    </w:p>
    <w:p>
      <w:pPr>
        <w:pStyle w:val="Heading2"/>
      </w:pPr>
      <w:r>
        <w:t>Chapter Rapid Review</w:t>
      </w:r>
    </w:p>
    <w:p>
      <w:r>
        <w:rPr>
          <w:b/>
        </w:rPr>
        <w:t xml:space="preserve">Know these concepts: </w:t>
      </w:r>
      <w:r>
        <w:t>Meaning of Professional Judgment; Legal Priority; Facts and Assumptions; Urgency; Consultation; Clarifying Conflicting Information; Client Preference and Risk; Organizational Policy Conflict; Bias Check; Proportionality; Supporting Client Decisions; Documentation of Judgment; Urgent Incomplete Information; Outcome Bias; Competing Duties; Integrated Ethical Decision-Making</w:t>
      </w:r>
    </w:p>
    <w:p>
      <w:r>
        <w:br w:type="page"/>
      </w:r>
    </w:p>
    <w:p>
      <w:pPr>
        <w:pStyle w:val="Heading1"/>
      </w:pPr>
      <w:r>
        <w:t>Workbook Close</w:t>
      </w:r>
    </w:p>
    <w:tbl>
      <w:tblPr>
        <w:tblStyle w:val="TableGrid"/>
        <w:tblW w:type="auto" w:w="0"/>
        <w:jc w:val="center"/>
        <w:tblLook w:firstColumn="1" w:firstRow="1" w:lastColumn="0" w:lastRow="0" w:noHBand="0" w:noVBand="1" w:val="04A0"/>
      </w:tblPr>
      <w:tblGrid>
        <w:gridCol w:w="10368"/>
      </w:tblGrid>
      <w:tr>
        <w:tc>
          <w:tcPr>
            <w:tcW w:type="dxa" w:w="10368"/>
            <w:shd w:fill="E9F7F6"/>
            <w:vAlign w:val="top"/>
          </w:tcPr>
          <w:p>
            <w:pPr>
              <w:spacing w:after="0"/>
            </w:pPr>
            <w:r/>
            <w:r>
              <w:rPr>
                <w:rFonts w:ascii="Aptos" w:hAnsi="Aptos"/>
                <w:b/>
                <w:sz w:val="18"/>
              </w:rPr>
              <w:t>Workbook 5 complete. Use the online chapter tests, the programwide rapid-review guide, and the 807-card Study Center to identify weak areas. A strong study answer applies the correct rule to the correct actor, role, timing, and client-protection need.</w:t>
            </w:r>
          </w:p>
        </w:tc>
      </w:tr>
    </w:tbl>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5"/>
      </w:rPr>
      <w:t>CTA-EP-003 | Workbook 5 | LPCC Candidate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82D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9B9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82D4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82D4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