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Law &amp; Ethics Study Guide</w:t>
      </w:r>
    </w:p>
    <w:p>
      <w:pPr>
        <w:jc w:val="center"/>
      </w:pPr>
      <w:r>
        <w:rPr>
          <w:b/>
          <w:color w:val="179B95"/>
          <w:sz w:val="26"/>
        </w:rPr>
        <w:t>Workbook 6: Professional Boundaries, Multiple Relationships, and Exploitation | LPCC Candidate Edition</w:t>
      </w:r>
    </w:p>
    <w:p>
      <w:pPr>
        <w:jc w:val="center"/>
      </w:pPr>
      <w:r>
        <w:rPr>
          <w:color w:val="5F5F5F"/>
          <w:sz w:val="18"/>
        </w:rP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Educational material - not legal advice, an eligibility decision, or a guarantee of examination success.</w:t>
            </w:r>
          </w:p>
        </w:tc>
      </w:tr>
    </w:tbl>
    <w:p>
      <w:pPr>
        <w:pStyle w:val="Heading1"/>
      </w:pPr>
      <w:r>
        <w:t>Publication Notice</w:t>
      </w:r>
    </w:p>
    <w:p>
      <w:r>
        <w:t>This LPCC Candidate Edition is a final learner-facing reconstruction built from the approved LPCC/APCC Study Center and completed LPCC production controls. It is profession-specific to the California LPCC Law and Ethics Examination. The guide teaches study principles and reasoning frameworks; candidates should consult current official BBS and examination materials for current administrative requirements.</w:t>
      </w:r>
    </w:p>
    <w:p>
      <w:r>
        <w:t>CTA is independent and is not affiliated with, sponsored by, or endorsed by the California Board of Behavioral Sciences, Pearson VUE, ACA, NBCC, or CCE.</w:t>
      </w:r>
    </w:p>
    <w:p>
      <w:pPr>
        <w:pStyle w:val="Heading1"/>
      </w:pPr>
      <w:r>
        <w:t>How to Use This Workbook</w:t>
      </w:r>
    </w:p>
    <w:p>
      <w:pPr>
        <w:pStyle w:val="ListBullet"/>
        <w:spacing w:after="30"/>
      </w:pPr>
      <w:r>
        <w:t>Study each core chapter in order or use the chapters selectively for remediation.</w:t>
      </w:r>
    </w:p>
    <w:p>
      <w:pPr>
        <w:pStyle w:val="ListBullet"/>
        <w:spacing w:after="30"/>
      </w:pPr>
      <w:r>
        <w:t>For each concept, learn the controlling rule first, then use the memory cue to recognize common exam distinctions.</w:t>
      </w:r>
    </w:p>
    <w:p>
      <w:pPr>
        <w:pStyle w:val="ListBullet"/>
        <w:spacing w:after="30"/>
      </w:pPr>
      <w:r>
        <w:t>Complete the corresponding online chapter test after study; chapter tests are separate from this learner guide.</w:t>
      </w:r>
    </w:p>
    <w:p>
      <w:pPr>
        <w:pStyle w:val="ListBullet"/>
        <w:spacing w:after="30"/>
      </w:pPr>
      <w:r>
        <w:t>Use the 807-card Study Center for spaced review and targeted remediation.</w:t>
      </w:r>
    </w:p>
    <w:p>
      <w:pPr>
        <w:pStyle w:val="ListBullet"/>
        <w:spacing w:after="30"/>
      </w:pPr>
      <w:r>
        <w:t>When a current legal, regulatory, or ethics source changes, follow CTA's posted update notice.</w:t>
      </w:r>
    </w:p>
    <w:p>
      <w:pPr>
        <w:pStyle w:val="Heading1"/>
      </w:pPr>
      <w:r>
        <w:t>Chapter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7"/>
            <w:vAlign w:val="top"/>
            <w:shd w:fill="17365D"/>
          </w:tcPr>
          <w:p>
            <w:pPr>
              <w:spacing w:after="0"/>
            </w:pPr>
            <w:r/>
            <w:r>
              <w:rPr>
                <w:rFonts w:ascii="Aptos" w:hAnsi="Aptos"/>
                <w:b/>
                <w:color w:val="FFFFFF"/>
                <w:sz w:val="18"/>
              </w:rPr>
              <w:t>Chapter</w:t>
            </w:r>
          </w:p>
        </w:tc>
        <w:tc>
          <w:tcPr>
            <w:tcW w:type="dxa" w:w="8063"/>
            <w:vAlign w:val="top"/>
            <w:shd w:fill="17365D"/>
          </w:tcPr>
          <w:p>
            <w:pPr>
              <w:spacing w:after="0"/>
            </w:pPr>
            <w:r/>
            <w:r>
              <w:rPr>
                <w:rFonts w:ascii="Aptos" w:hAnsi="Aptos"/>
                <w:b/>
                <w:color w:val="FFFFFF"/>
                <w:sz w:val="18"/>
              </w:rPr>
              <w:t>Title</w:t>
            </w:r>
          </w:p>
        </w:tc>
        <w:tc>
          <w:tcPr>
            <w:tcW w:type="dxa" w:w="1296"/>
            <w:vAlign w:val="top"/>
            <w:shd w:fill="17365D"/>
          </w:tcPr>
          <w:p>
            <w:pPr>
              <w:spacing w:after="0"/>
            </w:pPr>
            <w:r/>
            <w:r>
              <w:rPr>
                <w:rFonts w:ascii="Aptos" w:hAnsi="Aptos"/>
                <w:b/>
                <w:color w:val="FFFFFF"/>
                <w:sz w:val="18"/>
              </w:rPr>
              <w:t>Study Cards</w:t>
            </w:r>
          </w:p>
        </w:tc>
      </w:tr>
      <w:tr>
        <w:tc>
          <w:tcPr>
            <w:tcW w:type="dxa" w:w="1007"/>
            <w:vAlign w:val="top"/>
          </w:tcPr>
          <w:p>
            <w:pPr>
              <w:spacing w:after="0"/>
            </w:pPr>
            <w:r/>
            <w:r>
              <w:rPr>
                <w:rFonts w:ascii="Aptos" w:hAnsi="Aptos"/>
                <w:b w:val="0"/>
                <w:sz w:val="17"/>
              </w:rPr>
              <w:t>1</w:t>
            </w:r>
          </w:p>
        </w:tc>
        <w:tc>
          <w:tcPr>
            <w:tcW w:type="dxa" w:w="8063"/>
            <w:vAlign w:val="top"/>
          </w:tcPr>
          <w:p>
            <w:pPr>
              <w:spacing w:after="0"/>
            </w:pPr>
            <w:r/>
            <w:r>
              <w:rPr>
                <w:rFonts w:ascii="Aptos" w:hAnsi="Aptos"/>
                <w:b w:val="0"/>
                <w:sz w:val="17"/>
              </w:rPr>
              <w:t>Professional Boundaries</w:t>
            </w:r>
          </w:p>
        </w:tc>
        <w:tc>
          <w:tcPr>
            <w:tcW w:type="dxa" w:w="1296"/>
            <w:vAlign w:val="top"/>
          </w:tcPr>
          <w:p>
            <w:pPr>
              <w:spacing w:after="0"/>
            </w:pPr>
            <w:r/>
            <w:r>
              <w:rPr>
                <w:rFonts w:ascii="Aptos" w:hAnsi="Aptos"/>
                <w:b w:val="0"/>
                <w:sz w:val="17"/>
              </w:rPr>
              <w:t>19</w:t>
            </w:r>
          </w:p>
        </w:tc>
      </w:tr>
      <w:tr>
        <w:tc>
          <w:tcPr>
            <w:tcW w:type="dxa" w:w="1007"/>
            <w:vAlign w:val="top"/>
            <w:shd w:fill="F2F4F7"/>
          </w:tcPr>
          <w:p>
            <w:pPr>
              <w:spacing w:after="0"/>
            </w:pPr>
            <w:r/>
            <w:r>
              <w:rPr>
                <w:rFonts w:ascii="Aptos" w:hAnsi="Aptos"/>
                <w:b w:val="0"/>
                <w:sz w:val="17"/>
              </w:rPr>
              <w:t>2</w:t>
            </w:r>
          </w:p>
        </w:tc>
        <w:tc>
          <w:tcPr>
            <w:tcW w:type="dxa" w:w="8063"/>
            <w:vAlign w:val="top"/>
            <w:shd w:fill="F2F4F7"/>
          </w:tcPr>
          <w:p>
            <w:pPr>
              <w:spacing w:after="0"/>
            </w:pPr>
            <w:r/>
            <w:r>
              <w:rPr>
                <w:rFonts w:ascii="Aptos" w:hAnsi="Aptos"/>
                <w:b w:val="0"/>
                <w:sz w:val="17"/>
              </w:rPr>
              <w:t>Boundary Crossings and Boundary Violations</w:t>
            </w:r>
          </w:p>
        </w:tc>
        <w:tc>
          <w:tcPr>
            <w:tcW w:type="dxa" w:w="1296"/>
            <w:vAlign w:val="top"/>
            <w:shd w:fill="F2F4F7"/>
          </w:tcPr>
          <w:p>
            <w:pPr>
              <w:spacing w:after="0"/>
            </w:pPr>
            <w:r/>
            <w:r>
              <w:rPr>
                <w:rFonts w:ascii="Aptos" w:hAnsi="Aptos"/>
                <w:b w:val="0"/>
                <w:sz w:val="17"/>
              </w:rPr>
              <w:t>18</w:t>
            </w:r>
          </w:p>
        </w:tc>
      </w:tr>
      <w:tr>
        <w:tc>
          <w:tcPr>
            <w:tcW w:type="dxa" w:w="1007"/>
            <w:vAlign w:val="top"/>
          </w:tcPr>
          <w:p>
            <w:pPr>
              <w:spacing w:after="0"/>
            </w:pPr>
            <w:r/>
            <w:r>
              <w:rPr>
                <w:rFonts w:ascii="Aptos" w:hAnsi="Aptos"/>
                <w:b w:val="0"/>
                <w:sz w:val="17"/>
              </w:rPr>
              <w:t>3</w:t>
            </w:r>
          </w:p>
        </w:tc>
        <w:tc>
          <w:tcPr>
            <w:tcW w:type="dxa" w:w="8063"/>
            <w:vAlign w:val="top"/>
          </w:tcPr>
          <w:p>
            <w:pPr>
              <w:spacing w:after="0"/>
            </w:pPr>
            <w:r/>
            <w:r>
              <w:rPr>
                <w:rFonts w:ascii="Aptos" w:hAnsi="Aptos"/>
                <w:b w:val="0"/>
                <w:sz w:val="17"/>
              </w:rPr>
              <w:t>Multiple and Dual Relationships</w:t>
            </w:r>
          </w:p>
        </w:tc>
        <w:tc>
          <w:tcPr>
            <w:tcW w:type="dxa" w:w="1296"/>
            <w:vAlign w:val="top"/>
          </w:tcPr>
          <w:p>
            <w:pPr>
              <w:spacing w:after="0"/>
            </w:pPr>
            <w:r/>
            <w:r>
              <w:rPr>
                <w:rFonts w:ascii="Aptos" w:hAnsi="Aptos"/>
                <w:b w:val="0"/>
                <w:sz w:val="17"/>
              </w:rPr>
              <w:t>15</w:t>
            </w:r>
          </w:p>
        </w:tc>
      </w:tr>
      <w:tr>
        <w:tc>
          <w:tcPr>
            <w:tcW w:type="dxa" w:w="1007"/>
            <w:vAlign w:val="top"/>
            <w:shd w:fill="F2F4F7"/>
          </w:tcPr>
          <w:p>
            <w:pPr>
              <w:spacing w:after="0"/>
            </w:pPr>
            <w:r/>
            <w:r>
              <w:rPr>
                <w:rFonts w:ascii="Aptos" w:hAnsi="Aptos"/>
                <w:b w:val="0"/>
                <w:sz w:val="17"/>
              </w:rPr>
              <w:t>4</w:t>
            </w:r>
          </w:p>
        </w:tc>
        <w:tc>
          <w:tcPr>
            <w:tcW w:type="dxa" w:w="8063"/>
            <w:vAlign w:val="top"/>
            <w:shd w:fill="F2F4F7"/>
          </w:tcPr>
          <w:p>
            <w:pPr>
              <w:spacing w:after="0"/>
            </w:pPr>
            <w:r/>
            <w:r>
              <w:rPr>
                <w:rFonts w:ascii="Aptos" w:hAnsi="Aptos"/>
                <w:b w:val="0"/>
                <w:sz w:val="17"/>
              </w:rPr>
              <w:t>Gifts, Bartering, and Financial Relationships</w:t>
            </w:r>
          </w:p>
        </w:tc>
        <w:tc>
          <w:tcPr>
            <w:tcW w:type="dxa" w:w="1296"/>
            <w:vAlign w:val="top"/>
            <w:shd w:fill="F2F4F7"/>
          </w:tcPr>
          <w:p>
            <w:pPr>
              <w:spacing w:after="0"/>
            </w:pPr>
            <w:r/>
            <w:r>
              <w:rPr>
                <w:rFonts w:ascii="Aptos" w:hAnsi="Aptos"/>
                <w:b w:val="0"/>
                <w:sz w:val="17"/>
              </w:rPr>
              <w:t>19</w:t>
            </w:r>
          </w:p>
        </w:tc>
      </w:tr>
      <w:tr>
        <w:tc>
          <w:tcPr>
            <w:tcW w:type="dxa" w:w="1007"/>
            <w:vAlign w:val="top"/>
          </w:tcPr>
          <w:p>
            <w:pPr>
              <w:spacing w:after="0"/>
            </w:pPr>
            <w:r/>
            <w:r>
              <w:rPr>
                <w:rFonts w:ascii="Aptos" w:hAnsi="Aptos"/>
                <w:b w:val="0"/>
                <w:sz w:val="17"/>
              </w:rPr>
              <w:t>5</w:t>
            </w:r>
          </w:p>
        </w:tc>
        <w:tc>
          <w:tcPr>
            <w:tcW w:type="dxa" w:w="8063"/>
            <w:vAlign w:val="top"/>
          </w:tcPr>
          <w:p>
            <w:pPr>
              <w:spacing w:after="0"/>
            </w:pPr>
            <w:r/>
            <w:r>
              <w:rPr>
                <w:rFonts w:ascii="Aptos" w:hAnsi="Aptos"/>
                <w:b w:val="0"/>
                <w:sz w:val="17"/>
              </w:rPr>
              <w:t>Sexual Misconduct and Client Exploitation</w:t>
            </w:r>
          </w:p>
        </w:tc>
        <w:tc>
          <w:tcPr>
            <w:tcW w:type="dxa" w:w="1296"/>
            <w:vAlign w:val="top"/>
          </w:tcPr>
          <w:p>
            <w:pPr>
              <w:spacing w:after="0"/>
            </w:pPr>
            <w:r/>
            <w:r>
              <w:rPr>
                <w:rFonts w:ascii="Aptos" w:hAnsi="Aptos"/>
                <w:b w:val="0"/>
                <w:sz w:val="17"/>
              </w:rPr>
              <w:t>17</w:t>
            </w:r>
          </w:p>
        </w:tc>
      </w:tr>
    </w:tbl>
    <w:p>
      <w:r>
        <w:br w:type="page"/>
      </w:r>
    </w:p>
    <w:p>
      <w:pPr>
        <w:pStyle w:val="Heading2"/>
      </w:pPr>
      <w:r>
        <w:t>Chapter 1</w:t>
      </w:r>
    </w:p>
    <w:p>
      <w:pPr>
        <w:pStyle w:val="Heading1"/>
      </w:pPr>
      <w:r>
        <w:t>Professional Boundaries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Professional boundaries establish the limits that keep the therapeutic relationship safe, predictable, and focused on the client’s needs. They help protect role clarity, confidentiality, professional objectivity, client autonomy, and freedom from exploitation. Boundaries do not exist merely to control clinician behavior. They preserve the integrity of a relationship in which the clinician holds professional authority, possesses sensitive information, and may significantly influence a vulnerable client. Professional boundaries do not require rigid or emotionally distant treatment. Clinicians may appropriately demonstrate compassion, adapt to individual needs, and consider cultural context as long as their actions maintain role clarity, professional judgment, and a legitimate therapeutic purpose. The central question is not simply whether the therapist was flexible. It is whether the action benefited the client, preserved professional roles, and avoided dependency, confusion, impaired objectivity, or exploitation.</w:t>
            </w:r>
          </w:p>
        </w:tc>
      </w:tr>
    </w:tbl>
    <w:p>
      <w:pPr>
        <w:pStyle w:val="Heading2"/>
      </w:pPr>
      <w:r>
        <w:t>What to Learn</w:t>
      </w:r>
    </w:p>
    <w:p>
      <w:pPr>
        <w:pStyle w:val="ListBullet"/>
        <w:spacing w:after="30"/>
      </w:pPr>
      <w:r>
        <w:t>Explain and apply Purpose of Professional Boundaries.</w:t>
      </w:r>
    </w:p>
    <w:p>
      <w:pPr>
        <w:pStyle w:val="ListBullet"/>
        <w:spacing w:after="30"/>
      </w:pPr>
      <w:r>
        <w:t>Explain and apply Boundaries and Therapeutic Warmth.</w:t>
      </w:r>
    </w:p>
    <w:p>
      <w:pPr>
        <w:pStyle w:val="ListBullet"/>
        <w:spacing w:after="30"/>
      </w:pPr>
      <w:r>
        <w:t>Explain and apply Professional Power and Client Consent.</w:t>
      </w:r>
    </w:p>
    <w:p>
      <w:pPr>
        <w:pStyle w:val="ListBullet"/>
        <w:spacing w:after="30"/>
      </w:pPr>
      <w:r>
        <w:t>Explain and apply Therapeutic Self-Disclosure.</w:t>
      </w:r>
    </w:p>
    <w:p>
      <w:pPr>
        <w:pStyle w:val="ListBullet"/>
        <w:spacing w:after="30"/>
      </w:pPr>
      <w:r>
        <w:t>Explain and apply Communication and Availability Boundaries.</w:t>
      </w:r>
    </w:p>
    <w:p>
      <w:pPr>
        <w:pStyle w:val="ListBullet"/>
        <w:spacing w:after="30"/>
      </w:pPr>
      <w:r>
        <w:t>Explain and apply Special Treatment and Secrecy.</w:t>
      </w:r>
    </w:p>
    <w:p>
      <w:pPr>
        <w:pStyle w:val="ListBullet"/>
        <w:spacing w:after="30"/>
      </w:pPr>
      <w:r>
        <w:t>Explain and apply Emotional Boundaries and Objectivity.</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Purpose of Professional Boundaries</w:t>
            </w:r>
          </w:p>
        </w:tc>
        <w:tc>
          <w:tcPr>
            <w:tcW w:type="dxa" w:w="5256"/>
            <w:vAlign w:val="top"/>
          </w:tcPr>
          <w:p>
            <w:pPr>
              <w:spacing w:after="0"/>
            </w:pPr>
            <w:r/>
            <w:r>
              <w:rPr>
                <w:rFonts w:ascii="Aptos" w:hAnsi="Aptos"/>
                <w:b w:val="0"/>
                <w:sz w:val="16"/>
              </w:rPr>
              <w:t>Professional boundaries establish the limits that keep the therapeutic relationship safe, predictable, and focused on the client’s needs. They help protect role clarity, confidentiality, professional objectivity, client autonomy, and freedom from exploitation. Boundaries do not exist merely to control clinician behavior. They preserve the integrity of a relationship in which the clinician holds professional authority, possesses sensitive information, and may significantly influence a vulnerable client.</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Boundaries and Therapeutic Warmth</w:t>
            </w:r>
          </w:p>
        </w:tc>
        <w:tc>
          <w:tcPr>
            <w:tcW w:type="dxa" w:w="5256"/>
            <w:vAlign w:val="top"/>
            <w:shd w:fill="F7F9FA"/>
          </w:tcPr>
          <w:p>
            <w:pPr>
              <w:spacing w:after="0"/>
            </w:pPr>
            <w:r/>
            <w:r>
              <w:rPr>
                <w:rFonts w:ascii="Aptos" w:hAnsi="Aptos"/>
                <w:b w:val="0"/>
                <w:sz w:val="16"/>
              </w:rPr>
              <w:t>Professional boundaries do not require rigid or emotionally distant treatment. Clinicians may appropriately demonstrate compassion, adapt to individual needs, and consider cultural context as long as their actions maintain role clarity, professional judgment, and a legitimate therapeutic purpose. The central question is not simply whether the therapist was flexible. It is whether the action benefited the client, preserved professional roles, and avoided dependency, confusion, impaired objectivity, or exploitation.</w:t>
            </w:r>
          </w:p>
        </w:tc>
        <w:tc>
          <w:tcPr>
            <w:tcW w:type="dxa" w:w="2520"/>
            <w:vAlign w:val="top"/>
            <w:shd w:fill="F7F9FA"/>
          </w:tcPr>
          <w:p>
            <w:pPr>
              <w:spacing w:after="0"/>
            </w:pPr>
            <w:r/>
            <w:r>
              <w:rPr>
                <w:rFonts w:ascii="Aptos" w:hAnsi="Aptos"/>
                <w:b w:val="0"/>
                <w:sz w:val="16"/>
              </w:rPr>
              <w:t>Avoid answers suggesting that boundaries require either: Complete emotional distance, or Unlimited flexibility in the name of caring. The stronger answer usually combines warmth with role clarity and professional purpose.</w:t>
            </w:r>
          </w:p>
        </w:tc>
      </w:tr>
      <w:tr>
        <w:tc>
          <w:tcPr>
            <w:tcW w:type="dxa" w:w="2376"/>
            <w:vAlign w:val="top"/>
          </w:tcPr>
          <w:p>
            <w:pPr>
              <w:spacing w:after="0"/>
            </w:pPr>
            <w:r/>
            <w:r>
              <w:rPr>
                <w:rFonts w:ascii="Aptos" w:hAnsi="Aptos"/>
                <w:b/>
                <w:sz w:val="16"/>
              </w:rPr>
              <w:t>Professional Power and Client Consent</w:t>
            </w:r>
          </w:p>
        </w:tc>
        <w:tc>
          <w:tcPr>
            <w:tcW w:type="dxa" w:w="5256"/>
            <w:vAlign w:val="top"/>
          </w:tcPr>
          <w:p>
            <w:pPr>
              <w:spacing w:after="0"/>
            </w:pPr>
            <w:r/>
            <w:r>
              <w:rPr>
                <w:rFonts w:ascii="Aptos" w:hAnsi="Aptos"/>
                <w:b w:val="0"/>
                <w:sz w:val="16"/>
              </w:rPr>
              <w:t>Client preferences are relevant, but they do not transfer responsibility for professional boundaries to the client. Because the therapist holds professional authority and has access to private information, the client may feel pressure to agree, fear losing treatment, seek the therapist’s approval, or underestimate the effect of the additional relationship. The therapist must independently evaluate whether the proposed friendship would create role confusion, conflicting loyalties, confidentiality concerns, impaired objectivity, dependency, or exploitation. Documentation of the client’s request would not resolve those risks.</w:t>
            </w:r>
          </w:p>
        </w:tc>
        <w:tc>
          <w:tcPr>
            <w:tcW w:type="dxa" w:w="2520"/>
            <w:vAlign w:val="top"/>
          </w:tcPr>
          <w:p>
            <w:pPr>
              <w:spacing w:after="0"/>
            </w:pPr>
            <w:r/>
            <w:r>
              <w:rPr>
                <w:rFonts w:ascii="Aptos" w:hAnsi="Aptos"/>
                <w:b w:val="0"/>
                <w:sz w:val="16"/>
              </w:rPr>
              <w:t>When a boundary question emphasizes: “The client requested it” “The client agreed” “The client signed a consent form” remember: Client consent is relevant, but the clinician remains responsible for the boundary.</w:t>
            </w:r>
          </w:p>
        </w:tc>
      </w:tr>
      <w:tr>
        <w:tc>
          <w:tcPr>
            <w:tcW w:type="dxa" w:w="2376"/>
            <w:vAlign w:val="top"/>
            <w:shd w:fill="F7F9FA"/>
          </w:tcPr>
          <w:p>
            <w:pPr>
              <w:spacing w:after="0"/>
            </w:pPr>
            <w:r/>
            <w:r>
              <w:rPr>
                <w:rFonts w:ascii="Aptos" w:hAnsi="Aptos"/>
                <w:b/>
                <w:sz w:val="16"/>
              </w:rPr>
              <w:t>Therapeutic Self-Disclosure</w:t>
            </w:r>
          </w:p>
        </w:tc>
        <w:tc>
          <w:tcPr>
            <w:tcW w:type="dxa" w:w="5256"/>
            <w:vAlign w:val="top"/>
            <w:shd w:fill="F7F9FA"/>
          </w:tcPr>
          <w:p>
            <w:pPr>
              <w:spacing w:after="0"/>
            </w:pPr>
            <w:r/>
            <w:r>
              <w:rPr>
                <w:rFonts w:ascii="Aptos" w:hAnsi="Aptos"/>
                <w:b w:val="0"/>
                <w:sz w:val="16"/>
              </w:rPr>
              <w:t>Self-disclosure is not automatically inappropriate. The therapist should first determine whether the disclosure is clinically relevant, limited, and likely to benefit the client rather than shift attention toward the therapist. The therapist should also consider whether the same therapeutic goal could be achieved without disclosure and how the client’s response will be monitored. A disclosure that initially appears helpful may still create comparison, pressure, role confusion, or an expectation of increased personal sharing.</w:t>
            </w:r>
          </w:p>
        </w:tc>
        <w:tc>
          <w:tcPr>
            <w:tcW w:type="dxa" w:w="2520"/>
            <w:vAlign w:val="top"/>
            <w:shd w:fill="F7F9FA"/>
          </w:tcPr>
          <w:p>
            <w:pPr>
              <w:spacing w:after="0"/>
            </w:pPr>
            <w:r/>
            <w:r>
              <w:rPr>
                <w:rFonts w:ascii="Aptos" w:hAnsi="Aptos"/>
                <w:b w:val="0"/>
                <w:sz w:val="16"/>
              </w:rPr>
              <w:t>Self-disclosure questions rarely require an automatic yes or no. Ask: What is the therapeutic purpose, whose need is being met, and how might the disclosure affect the client?</w:t>
            </w:r>
          </w:p>
        </w:tc>
      </w:tr>
      <w:tr>
        <w:tc>
          <w:tcPr>
            <w:tcW w:type="dxa" w:w="2376"/>
            <w:vAlign w:val="top"/>
          </w:tcPr>
          <w:p>
            <w:pPr>
              <w:spacing w:after="0"/>
            </w:pPr>
            <w:r/>
            <w:r>
              <w:rPr>
                <w:rFonts w:ascii="Aptos" w:hAnsi="Aptos"/>
                <w:b/>
                <w:sz w:val="16"/>
              </w:rPr>
              <w:t>Communication and Availability Boundaries</w:t>
            </w:r>
          </w:p>
        </w:tc>
        <w:tc>
          <w:tcPr>
            <w:tcW w:type="dxa" w:w="5256"/>
            <w:vAlign w:val="top"/>
          </w:tcPr>
          <w:p>
            <w:pPr>
              <w:spacing w:after="0"/>
            </w:pPr>
            <w:r/>
            <w:r>
              <w:rPr>
                <w:rFonts w:ascii="Aptos" w:hAnsi="Aptos"/>
                <w:b w:val="0"/>
                <w:sz w:val="16"/>
              </w:rPr>
              <w:t>The therapist should evaluate how the pattern of late-night availability is affecting role clarity, autonomy, and treatment. The client’s increasing reliance on the therapist for ordinary decisions suggests that the communication pattern may be encouraging dependency. A client-centered response would include discussing what has developed, clarifying when and how messages will be handled, identifying appropriate crisis procedures, and monitoring whether the client becomes more able to function independently.</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Special Treatment and Secrecy</w:t>
            </w:r>
          </w:p>
        </w:tc>
        <w:tc>
          <w:tcPr>
            <w:tcW w:type="dxa" w:w="5256"/>
            <w:vAlign w:val="top"/>
            <w:shd w:fill="F7F9FA"/>
          </w:tcPr>
          <w:p>
            <w:pPr>
              <w:spacing w:after="0"/>
            </w:pPr>
            <w:r/>
            <w:r>
              <w:rPr>
                <w:rFonts w:ascii="Aptos" w:hAnsi="Aptos"/>
                <w:b w:val="0"/>
                <w:sz w:val="16"/>
              </w:rPr>
              <w:t>A single session extension may sometimes be clinically appropriate. The more serious concern is the developing pattern of repeated special treatment combined with secrecy and avoidance of professional review. Concealment may indicate that the therapist recognizes the arrangement cannot be easily justified. It also prevents consultation, weakens accountability, and may signal that objectivity or personal involvement is beginning to affect clinical decisions.</w:t>
            </w:r>
          </w:p>
        </w:tc>
        <w:tc>
          <w:tcPr>
            <w:tcW w:type="dxa" w:w="2520"/>
            <w:vAlign w:val="top"/>
            <w:shd w:fill="F7F9FA"/>
          </w:tcPr>
          <w:p>
            <w:pPr>
              <w:spacing w:after="0"/>
            </w:pPr>
            <w:r/>
            <w:r>
              <w:rPr>
                <w:rFonts w:ascii="Aptos" w:hAnsi="Aptos"/>
                <w:b w:val="0"/>
                <w:sz w:val="16"/>
              </w:rPr>
              <w:t>On the examination, secrecy is often more important than the original exception. Watch for: Hiding the arrangement Avoiding documentation Deleting messages Fear of supervisory review Believing ordinary standards should not apply</w:t>
            </w:r>
          </w:p>
        </w:tc>
      </w:tr>
      <w:tr>
        <w:tc>
          <w:tcPr>
            <w:tcW w:type="dxa" w:w="2376"/>
            <w:vAlign w:val="top"/>
          </w:tcPr>
          <w:p>
            <w:pPr>
              <w:spacing w:after="0"/>
            </w:pPr>
            <w:r/>
            <w:r>
              <w:rPr>
                <w:rFonts w:ascii="Aptos" w:hAnsi="Aptos"/>
                <w:b/>
                <w:sz w:val="16"/>
              </w:rPr>
              <w:t>Emotional Boundaries and Objectivity</w:t>
            </w:r>
          </w:p>
        </w:tc>
        <w:tc>
          <w:tcPr>
            <w:tcW w:type="dxa" w:w="5256"/>
            <w:vAlign w:val="top"/>
          </w:tcPr>
          <w:p>
            <w:pPr>
              <w:spacing w:after="0"/>
            </w:pPr>
            <w:r/>
            <w:r>
              <w:rPr>
                <w:rFonts w:ascii="Aptos" w:hAnsi="Aptos"/>
                <w:b w:val="0"/>
                <w:sz w:val="16"/>
              </w:rPr>
              <w:t>Strong emotional reactions do not automatically constitute misconduct. However, they become ethically significant when they begin influencing recommendations, availability, communication, or other clinical decisions. The therapist should recognize the reaction, avoid acting impulsively, assess whether personal feelings are interfering with judgment, and obtain consultation or supervision when needed. Decisions about the other provider should remain focused on the client’s needs rather than the therapist’s desire for exclusivity or approval.</w:t>
            </w:r>
          </w:p>
        </w:tc>
        <w:tc>
          <w:tcPr>
            <w:tcW w:type="dxa" w:w="2520"/>
            <w:vAlign w:val="top"/>
          </w:tcPr>
          <w:p>
            <w:pPr>
              <w:spacing w:after="0"/>
            </w:pPr>
            <w:r/>
            <w:r>
              <w:rPr>
                <w:rFonts w:ascii="Aptos" w:hAnsi="Aptos"/>
                <w:b w:val="0"/>
                <w:sz w:val="16"/>
              </w:rPr>
              <w:t>A feeling requires awareness and management. The exam becomes more concerned when the feeling begins to influence: Treatment recommendations Special exceptions Availability Referrals Communication The therapist’s need for approval or exclusivity</w:t>
            </w:r>
          </w:p>
        </w:tc>
      </w:tr>
      <w:tr>
        <w:tc>
          <w:tcPr>
            <w:tcW w:type="dxa" w:w="2376"/>
            <w:vAlign w:val="top"/>
            <w:shd w:fill="F7F9FA"/>
          </w:tcPr>
          <w:p>
            <w:pPr>
              <w:spacing w:after="0"/>
            </w:pPr>
            <w:r/>
            <w:r>
              <w:rPr>
                <w:rFonts w:ascii="Aptos" w:hAnsi="Aptos"/>
                <w:b/>
                <w:sz w:val="16"/>
              </w:rPr>
              <w:t>Cultural and Contextual Boundaries</w:t>
            </w:r>
          </w:p>
        </w:tc>
        <w:tc>
          <w:tcPr>
            <w:tcW w:type="dxa" w:w="5256"/>
            <w:vAlign w:val="top"/>
            <w:shd w:fill="F7F9FA"/>
          </w:tcPr>
          <w:p>
            <w:pPr>
              <w:spacing w:after="0"/>
            </w:pPr>
            <w:r/>
            <w:r>
              <w:rPr>
                <w:rFonts w:ascii="Aptos" w:hAnsi="Aptos"/>
                <w:b w:val="0"/>
                <w:sz w:val="16"/>
              </w:rPr>
              <w:t>The situation requires contextual professional judgment rather than an automatic response. The therapist should consider the ceremony’s meaning, whether attendance would support a legitimate client need, how confidentiality would be protected, whether the client might feel pressured, and whether attendance could create role confusion or expectations of future social involvement. The therapist should also consider alternatives and discuss how public interactions would be handled. When the decision is clinically significant, consultation and documentation may support thoughtful management.</w:t>
            </w:r>
          </w:p>
        </w:tc>
        <w:tc>
          <w:tcPr>
            <w:tcW w:type="dxa" w:w="2520"/>
            <w:vAlign w:val="top"/>
            <w:shd w:fill="F7F9FA"/>
          </w:tcPr>
          <w:p>
            <w:pPr>
              <w:spacing w:after="0"/>
            </w:pPr>
            <w:r/>
            <w:r>
              <w:rPr>
                <w:rFonts w:ascii="Aptos" w:hAnsi="Aptos"/>
                <w:b w:val="0"/>
                <w:sz w:val="16"/>
              </w:rPr>
              <w:t>Culture should inform the analysis—not end it. Look for an answer that considers: Meaning + confidentiality + role clarity + client impact + alternatives</w:t>
            </w:r>
          </w:p>
        </w:tc>
      </w:tr>
      <w:tr>
        <w:tc>
          <w:tcPr>
            <w:tcW w:type="dxa" w:w="2376"/>
            <w:vAlign w:val="top"/>
          </w:tcPr>
          <w:p>
            <w:pPr>
              <w:spacing w:after="0"/>
            </w:pPr>
            <w:r/>
            <w:r>
              <w:rPr>
                <w:rFonts w:ascii="Aptos" w:hAnsi="Aptos"/>
                <w:b/>
                <w:sz w:val="16"/>
              </w:rPr>
              <w:t>Boundary Erosion</w:t>
            </w:r>
          </w:p>
        </w:tc>
        <w:tc>
          <w:tcPr>
            <w:tcW w:type="dxa" w:w="5256"/>
            <w:vAlign w:val="top"/>
          </w:tcPr>
          <w:p>
            <w:pPr>
              <w:spacing w:after="0"/>
            </w:pPr>
            <w:r/>
            <w:r>
              <w:rPr>
                <w:rFonts w:ascii="Aptos" w:hAnsi="Aptos"/>
                <w:b w:val="0"/>
                <w:sz w:val="16"/>
              </w:rPr>
              <w:t>Boundary erosion often develops gradually. An unusual exception becomes routine, personal involvement increases, communication becomes more intimate, secrecy develops, and professional objectivity weakens. The therapist should promptly examine whose needs the contact is serving, assess dependency and role confusion, restore appropriate communication limits, seek consultation, document the response accurately, and monitor whether the therapeutic relationship can be repaired.</w:t>
            </w:r>
          </w:p>
        </w:tc>
        <w:tc>
          <w:tcPr>
            <w:tcW w:type="dxa" w:w="2520"/>
            <w:vAlign w:val="top"/>
          </w:tcPr>
          <w:p>
            <w:pPr>
              <w:spacing w:after="0"/>
            </w:pPr>
            <w:r/>
            <w:r>
              <w:rPr>
                <w:rFonts w:ascii="Aptos" w:hAnsi="Aptos"/>
                <w:b w:val="0"/>
                <w:sz w:val="16"/>
              </w:rPr>
              <w:t>The examination may present each action as minor when viewed separately. Look at the pattern: Exception → repetition → personal involvement → secrecy → weakened objectivity → dependency or confusion</w:t>
            </w:r>
          </w:p>
        </w:tc>
      </w:tr>
      <w:tr>
        <w:tc>
          <w:tcPr>
            <w:tcW w:type="dxa" w:w="2376"/>
            <w:vAlign w:val="top"/>
            <w:shd w:fill="F7F9FA"/>
          </w:tcPr>
          <w:p>
            <w:pPr>
              <w:spacing w:after="0"/>
            </w:pPr>
            <w:r/>
            <w:r>
              <w:rPr>
                <w:rFonts w:ascii="Aptos" w:hAnsi="Aptos"/>
                <w:b/>
                <w:sz w:val="16"/>
              </w:rPr>
              <w:t>Ethical Boundary Concern vs. Prohibited Conduct</w:t>
            </w:r>
          </w:p>
        </w:tc>
        <w:tc>
          <w:tcPr>
            <w:tcW w:type="dxa" w:w="5256"/>
            <w:vAlign w:val="top"/>
            <w:shd w:fill="F7F9FA"/>
          </w:tcPr>
          <w:p>
            <w:pPr>
              <w:spacing w:after="0"/>
            </w:pPr>
            <w:r/>
            <w:r>
              <w:rPr>
                <w:rFonts w:ascii="Aptos" w:hAnsi="Aptos"/>
                <w:b w:val="0"/>
                <w:sz w:val="16"/>
              </w:rPr>
              <w:t>Not every departure from ordinary practice is automatically illegal, unethical, or disciplinary. Issues such as limited self-disclosure, community overlap, session extensions, or attendance at an important event may require analysis of therapeutic purpose, client vulnerability, alternatives, confidentiality, transparency, and likely impact. Conduct that is exploitative, seriously harmful, fraudulent, sexualized, or otherwise expressly prohibited should not be treated as an ordinary risk-benefit decision. The therapist must stop or prevent the conduct, protect the client, and follow applicable professional procedures.</w:t>
            </w:r>
          </w:p>
        </w:tc>
        <w:tc>
          <w:tcPr>
            <w:tcW w:type="dxa" w:w="2520"/>
            <w:vAlign w:val="top"/>
            <w:shd w:fill="F7F9FA"/>
          </w:tcPr>
          <w:p>
            <w:pPr>
              <w:spacing w:after="0"/>
            </w:pPr>
            <w:r/>
            <w:r>
              <w:rPr>
                <w:rFonts w:ascii="Aptos" w:hAnsi="Aptos"/>
                <w:b w:val="0"/>
                <w:sz w:val="16"/>
              </w:rPr>
              <w:t>First determine what kind of question you are answering: Contextual concern: Analyze purpose, benefit, risk, power, and safeguards. Emerging boundary erosion: Clarify, correct, consult, and monitor. Exploitation or prohibited conduct: Stop the conduct and protect the client.</w:t>
            </w:r>
          </w:p>
        </w:tc>
      </w:tr>
      <w:tr>
        <w:tc>
          <w:tcPr>
            <w:tcW w:type="dxa" w:w="2376"/>
            <w:vAlign w:val="top"/>
          </w:tcPr>
          <w:p>
            <w:pPr>
              <w:spacing w:after="0"/>
            </w:pPr>
            <w:r/>
            <w:r>
              <w:rPr>
                <w:rFonts w:ascii="Aptos" w:hAnsi="Aptos"/>
                <w:b/>
                <w:sz w:val="16"/>
              </w:rPr>
              <w:t>Ongoing Boundary Awareness</w:t>
            </w:r>
          </w:p>
        </w:tc>
        <w:tc>
          <w:tcPr>
            <w:tcW w:type="dxa" w:w="5256"/>
            <w:vAlign w:val="top"/>
          </w:tcPr>
          <w:p>
            <w:pPr>
              <w:spacing w:after="0"/>
            </w:pPr>
            <w:r/>
            <w:r>
              <w:rPr>
                <w:rFonts w:ascii="Aptos" w:hAnsi="Aptos"/>
                <w:b w:val="0"/>
                <w:sz w:val="16"/>
              </w:rPr>
              <w:t>Boundary awareness is an ongoing professional responsibility. Concerns may develop gradually as communication patterns, emotional reactions, client dependency, treatment needs, or community circumstances change. A relationship that initially appears clear and manageable may become more complicated over time. Therapists should therefore remain attentive to changes in role clarity, objectivity, confidentiality, and client welfare throughout treatment.</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Public Encounters and Confidentiality</w:t>
            </w:r>
          </w:p>
        </w:tc>
        <w:tc>
          <w:tcPr>
            <w:tcW w:type="dxa" w:w="5256"/>
            <w:vAlign w:val="top"/>
            <w:shd w:fill="F7F9FA"/>
          </w:tcPr>
          <w:p>
            <w:pPr>
              <w:spacing w:after="0"/>
            </w:pPr>
            <w:r/>
            <w:r>
              <w:rPr>
                <w:rFonts w:ascii="Aptos" w:hAnsi="Aptos"/>
                <w:b w:val="0"/>
                <w:sz w:val="16"/>
              </w:rPr>
              <w:t>Public encounters create potential confidentiality concerns. The therapist should avoid identifying the person as a client and should follow any agreement previously developed about greetings or public contact. When public encounters are foreseeable, the therapist and client can discuss preferences in advance. The plan may address who initiates contact, how companions will be handled, and how an unexpected encounter will be discussed afterward.</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Therapist Emotional Reactions</w:t>
            </w:r>
          </w:p>
        </w:tc>
        <w:tc>
          <w:tcPr>
            <w:tcW w:type="dxa" w:w="5256"/>
            <w:vAlign w:val="top"/>
          </w:tcPr>
          <w:p>
            <w:pPr>
              <w:spacing w:after="0"/>
            </w:pPr>
            <w:r/>
            <w:r>
              <w:rPr>
                <w:rFonts w:ascii="Aptos" w:hAnsi="Aptos"/>
                <w:b w:val="0"/>
                <w:sz w:val="16"/>
              </w:rPr>
              <w:t>Therapists may naturally experience frustration, attraction, protectiveness, identification, resentment, or other emotional responses. Having a reaction is not automatically unethical. The concern arises when the reaction begins influencing treatment recommendations, availability, communication, exceptions, referrals, or the therapist’s need for reassurance. Self-awareness, consultation, supervision, and monitoring can help prevent the reaction from interfering with client care.</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Physical Contact and Context</w:t>
            </w:r>
          </w:p>
        </w:tc>
        <w:tc>
          <w:tcPr>
            <w:tcW w:type="dxa" w:w="5256"/>
            <w:vAlign w:val="top"/>
            <w:shd w:fill="F7F9FA"/>
          </w:tcPr>
          <w:p>
            <w:pPr>
              <w:spacing w:after="0"/>
            </w:pPr>
            <w:r/>
            <w:r>
              <w:rPr>
                <w:rFonts w:ascii="Aptos" w:hAnsi="Aptos"/>
                <w:b w:val="0"/>
                <w:sz w:val="16"/>
              </w:rPr>
              <w:t>Physical contact is not automatically appropriate or inappropriate in every circumstance. The therapist should evaluate its meaning and likely effect within this particular therapeutic relationship. Relevant considerations include cultural norms, trauma history, vulnerability, whether the client could feel rejected or pressured, whether touch might create role confusion, and whether another response could meet the same therapeutic need with less risk. The therapist remains responsible for the final professional decision.</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Consultation and Boundary Uncertainty</w:t>
            </w:r>
          </w:p>
        </w:tc>
        <w:tc>
          <w:tcPr>
            <w:tcW w:type="dxa" w:w="5256"/>
            <w:vAlign w:val="top"/>
          </w:tcPr>
          <w:p>
            <w:pPr>
              <w:spacing w:after="0"/>
            </w:pPr>
            <w:r/>
            <w:r>
              <w:rPr>
                <w:rFonts w:ascii="Aptos" w:hAnsi="Aptos"/>
                <w:b w:val="0"/>
                <w:sz w:val="16"/>
              </w:rPr>
              <w:t>Consultation can help the therapist identify concerns involving confidentiality, cultural meaning, personal motivation, client vulnerability, alternatives, and the likelihood of role confusion. It can be especially valuable when the therapist has strong emotional reactions or when community overlap complicates the decision. However, consultation does not transfer responsibility. The therapist must evaluate the consultant’s advice, apply it to the specific circumstances, and make an independent decision centered on client welfare.</w:t>
            </w:r>
          </w:p>
        </w:tc>
        <w:tc>
          <w:tcPr>
            <w:tcW w:type="dxa" w:w="2520"/>
            <w:vAlign w:val="top"/>
          </w:tcPr>
          <w:p>
            <w:pPr>
              <w:spacing w:after="0"/>
            </w:pPr>
            <w:r/>
            <w:r>
              <w:rPr>
                <w:rFonts w:ascii="Aptos" w:hAnsi="Aptos"/>
                <w:b w:val="0"/>
                <w:sz w:val="16"/>
              </w:rPr>
              <w:t>Consultation is useful when: The facts are unclear Strong emotions are present Cultural or community factors complicate the issue Several reasonable options exist But remember: Consultation informs professional judgment; it does not replace it.</w:t>
            </w:r>
          </w:p>
        </w:tc>
      </w:tr>
      <w:tr>
        <w:tc>
          <w:tcPr>
            <w:tcW w:type="dxa" w:w="2376"/>
            <w:vAlign w:val="top"/>
            <w:shd w:fill="F7F9FA"/>
          </w:tcPr>
          <w:p>
            <w:pPr>
              <w:spacing w:after="0"/>
            </w:pPr>
            <w:r/>
            <w:r>
              <w:rPr>
                <w:rFonts w:ascii="Aptos" w:hAnsi="Aptos"/>
                <w:b/>
                <w:sz w:val="16"/>
              </w:rPr>
              <w:t>Responding to an Emerging Boundary Concern — Part 1 of 2</w:t>
            </w:r>
          </w:p>
        </w:tc>
        <w:tc>
          <w:tcPr>
            <w:tcW w:type="dxa" w:w="5256"/>
            <w:vAlign w:val="top"/>
            <w:shd w:fill="F7F9FA"/>
          </w:tcPr>
          <w:p>
            <w:pPr>
              <w:spacing w:after="0"/>
            </w:pPr>
            <w:r/>
            <w:r>
              <w:rPr>
                <w:rFonts w:ascii="Aptos" w:hAnsi="Aptos"/>
                <w:b w:val="0"/>
                <w:sz w:val="16"/>
              </w:rPr>
              <w:t>Identify the pattern, assess client impact and therapist objectivity, clarify and restore boundaries, seek consultation, document the response, and monitor the outcome The facts suggest an emerging pattern of boundary erosion rather than one isolated exception. The therapist should evaluate how the pattern developed, whose needs it is serving, whether dependency or confusion has increased, and whether professional judgment has become compromised.</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Responding to an Emerging Boundary Concern — Part 2 of 2</w:t>
            </w:r>
          </w:p>
        </w:tc>
        <w:tc>
          <w:tcPr>
            <w:tcW w:type="dxa" w:w="5256"/>
            <w:vAlign w:val="top"/>
          </w:tcPr>
          <w:p>
            <w:pPr>
              <w:spacing w:after="0"/>
            </w:pPr>
            <w:r/>
            <w:r>
              <w:rPr>
                <w:rFonts w:ascii="Aptos" w:hAnsi="Aptos"/>
                <w:b w:val="0"/>
                <w:sz w:val="16"/>
              </w:rPr>
              <w:t>Because the conduct is not described as expressly prohibited or clearly exploitative, a proportionate response may include discussing the concern with the client, restoring communication and scheduling limits, obtaining consultation, documenting accurately, and monitoring whether role clarity and client autonomy improve.</w:t>
            </w:r>
          </w:p>
        </w:tc>
        <w:tc>
          <w:tcPr>
            <w:tcW w:type="dxa" w:w="2520"/>
            <w:vAlign w:val="top"/>
          </w:tcPr>
          <w:p>
            <w:pPr>
              <w:spacing w:after="0"/>
            </w:pPr>
            <w:r/>
            <w:r>
              <w:rPr>
                <w:rFonts w:ascii="Aptos" w:hAnsi="Aptos"/>
                <w:b w:val="0"/>
                <w:sz w:val="16"/>
              </w:rPr>
              <w:t>Choose a response proportionate to the concern: Isolated or unclear concern: Assess and monitor. Developing pattern: Clarify, restore, consult, document, and monitor. Exploitation or prohibited conduct: Stop the conduct and protect the client.</w:t>
            </w:r>
          </w:p>
        </w:tc>
      </w:tr>
      <w:tr>
        <w:tc>
          <w:tcPr>
            <w:tcW w:type="dxa" w:w="2376"/>
            <w:vAlign w:val="top"/>
            <w:shd w:fill="F7F9FA"/>
          </w:tcPr>
          <w:p>
            <w:pPr>
              <w:spacing w:after="0"/>
            </w:pPr>
            <w:r/>
            <w:r>
              <w:rPr>
                <w:rFonts w:ascii="Aptos" w:hAnsi="Aptos"/>
                <w:b/>
                <w:sz w:val="16"/>
              </w:rPr>
              <w:t>Professional Boundary Decision-Making — Part 1 of 2</w:t>
            </w:r>
          </w:p>
        </w:tc>
        <w:tc>
          <w:tcPr>
            <w:tcW w:type="dxa" w:w="5256"/>
            <w:vAlign w:val="top"/>
            <w:shd w:fill="F7F9FA"/>
          </w:tcPr>
          <w:p>
            <w:pPr>
              <w:spacing w:after="0"/>
            </w:pPr>
            <w:r/>
            <w:r>
              <w:rPr>
                <w:rFonts w:ascii="Aptos" w:hAnsi="Aptos"/>
                <w:b w:val="0"/>
                <w:sz w:val="16"/>
              </w:rPr>
              <w:t>Identify the exact conduct and pattern, clarify whose needs are being met, assess dependency and client impact, examine objectivity and power, seek consultation, restore appropriate boundaries, document accurately, and monitor whether treatment can continue safely This response follows the full boundary decision process: Identify the conduct and pattern. Clarify the therapeutic purpose and primary beneficiary. Assess dependency, role confusion, and client impact. Evaluate the therapist’s emotional reactions and objectivity. Consider the professional power difference. Seek consultation when judgment may be impaired. Restore appropriate limits. Document the response honestly.</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Professional Boundary Decision-Making — Part 2 of 2</w:t>
            </w:r>
          </w:p>
        </w:tc>
        <w:tc>
          <w:tcPr>
            <w:tcW w:type="dxa" w:w="5256"/>
            <w:vAlign w:val="top"/>
          </w:tcPr>
          <w:p>
            <w:pPr>
              <w:spacing w:after="0"/>
            </w:pPr>
            <w:r/>
            <w:r>
              <w:rPr>
                <w:rFonts w:ascii="Aptos" w:hAnsi="Aptos"/>
                <w:b w:val="0"/>
                <w:sz w:val="16"/>
              </w:rPr>
              <w:t>Monitor whether role clarity and client welfare improve. The pattern contains several serious warning signs: repeated exceptions, personal disclosure, emotional overinvolvement, dependency, defensiveness, and lack of documentation. Prompt corrective action is necessary even though the scenario does not describe expressly prohibited conduct.</w:t>
            </w:r>
          </w:p>
        </w:tc>
        <w:tc>
          <w:tcPr>
            <w:tcW w:type="dxa" w:w="2520"/>
            <w:vAlign w:val="top"/>
          </w:tcPr>
          <w:p>
            <w:pPr>
              <w:spacing w:after="0"/>
            </w:pPr>
            <w:r/>
            <w:r>
              <w:rPr>
                <w:rFonts w:ascii="Aptos" w:hAnsi="Aptos"/>
                <w:b w:val="0"/>
                <w:sz w:val="16"/>
              </w:rPr>
              <w:t>For complicated boundary questions, use: ROLE → POWER → BENEFIT → RISK → RULE Role: What professional or personal roles are developing? Power: Could the client feel unable to refuse? Benefit: Whose needs are primarily being served? Risk: Is there confusion, dependency, impaired judgment, or exploitation? Rule: Is this a contextual concern or directly prohibited conduct? FORMATTED QUESTION BANK</w:t>
            </w:r>
          </w:p>
        </w:tc>
      </w:tr>
    </w:tbl>
    <w:p>
      <w:pPr>
        <w:pStyle w:val="Heading2"/>
      </w:pPr>
      <w:r>
        <w:t>Exam Reasoning Checklist</w:t>
      </w:r>
    </w:p>
    <w:p>
      <w:pPr>
        <w:pStyle w:val="ListBullet"/>
        <w:spacing w:after="30"/>
      </w:pPr>
      <w:r>
        <w:t>Avoid answers suggesting that boundaries require either: Complete emotional distance, or Unlimited flexibility in the name of caring. The stronger answer usually combines warmth with role clarity and professional purpose.</w:t>
      </w:r>
    </w:p>
    <w:p>
      <w:pPr>
        <w:pStyle w:val="ListBullet"/>
        <w:spacing w:after="30"/>
      </w:pPr>
      <w:r>
        <w:t>When a boundary question emphasizes: “The client requested it” “The client agreed” “The client signed a consent form” remember: Client consent is relevant, but the clinician remains responsible for the boundary.</w:t>
      </w:r>
    </w:p>
    <w:p>
      <w:pPr>
        <w:pStyle w:val="ListBullet"/>
        <w:spacing w:after="30"/>
      </w:pPr>
      <w:r>
        <w:t>Self-disclosure questions rarely require an automatic yes or no. Ask: What is the therapeutic purpose, whose need is being met, and how might the disclosure affect the client?</w:t>
      </w:r>
    </w:p>
    <w:p>
      <w:pPr>
        <w:pStyle w:val="ListBullet"/>
        <w:spacing w:after="30"/>
      </w:pPr>
      <w:r>
        <w:t>On the examination, secrecy is often more important than the original exception. Watch for: Hiding the arrangement Avoiding documentation Deleting messages Fear of supervisory review Believing ordinary standards should not apply</w:t>
      </w:r>
    </w:p>
    <w:p>
      <w:pPr>
        <w:pStyle w:val="ListBullet"/>
        <w:spacing w:after="30"/>
      </w:pPr>
      <w:r>
        <w:t>A feeling requires awareness and management. The exam becomes more concerned when the feeling begins to influence: Treatment recommendations Special exceptions Availability Referrals Communication The therapist’s need for approval or exclusivity</w:t>
      </w:r>
    </w:p>
    <w:p>
      <w:pPr>
        <w:pStyle w:val="ListBullet"/>
        <w:spacing w:after="30"/>
      </w:pPr>
      <w:r>
        <w:t>Culture should inform the analysis—not end it. Look for an answer that considers: Meaning + confidentiality + role clarity + client impact + alternatives</w:t>
      </w:r>
    </w:p>
    <w:p>
      <w:pPr>
        <w:pStyle w:val="ListBullet"/>
        <w:spacing w:after="30"/>
      </w:pPr>
      <w:r>
        <w:t>The examination may present each action as minor when viewed separately. Look at the pattern: Exception → repetition → personal involvement → secrecy → weakened objectivity → dependency or confusion</w:t>
      </w:r>
    </w:p>
    <w:p>
      <w:pPr>
        <w:pStyle w:val="ListBullet"/>
        <w:spacing w:after="30"/>
      </w:pPr>
      <w:r>
        <w:t>First determine what kind of question you are answering: Contextual concern: Analyze purpose, benefit, risk, power, and safeguards. Emerging boundary erosion: Clarify, correct, consult, and monitor. Exploitation or prohibited conduct: Stop the conduct and protect the client.</w:t>
      </w:r>
    </w:p>
    <w:p>
      <w:pPr>
        <w:pStyle w:val="Heading2"/>
      </w:pPr>
      <w:r>
        <w:t>Chapter Rapid Review</w:t>
      </w:r>
    </w:p>
    <w:p>
      <w:r>
        <w:rPr>
          <w:b/>
        </w:rPr>
        <w:t xml:space="preserve">Know these concepts: </w:t>
      </w:r>
      <w:r>
        <w:t>Purpose of Professional Boundaries; Boundaries and Therapeutic Warmth; Professional Power and Client Consent; Therapeutic Self-Disclosure; Communication and Availability Boundaries; Special Treatment and Secrecy; Emotional Boundaries and Objectivity; Cultural and Contextual Boundaries; Boundary Erosion; Ethical Boundary Concern vs. Prohibited Conduct; Ongoing Boundary Awareness; Public Encounters and Confidentiality; Therapist Emotional Reactions; Physical Contact and Context; Consultation and Boundary Uncertainty; Responding to an Emerging Boundary Concern — Part 1 of 2; Responding to an Emerging Boundary Concern — Part 2 of 2; Professional Boundary Decision-Making — Part 1 of 2; Professional Boundary Decision-Making — Part 2 of 2</w:t>
      </w:r>
    </w:p>
    <w:p>
      <w:r>
        <w:br w:type="page"/>
      </w:r>
    </w:p>
    <w:p>
      <w:pPr>
        <w:pStyle w:val="Heading2"/>
      </w:pPr>
      <w:r>
        <w:t>Chapter 2</w:t>
      </w:r>
    </w:p>
    <w:p>
      <w:pPr>
        <w:pStyle w:val="Heading1"/>
      </w:pPr>
      <w:r>
        <w:t>Boundary Crossings and Boundary Violations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A boundary crossing is a departure from customary professional practice that requires careful evaluation. It may be appropriate when it serves a legitimate therapeutic purpose, primarily benefits the client, preserves professional judgment, and does not create unacceptable risks involving dependency, confidentiality, role confusion, or exploitation. For example, briefly extending a session to address an urgent safety concern may be a justified crossing when the therapist documents the reason, maintains professional focus, and monitors the effect on treatment. A boundary violation involves misuse of the therapeutic relationship. It may exploit the client, impair professional judgment, create pressure or dependency, cause significant harm, or allow the therapist to obtain personal, emotional, financial, romantic, or sexual benefit. The central concern is not simply whether the behavior was unusual. The concern is whether professional power was used in a way that displaced client welfare and damaged the integrity of treatment.</w:t>
            </w:r>
          </w:p>
        </w:tc>
      </w:tr>
    </w:tbl>
    <w:p>
      <w:pPr>
        <w:pStyle w:val="Heading2"/>
      </w:pPr>
      <w:r>
        <w:t>What to Learn</w:t>
      </w:r>
    </w:p>
    <w:p>
      <w:pPr>
        <w:pStyle w:val="ListBullet"/>
        <w:spacing w:after="30"/>
      </w:pPr>
      <w:r>
        <w:t>Explain and apply Boundary Crossing.</w:t>
      </w:r>
    </w:p>
    <w:p>
      <w:pPr>
        <w:pStyle w:val="ListBullet"/>
        <w:spacing w:after="30"/>
      </w:pPr>
      <w:r>
        <w:t>Explain and apply Boundary Violation.</w:t>
      </w:r>
    </w:p>
    <w:p>
      <w:pPr>
        <w:pStyle w:val="ListBullet"/>
        <w:spacing w:after="30"/>
      </w:pPr>
      <w:r>
        <w:t>Explain and apply Clinically Justified Boundary Crossing.</w:t>
      </w:r>
    </w:p>
    <w:p>
      <w:pPr>
        <w:pStyle w:val="ListBullet"/>
        <w:spacing w:after="30"/>
      </w:pPr>
      <w:r>
        <w:t>Explain and apply Intent and Impact.</w:t>
      </w:r>
    </w:p>
    <w:p>
      <w:pPr>
        <w:pStyle w:val="ListBullet"/>
        <w:spacing w:after="30"/>
      </w:pPr>
      <w:r>
        <w:t>Explain and apply Primary Beneficiary.</w:t>
      </w:r>
    </w:p>
    <w:p>
      <w:pPr>
        <w:pStyle w:val="ListBullet"/>
        <w:spacing w:after="30"/>
      </w:pPr>
      <w:r>
        <w:t>Explain and apply Transparency.</w:t>
      </w:r>
    </w:p>
    <w:p>
      <w:pPr>
        <w:pStyle w:val="ListBullet"/>
        <w:spacing w:after="30"/>
      </w:pPr>
      <w:r>
        <w:t>Explain and apply Repeated Social Contact.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Boundary Crossing</w:t>
            </w:r>
          </w:p>
        </w:tc>
        <w:tc>
          <w:tcPr>
            <w:tcW w:type="dxa" w:w="5256"/>
            <w:vAlign w:val="top"/>
          </w:tcPr>
          <w:p>
            <w:pPr>
              <w:spacing w:after="0"/>
            </w:pPr>
            <w:r/>
            <w:r>
              <w:rPr>
                <w:rFonts w:ascii="Aptos" w:hAnsi="Aptos"/>
                <w:b w:val="0"/>
                <w:sz w:val="16"/>
              </w:rPr>
              <w:t>A boundary crossing is a departure from customary professional practice that requires careful evaluation. It may be appropriate when it serves a legitimate therapeutic purpose, primarily benefits the client, preserves professional judgment, and does not create unacceptable risks involving dependency, confidentiality, role confusion, or exploitation. For example, briefly extending a session to address an urgent safety concern may be a justified crossing when the therapist documents the reason, maintains professional focus, and monitors the effect on treatment.</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Boundary Violation</w:t>
            </w:r>
          </w:p>
        </w:tc>
        <w:tc>
          <w:tcPr>
            <w:tcW w:type="dxa" w:w="5256"/>
            <w:vAlign w:val="top"/>
            <w:shd w:fill="F7F9FA"/>
          </w:tcPr>
          <w:p>
            <w:pPr>
              <w:spacing w:after="0"/>
            </w:pPr>
            <w:r/>
            <w:r>
              <w:rPr>
                <w:rFonts w:ascii="Aptos" w:hAnsi="Aptos"/>
                <w:b w:val="0"/>
                <w:sz w:val="16"/>
              </w:rPr>
              <w:t>A boundary violation involves misuse of the therapeutic relationship. It may exploit the client, impair professional judgment, create pressure or dependency, cause significant harm, or allow the therapist to obtain personal, emotional, financial, romantic, or sexual benefit. The central concern is not simply whether the behavior was unusual. The concern is whether professional power was used in a way that displaced client welfare and damaged the integrity of treatment.</w:t>
            </w:r>
          </w:p>
        </w:tc>
        <w:tc>
          <w:tcPr>
            <w:tcW w:type="dxa" w:w="2520"/>
            <w:vAlign w:val="top"/>
            <w:shd w:fill="F7F9FA"/>
          </w:tcPr>
          <w:p>
            <w:pPr>
              <w:spacing w:after="0"/>
            </w:pPr>
            <w:r/>
            <w:r>
              <w:rPr>
                <w:rFonts w:ascii="Aptos" w:hAnsi="Aptos"/>
                <w:b w:val="0"/>
                <w:sz w:val="16"/>
              </w:rPr>
              <w:t>Do not ask only: “Was this unusual?” Ask: Who benefited, what risks were created, and was professional power misused?</w:t>
            </w:r>
          </w:p>
        </w:tc>
      </w:tr>
      <w:tr>
        <w:tc>
          <w:tcPr>
            <w:tcW w:type="dxa" w:w="2376"/>
            <w:vAlign w:val="top"/>
          </w:tcPr>
          <w:p>
            <w:pPr>
              <w:spacing w:after="0"/>
            </w:pPr>
            <w:r/>
            <w:r>
              <w:rPr>
                <w:rFonts w:ascii="Aptos" w:hAnsi="Aptos"/>
                <w:b/>
                <w:sz w:val="16"/>
              </w:rPr>
              <w:t>Clinically Justified Boundary Crossing</w:t>
            </w:r>
          </w:p>
        </w:tc>
        <w:tc>
          <w:tcPr>
            <w:tcW w:type="dxa" w:w="5256"/>
            <w:vAlign w:val="top"/>
          </w:tcPr>
          <w:p>
            <w:pPr>
              <w:spacing w:after="0"/>
            </w:pPr>
            <w:r/>
            <w:r>
              <w:rPr>
                <w:rFonts w:ascii="Aptos" w:hAnsi="Aptos"/>
                <w:b w:val="0"/>
                <w:sz w:val="16"/>
              </w:rPr>
              <w:t>The extension has a clear and immediate therapeutic purpose: assessing and responding to a potential safety risk. The action primarily benefits the client, remains connected to the therapist’s professional role, and is proportionate to the circumstances. The therapist should still document the reason for the extension, the assessment completed, the actions taken, and any follow-up plan. A justified crossing remains subject to transparency, professional reasoning, and monitoring.</w:t>
            </w:r>
          </w:p>
        </w:tc>
        <w:tc>
          <w:tcPr>
            <w:tcW w:type="dxa" w:w="2520"/>
            <w:vAlign w:val="top"/>
          </w:tcPr>
          <w:p>
            <w:pPr>
              <w:spacing w:after="0"/>
            </w:pPr>
            <w:r/>
            <w:r>
              <w:rPr>
                <w:rFonts w:ascii="Aptos" w:hAnsi="Aptos"/>
                <w:b w:val="0"/>
                <w:sz w:val="16"/>
              </w:rPr>
              <w:t>A crossing is more likely to be appropriate when it is: Limited Clinically necessary Primarily beneficial to the client Transparent Documented Monitored for unintended effects</w:t>
            </w:r>
          </w:p>
        </w:tc>
      </w:tr>
      <w:tr>
        <w:tc>
          <w:tcPr>
            <w:tcW w:type="dxa" w:w="2376"/>
            <w:vAlign w:val="top"/>
            <w:shd w:fill="F7F9FA"/>
          </w:tcPr>
          <w:p>
            <w:pPr>
              <w:spacing w:after="0"/>
            </w:pPr>
            <w:r/>
            <w:r>
              <w:rPr>
                <w:rFonts w:ascii="Aptos" w:hAnsi="Aptos"/>
                <w:b/>
                <w:sz w:val="16"/>
              </w:rPr>
              <w:t>Intent and Impact</w:t>
            </w:r>
          </w:p>
        </w:tc>
        <w:tc>
          <w:tcPr>
            <w:tcW w:type="dxa" w:w="5256"/>
            <w:vAlign w:val="top"/>
            <w:shd w:fill="F7F9FA"/>
          </w:tcPr>
          <w:p>
            <w:pPr>
              <w:spacing w:after="0"/>
            </w:pPr>
            <w:r/>
            <w:r>
              <w:rPr>
                <w:rFonts w:ascii="Aptos" w:hAnsi="Aptos"/>
                <w:b w:val="0"/>
                <w:sz w:val="16"/>
              </w:rPr>
              <w:t>A therapist’s intention is relevant, but it does not determine whether a boundary decision was professionally appropriate. Ethical analysis must also consider what actually happened to the client, including whether the conduct created dependency, pressure, role confusion, impaired autonomy, or treatment disruption. A well-intended action may need to be modified or discontinued when its effects become inconsistent with client welfare.</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Primary Beneficiary</w:t>
            </w:r>
          </w:p>
        </w:tc>
        <w:tc>
          <w:tcPr>
            <w:tcW w:type="dxa" w:w="5256"/>
            <w:vAlign w:val="top"/>
          </w:tcPr>
          <w:p>
            <w:pPr>
              <w:spacing w:after="0"/>
            </w:pPr>
            <w:r/>
            <w:r>
              <w:rPr>
                <w:rFonts w:ascii="Aptos" w:hAnsi="Aptos"/>
                <w:b w:val="0"/>
                <w:sz w:val="16"/>
              </w:rPr>
              <w:t>Determining who primarily benefits helps distinguish a client-centered therapeutic action from conduct that may be serving the therapist’s emotional, social, financial, or personal interests. A crossing is generally less concerning when it serves an identifiable client need, is limited, preserves objectivity, and is monitored. Concern increases when the therapist gains companionship, admiration, emotional support, money, control, approval, or romantic gratification.</w:t>
            </w:r>
          </w:p>
        </w:tc>
        <w:tc>
          <w:tcPr>
            <w:tcW w:type="dxa" w:w="2520"/>
            <w:vAlign w:val="top"/>
          </w:tcPr>
          <w:p>
            <w:pPr>
              <w:spacing w:after="0"/>
            </w:pPr>
            <w:r/>
            <w:r>
              <w:rPr>
                <w:rFonts w:ascii="Aptos" w:hAnsi="Aptos"/>
                <w:b w:val="0"/>
                <w:sz w:val="16"/>
              </w:rPr>
              <w:t>When the therapist describes an action as “helpful,” ask: Who is actually receiving the benefit?</w:t>
            </w:r>
          </w:p>
        </w:tc>
      </w:tr>
      <w:tr>
        <w:tc>
          <w:tcPr>
            <w:tcW w:type="dxa" w:w="2376"/>
            <w:vAlign w:val="top"/>
            <w:shd w:fill="F7F9FA"/>
          </w:tcPr>
          <w:p>
            <w:pPr>
              <w:spacing w:after="0"/>
            </w:pPr>
            <w:r/>
            <w:r>
              <w:rPr>
                <w:rFonts w:ascii="Aptos" w:hAnsi="Aptos"/>
                <w:b/>
                <w:sz w:val="16"/>
              </w:rPr>
              <w:t>Transparency</w:t>
            </w:r>
          </w:p>
        </w:tc>
        <w:tc>
          <w:tcPr>
            <w:tcW w:type="dxa" w:w="5256"/>
            <w:vAlign w:val="top"/>
            <w:shd w:fill="F7F9FA"/>
          </w:tcPr>
          <w:p>
            <w:pPr>
              <w:spacing w:after="0"/>
            </w:pPr>
            <w:r/>
            <w:r>
              <w:rPr>
                <w:rFonts w:ascii="Aptos" w:hAnsi="Aptos"/>
                <w:b w:val="0"/>
                <w:sz w:val="16"/>
              </w:rPr>
              <w:t>Transparency supports accountability. A carefully managed crossing can generally be discussed professionally, documented accurately, and evaluated over time. Open explanation does not automatically make conduct appropriate, but secrecy, deleted messages, avoidance of documentation, or fear of professional review are significant warning signs that judgment may be impaired.</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Repeated Social Contact</w:t>
            </w:r>
          </w:p>
        </w:tc>
        <w:tc>
          <w:tcPr>
            <w:tcW w:type="dxa" w:w="5256"/>
            <w:vAlign w:val="top"/>
          </w:tcPr>
          <w:p>
            <w:pPr>
              <w:spacing w:after="0"/>
            </w:pPr>
            <w:r/>
            <w:r>
              <w:rPr>
                <w:rFonts w:ascii="Aptos" w:hAnsi="Aptos"/>
                <w:b w:val="0"/>
                <w:sz w:val="16"/>
              </w:rPr>
              <w:t>The concern is not the coffee itself. It is the developing pattern of routine social contact that is no longer connected to a therapeutic purpose. Frequent personal meetings may shift the relationship toward friendship, create conflicting expectations, increase dependency, weaken objectivity, and make treatment or termination more complicated.</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Client Consent and Professional Responsibility</w:t>
            </w:r>
          </w:p>
        </w:tc>
        <w:tc>
          <w:tcPr>
            <w:tcW w:type="dxa" w:w="5256"/>
            <w:vAlign w:val="top"/>
            <w:shd w:fill="F7F9FA"/>
          </w:tcPr>
          <w:p>
            <w:pPr>
              <w:spacing w:after="0"/>
            </w:pPr>
            <w:r/>
            <w:r>
              <w:rPr>
                <w:rFonts w:ascii="Aptos" w:hAnsi="Aptos"/>
                <w:b w:val="0"/>
                <w:sz w:val="16"/>
              </w:rPr>
              <w:t>The request may have important clinical meaning and should be explored without shaming the client. However, the therapist must independently evaluate whether an additional social role would compromise the therapeutic relationship. Client consent does not eliminate professional power, attachment, dependency, or fear of losing treatment. The therapist remains responsible for maintaining appropriate boundaries.</w:t>
            </w:r>
          </w:p>
        </w:tc>
        <w:tc>
          <w:tcPr>
            <w:tcW w:type="dxa" w:w="2520"/>
            <w:vAlign w:val="top"/>
            <w:shd w:fill="F7F9FA"/>
          </w:tcPr>
          <w:p>
            <w:pPr>
              <w:spacing w:after="0"/>
            </w:pPr>
            <w:r/>
            <w:r>
              <w:rPr>
                <w:rFonts w:ascii="Aptos" w:hAnsi="Aptos"/>
                <w:b w:val="0"/>
                <w:sz w:val="16"/>
              </w:rPr>
              <w:t>Client initiation is not the same as professional permission. The strongest response usually: Maintains the boundary Explores the clinical meaning Protects the client from shame Preserves continuity of care</w:t>
            </w:r>
          </w:p>
        </w:tc>
      </w:tr>
      <w:tr>
        <w:tc>
          <w:tcPr>
            <w:tcW w:type="dxa" w:w="2376"/>
            <w:vAlign w:val="top"/>
          </w:tcPr>
          <w:p>
            <w:pPr>
              <w:spacing w:after="0"/>
            </w:pPr>
            <w:r/>
            <w:r>
              <w:rPr>
                <w:rFonts w:ascii="Aptos" w:hAnsi="Aptos"/>
                <w:b/>
                <w:sz w:val="16"/>
              </w:rPr>
              <w:t>Repairing a Poorly Managed Crossing</w:t>
            </w:r>
          </w:p>
        </w:tc>
        <w:tc>
          <w:tcPr>
            <w:tcW w:type="dxa" w:w="5256"/>
            <w:vAlign w:val="top"/>
          </w:tcPr>
          <w:p>
            <w:pPr>
              <w:spacing w:after="0"/>
            </w:pPr>
            <w:r/>
            <w:r>
              <w:rPr>
                <w:rFonts w:ascii="Aptos" w:hAnsi="Aptos"/>
                <w:b w:val="0"/>
                <w:sz w:val="16"/>
              </w:rPr>
              <w:t>A poorly managed crossing may sometimes be repaired when the therapist responds honestly and keeps the process focused on the client. Appropriate repair may include acknowledging the confusion, clarifying roles, restoring expectations, assessing dependency, consulting, documenting accurately, and monitoring the treatment relationship. Referral may become necessary if objectivity or safety cannot be restored.</w:t>
            </w:r>
          </w:p>
        </w:tc>
        <w:tc>
          <w:tcPr>
            <w:tcW w:type="dxa" w:w="2520"/>
            <w:vAlign w:val="top"/>
          </w:tcPr>
          <w:p>
            <w:pPr>
              <w:spacing w:after="0"/>
            </w:pPr>
            <w:r/>
            <w:r>
              <w:rPr>
                <w:rFonts w:ascii="Aptos" w:hAnsi="Aptos"/>
                <w:b w:val="0"/>
                <w:sz w:val="16"/>
              </w:rPr>
              <w:t>When a crossing has created confusion but has not become exploitative, look for: Acknowledge → Clarify → Restore → Consult → Document → Monitor</w:t>
            </w:r>
          </w:p>
        </w:tc>
      </w:tr>
      <w:tr>
        <w:tc>
          <w:tcPr>
            <w:tcW w:type="dxa" w:w="2376"/>
            <w:vAlign w:val="top"/>
            <w:shd w:fill="F7F9FA"/>
          </w:tcPr>
          <w:p>
            <w:pPr>
              <w:spacing w:after="0"/>
            </w:pPr>
            <w:r/>
            <w:r>
              <w:rPr>
                <w:rFonts w:ascii="Aptos" w:hAnsi="Aptos"/>
                <w:b/>
                <w:sz w:val="16"/>
              </w:rPr>
              <w:t>Contextual Analysis vs. Direct Action</w:t>
            </w:r>
          </w:p>
        </w:tc>
        <w:tc>
          <w:tcPr>
            <w:tcW w:type="dxa" w:w="5256"/>
            <w:vAlign w:val="top"/>
            <w:shd w:fill="F7F9FA"/>
          </w:tcPr>
          <w:p>
            <w:pPr>
              <w:spacing w:after="0"/>
            </w:pPr>
            <w:r/>
            <w:r>
              <w:rPr>
                <w:rFonts w:ascii="Aptos" w:hAnsi="Aptos"/>
                <w:b w:val="0"/>
                <w:sz w:val="16"/>
              </w:rPr>
              <w:t>Some boundary issues—such as a limited self-disclosure, a session extension, or attendance at a cultural event—require analysis of purpose, client benefit, vulnerability, alternatives, transparency, and treatment impact. Conduct that exploits the client, seriously misuses professional power, causes significant harm, or is expressly prohibited should not be treated as a flexible judgment call. The therapist should stop the problematic conduct, assess client harm and safety, end the inappropriate secondary role, preserve records, protect continuity of care, and follow applicable professional procedures.</w:t>
            </w:r>
          </w:p>
        </w:tc>
        <w:tc>
          <w:tcPr>
            <w:tcW w:type="dxa" w:w="2520"/>
            <w:vAlign w:val="top"/>
            <w:shd w:fill="F7F9FA"/>
          </w:tcPr>
          <w:p>
            <w:pPr>
              <w:spacing w:after="0"/>
            </w:pPr>
            <w:r/>
            <w:r>
              <w:rPr>
                <w:rFonts w:ascii="Aptos" w:hAnsi="Aptos"/>
                <w:b w:val="0"/>
                <w:sz w:val="16"/>
              </w:rPr>
              <w:t>First classify the conduct: Possible crossing: Analyze and establish safeguards. Poorly managed crossing: Repair and monitor. Boundary erosion: Restore limits and assess objectivity. Violation or prohibited conduct: Stop, protect, and follow applicable procedures.</w:t>
            </w:r>
          </w:p>
        </w:tc>
      </w:tr>
      <w:tr>
        <w:tc>
          <w:tcPr>
            <w:tcW w:type="dxa" w:w="2376"/>
            <w:vAlign w:val="top"/>
          </w:tcPr>
          <w:p>
            <w:pPr>
              <w:spacing w:after="0"/>
            </w:pPr>
            <w:r/>
            <w:r>
              <w:rPr>
                <w:rFonts w:ascii="Aptos" w:hAnsi="Aptos"/>
                <w:b/>
                <w:sz w:val="16"/>
              </w:rPr>
              <w:t>Client Vulnerability</w:t>
            </w:r>
          </w:p>
        </w:tc>
        <w:tc>
          <w:tcPr>
            <w:tcW w:type="dxa" w:w="5256"/>
            <w:vAlign w:val="top"/>
          </w:tcPr>
          <w:p>
            <w:pPr>
              <w:spacing w:after="0"/>
            </w:pPr>
            <w:r/>
            <w:r>
              <w:rPr>
                <w:rFonts w:ascii="Aptos" w:hAnsi="Aptos"/>
                <w:b w:val="0"/>
                <w:sz w:val="16"/>
              </w:rPr>
              <w:t>Client vulnerability can affect how freely a client responds to a therapist’s request or boundary change. A client experiencing trauma, crisis, dependency, isolation, or fear of losing treatment may feel unable to refuse even when the client appears to agree. The therapist should therefore consider whether the crossing could increase dependency, create pressure, interfere with autonomy, or expose the client to exploitation.</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Safer Alternatives</w:t>
            </w:r>
          </w:p>
        </w:tc>
        <w:tc>
          <w:tcPr>
            <w:tcW w:type="dxa" w:w="5256"/>
            <w:vAlign w:val="top"/>
            <w:shd w:fill="F7F9FA"/>
          </w:tcPr>
          <w:p>
            <w:pPr>
              <w:spacing w:after="0"/>
            </w:pPr>
            <w:r/>
            <w:r>
              <w:rPr>
                <w:rFonts w:ascii="Aptos" w:hAnsi="Aptos"/>
                <w:b w:val="0"/>
                <w:sz w:val="16"/>
              </w:rPr>
              <w:t>A boundary crossing is more defensible when it is necessary to meet a legitimate client need and no clearly safer alternative is available. The therapist should consider whether the same therapeutic purpose could be achieved without creating additional roles, dependency, confidentiality risks, or role confusion. Choosing a less intrusive and less confusing option helps protect client welfare while preserving the therapeutic purpose of the relationship.</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Monitoring a Boundary Crossing</w:t>
            </w:r>
          </w:p>
        </w:tc>
        <w:tc>
          <w:tcPr>
            <w:tcW w:type="dxa" w:w="5256"/>
            <w:vAlign w:val="top"/>
          </w:tcPr>
          <w:p>
            <w:pPr>
              <w:spacing w:after="0"/>
            </w:pPr>
            <w:r/>
            <w:r>
              <w:rPr>
                <w:rFonts w:ascii="Aptos" w:hAnsi="Aptos"/>
                <w:b w:val="0"/>
                <w:sz w:val="16"/>
              </w:rPr>
              <w:t>Even a carefully considered crossing may have unexpected effects. The therapist should assess whether the client now expects additional social contact, whether confidentiality was affected, and whether the event altered the client’s understanding of the therapeutic relationship. Monitoring allows the therapist to identify and correct role confusion, dependency, or changing expectations before the concern becomes more serious.</w:t>
            </w:r>
          </w:p>
        </w:tc>
        <w:tc>
          <w:tcPr>
            <w:tcW w:type="dxa" w:w="2520"/>
            <w:vAlign w:val="top"/>
          </w:tcPr>
          <w:p>
            <w:pPr>
              <w:spacing w:after="0"/>
            </w:pPr>
            <w:r/>
            <w:r>
              <w:rPr>
                <w:rFonts w:ascii="Aptos" w:hAnsi="Aptos"/>
                <w:b w:val="0"/>
                <w:sz w:val="16"/>
              </w:rPr>
              <w:t>A justified crossing is not a one-time decision that ends the analysis. Remember: Evaluate → Act carefully → Monitor → Reevaluate</w:t>
            </w:r>
          </w:p>
        </w:tc>
      </w:tr>
      <w:tr>
        <w:tc>
          <w:tcPr>
            <w:tcW w:type="dxa" w:w="2376"/>
            <w:vAlign w:val="top"/>
            <w:shd w:fill="F7F9FA"/>
          </w:tcPr>
          <w:p>
            <w:pPr>
              <w:spacing w:after="0"/>
            </w:pPr>
            <w:r/>
            <w:r>
              <w:rPr>
                <w:rFonts w:ascii="Aptos" w:hAnsi="Aptos"/>
                <w:b/>
                <w:sz w:val="16"/>
              </w:rPr>
              <w:t>Foreseeable Risk Before Actual Harm</w:t>
            </w:r>
          </w:p>
        </w:tc>
        <w:tc>
          <w:tcPr>
            <w:tcW w:type="dxa" w:w="5256"/>
            <w:vAlign w:val="top"/>
            <w:shd w:fill="F7F9FA"/>
          </w:tcPr>
          <w:p>
            <w:pPr>
              <w:spacing w:after="0"/>
            </w:pPr>
            <w:r/>
            <w:r>
              <w:rPr>
                <w:rFonts w:ascii="Aptos" w:hAnsi="Aptos"/>
                <w:b w:val="0"/>
                <w:sz w:val="16"/>
              </w:rPr>
              <w:t>Professional boundaries are preventive. Repeated exceptions, concealment, emotional overinvolvement, and increasing special access are warning signs even before a client reports severe harm. The therapist should assess the pattern, clarify whose needs are being met, restore professional limits, evaluate client impact, seek consultation, and monitor whether objectivity and role clarity can be restored.</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Client-Initiated Romantic Contact</w:t>
            </w:r>
          </w:p>
        </w:tc>
        <w:tc>
          <w:tcPr>
            <w:tcW w:type="dxa" w:w="5256"/>
            <w:vAlign w:val="top"/>
          </w:tcPr>
          <w:p>
            <w:pPr>
              <w:spacing w:after="0"/>
            </w:pPr>
            <w:r/>
            <w:r>
              <w:rPr>
                <w:rFonts w:ascii="Aptos" w:hAnsi="Aptos"/>
                <w:b w:val="0"/>
                <w:sz w:val="16"/>
              </w:rPr>
              <w:t>The therapist remains responsible for maintaining the professional boundary regardless of who initiated the romantic contact. Attraction itself is not misconduct, but it must be managed through self-awareness, clear limits, consultation or supervision, and protection of client welfare. The therapist may explore the client’s feelings clinically without shaming or abandoning the client. The therapist should also monitor whether personal attraction is affecting professional objectivity or the ability to continue treatment appropriately.</w:t>
            </w:r>
          </w:p>
        </w:tc>
        <w:tc>
          <w:tcPr>
            <w:tcW w:type="dxa" w:w="2520"/>
            <w:vAlign w:val="top"/>
          </w:tcPr>
          <w:p>
            <w:pPr>
              <w:spacing w:after="0"/>
            </w:pPr>
            <w:r/>
            <w:r>
              <w:rPr>
                <w:rFonts w:ascii="Aptos" w:hAnsi="Aptos"/>
                <w:b w:val="0"/>
                <w:sz w:val="16"/>
              </w:rPr>
              <w:t>When the question says: “The client initiated it” “The attraction is mutual” “Both are adults” “The client consented” do not be distracted. The clinician remains responsible for maintaining the boundary.</w:t>
            </w:r>
          </w:p>
        </w:tc>
      </w:tr>
      <w:tr>
        <w:tc>
          <w:tcPr>
            <w:tcW w:type="dxa" w:w="2376"/>
            <w:vAlign w:val="top"/>
            <w:shd w:fill="F7F9FA"/>
          </w:tcPr>
          <w:p>
            <w:pPr>
              <w:spacing w:after="0"/>
            </w:pPr>
            <w:r/>
            <w:r>
              <w:rPr>
                <w:rFonts w:ascii="Aptos" w:hAnsi="Aptos"/>
                <w:b/>
                <w:sz w:val="16"/>
              </w:rPr>
              <w:t>Secrecy, Concealment, and Boundary Violation Risk</w:t>
            </w:r>
          </w:p>
        </w:tc>
        <w:tc>
          <w:tcPr>
            <w:tcW w:type="dxa" w:w="5256"/>
            <w:vAlign w:val="top"/>
            <w:shd w:fill="F7F9FA"/>
          </w:tcPr>
          <w:p>
            <w:pPr>
              <w:spacing w:after="0"/>
            </w:pPr>
            <w:r/>
            <w:r>
              <w:rPr>
                <w:rFonts w:ascii="Aptos" w:hAnsi="Aptos"/>
                <w:b w:val="0"/>
                <w:sz w:val="16"/>
              </w:rPr>
              <w:t>The scenario contains multiple warning signs of a serious boundary problem: Unlimited special access Therapist-centered emotional support Secrecy Destruction or concealment of communications Fear of professional review The therapist should stop using the client for personal emotional needs, assess whether the client has been pressured or harmed, preserve accurate information, obtain appropriate supervisory or risk-management guidance, and restore professional limits. Continuity of care must also be protected.</w:t>
            </w:r>
          </w:p>
        </w:tc>
        <w:tc>
          <w:tcPr>
            <w:tcW w:type="dxa" w:w="2520"/>
            <w:vAlign w:val="top"/>
            <w:shd w:fill="F7F9FA"/>
          </w:tcPr>
          <w:p>
            <w:pPr>
              <w:spacing w:after="0"/>
            </w:pPr>
            <w:r/>
            <w:r>
              <w:rPr>
                <w:rFonts w:ascii="Aptos" w:hAnsi="Aptos"/>
                <w:b w:val="0"/>
                <w:sz w:val="16"/>
              </w:rPr>
              <w:t>Secrecy is not a protective measure. Secrecy usually signals: Impaired judgment + personal benefit + increased exploitation risk</w:t>
            </w:r>
          </w:p>
        </w:tc>
      </w:tr>
      <w:tr>
        <w:tc>
          <w:tcPr>
            <w:tcW w:type="dxa" w:w="2376"/>
            <w:vAlign w:val="top"/>
          </w:tcPr>
          <w:p>
            <w:pPr>
              <w:spacing w:after="0"/>
            </w:pPr>
            <w:r/>
            <w:r>
              <w:rPr>
                <w:rFonts w:ascii="Aptos" w:hAnsi="Aptos"/>
                <w:b/>
                <w:sz w:val="16"/>
              </w:rPr>
              <w:t>Crossing, Erosion, and Violation Analysis — Part 1 of 2</w:t>
            </w:r>
          </w:p>
        </w:tc>
        <w:tc>
          <w:tcPr>
            <w:tcW w:type="dxa" w:w="5256"/>
            <w:vAlign w:val="top"/>
          </w:tcPr>
          <w:p>
            <w:pPr>
              <w:spacing w:after="0"/>
            </w:pPr>
            <w:r/>
            <w:r>
              <w:rPr>
                <w:rFonts w:ascii="Aptos" w:hAnsi="Aptos"/>
                <w:b w:val="0"/>
                <w:sz w:val="16"/>
              </w:rPr>
              <w:t>The initial session extension served an urgent clinical purpose and may have been a professionally appropriate boundary crossing. However, that does not justify the later pattern. The later conduct includes: Repeated special access Social contact unrelated to treatment Therapist-centered self-disclosure Secrecy Increasing dependency Significant role confusion These facts suggest that a limited crossing has progressed into boundary erosion and potentially a boundary violation.</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Crossing, Erosion, and Violation Analysis — Part 2 of 2</w:t>
            </w:r>
          </w:p>
        </w:tc>
        <w:tc>
          <w:tcPr>
            <w:tcW w:type="dxa" w:w="5256"/>
            <w:vAlign w:val="top"/>
            <w:shd w:fill="F7F9FA"/>
          </w:tcPr>
          <w:p>
            <w:pPr>
              <w:spacing w:after="0"/>
            </w:pPr>
            <w:r/>
            <w:r>
              <w:rPr>
                <w:rFonts w:ascii="Aptos" w:hAnsi="Aptos"/>
                <w:b w:val="0"/>
                <w:sz w:val="16"/>
              </w:rPr>
              <w:t>The therapist should stop the inappropriate personal conduct, assess client harm, restore professional roles, seek consultation or supervision, document accurately, protect continuity of care, and consider referral if objectivity cannot be restored.</w:t>
            </w:r>
          </w:p>
        </w:tc>
        <w:tc>
          <w:tcPr>
            <w:tcW w:type="dxa" w:w="2520"/>
            <w:vAlign w:val="top"/>
            <w:shd w:fill="F7F9FA"/>
          </w:tcPr>
          <w:p>
            <w:pPr>
              <w:spacing w:after="0"/>
            </w:pPr>
            <w:r/>
            <w:r>
              <w:rPr>
                <w:rFonts w:ascii="Aptos" w:hAnsi="Aptos"/>
                <w:b w:val="0"/>
                <w:sz w:val="16"/>
              </w:rPr>
              <w:t>Do not evaluate only the first action or the therapist’s original intention. Follow the progression: Appropriate crossing → repeated exceptions → personal involvement → secrecy → dependency → boundary violation risk FORMATTED QUESTION BANK</w:t>
            </w:r>
          </w:p>
        </w:tc>
      </w:tr>
    </w:tbl>
    <w:p>
      <w:pPr>
        <w:pStyle w:val="Heading2"/>
      </w:pPr>
      <w:r>
        <w:t>Exam Reasoning Checklist</w:t>
      </w:r>
    </w:p>
    <w:p>
      <w:pPr>
        <w:pStyle w:val="ListBullet"/>
        <w:spacing w:after="30"/>
      </w:pPr>
      <w:r>
        <w:t>Do not ask only: “Was this unusual?” Ask: Who benefited, what risks were created, and was professional power misused?</w:t>
      </w:r>
    </w:p>
    <w:p>
      <w:pPr>
        <w:pStyle w:val="ListBullet"/>
        <w:spacing w:after="30"/>
      </w:pPr>
      <w:r>
        <w:t>A crossing is more likely to be appropriate when it is: Limited Clinically necessary Primarily beneficial to the client Transparent Documented Monitored for unintended effects</w:t>
      </w:r>
    </w:p>
    <w:p>
      <w:pPr>
        <w:pStyle w:val="ListBullet"/>
        <w:spacing w:after="30"/>
      </w:pPr>
      <w:r>
        <w:t>When the therapist describes an action as “helpful,” ask: Who is actually receiving the benefit?</w:t>
      </w:r>
    </w:p>
    <w:p>
      <w:pPr>
        <w:pStyle w:val="ListBullet"/>
        <w:spacing w:after="30"/>
      </w:pPr>
      <w:r>
        <w:t>Client initiation is not the same as professional permission. The strongest response usually: Maintains the boundary Explores the clinical meaning Protects the client from shame Preserves continuity of care</w:t>
      </w:r>
    </w:p>
    <w:p>
      <w:pPr>
        <w:pStyle w:val="ListBullet"/>
        <w:spacing w:after="30"/>
      </w:pPr>
      <w:r>
        <w:t>When a crossing has created confusion but has not become exploitative, look for: Acknowledge → Clarify → Restore → Consult → Document → Monitor</w:t>
      </w:r>
    </w:p>
    <w:p>
      <w:pPr>
        <w:pStyle w:val="ListBullet"/>
        <w:spacing w:after="30"/>
      </w:pPr>
      <w:r>
        <w:t>First classify the conduct: Possible crossing: Analyze and establish safeguards. Poorly managed crossing: Repair and monitor. Boundary erosion: Restore limits and assess objectivity. Violation or prohibited conduct: Stop, protect, and follow applicable procedures.</w:t>
      </w:r>
    </w:p>
    <w:p>
      <w:pPr>
        <w:pStyle w:val="ListBullet"/>
        <w:spacing w:after="30"/>
      </w:pPr>
      <w:r>
        <w:t>A justified crossing is not a one-time decision that ends the analysis. Remember: Evaluate → Act carefully → Monitor → Reevaluate</w:t>
      </w:r>
    </w:p>
    <w:p>
      <w:pPr>
        <w:pStyle w:val="ListBullet"/>
        <w:spacing w:after="30"/>
      </w:pPr>
      <w:r>
        <w:t>When the question says: “The client initiated it” “The attraction is mutual” “Both are adults” “The client consented” do not be distracted. The clinician remains responsible for maintaining the boundary.</w:t>
      </w:r>
    </w:p>
    <w:p>
      <w:pPr>
        <w:pStyle w:val="Heading2"/>
      </w:pPr>
      <w:r>
        <w:t>Chapter Rapid Review</w:t>
      </w:r>
    </w:p>
    <w:p>
      <w:r>
        <w:rPr>
          <w:b/>
        </w:rPr>
        <w:t xml:space="preserve">Know these concepts: </w:t>
      </w:r>
      <w:r>
        <w:t>Boundary Crossing; Boundary Violation; Clinically Justified Boundary Crossing; Intent and Impact; Primary Beneficiary; Transparency; Repeated Social Contact; Client Consent and Professional Responsibility; Repairing a Poorly Managed Crossing; Contextual Analysis vs. Direct Action; Client Vulnerability; Safer Alternatives; Monitoring a Boundary Crossing; Foreseeable Risk Before Actual Harm; Client-Initiated Romantic Contact; Secrecy, Concealment, and Boundary Violation Risk; Crossing, Erosion, and Violation Analysis — Part 1 of 2; Crossing, Erosion, and Violation Analysis — Part 2 of 2</w:t>
      </w:r>
    </w:p>
    <w:p>
      <w:r>
        <w:br w:type="page"/>
      </w:r>
    </w:p>
    <w:p>
      <w:pPr>
        <w:pStyle w:val="Heading2"/>
      </w:pPr>
      <w:r>
        <w:t>Chapter 3</w:t>
      </w:r>
    </w:p>
    <w:p>
      <w:pPr>
        <w:pStyle w:val="Heading1"/>
      </w:pPr>
      <w:r>
        <w:t>Multiple and Dual Relationships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A multiple relationship exists when the therapist has more than one significant role with the same client. In this situation, the therapist is both the client’s treating clinician and employer. The employment relationship may create competing responsibilities, financial pressure, role confusion, and concern about whether the client feels free to disagree with the therapist or end either relationship. A multiple relationship involves an additional role beyond psychotherapy, such as employer, friend, business partner, teacher, neighbor, or religious leader. A boundary crossing is a departure from customary professional practice that may remain within the therapeutic role. For example, attending one significant cultural event may be a crossing without necessarily creating an ongoing social relationship.</w:t>
            </w:r>
          </w:p>
        </w:tc>
      </w:tr>
    </w:tbl>
    <w:p>
      <w:pPr>
        <w:pStyle w:val="Heading2"/>
      </w:pPr>
      <w:r>
        <w:t>What to Learn</w:t>
      </w:r>
    </w:p>
    <w:p>
      <w:pPr>
        <w:pStyle w:val="ListBullet"/>
        <w:spacing w:after="30"/>
      </w:pPr>
      <w:r>
        <w:t>Explain and apply Multiple Relationships.</w:t>
      </w:r>
    </w:p>
    <w:p>
      <w:pPr>
        <w:pStyle w:val="ListBullet"/>
        <w:spacing w:after="30"/>
      </w:pPr>
      <w:r>
        <w:t>Explain and apply Multiple Relationship vs. Boundary Crossing.</w:t>
      </w:r>
    </w:p>
    <w:p>
      <w:pPr>
        <w:pStyle w:val="ListBullet"/>
        <w:spacing w:after="30"/>
      </w:pPr>
      <w:r>
        <w:t>Explain and apply Unavoidable Community Overlap.</w:t>
      </w:r>
    </w:p>
    <w:p>
      <w:pPr>
        <w:pStyle w:val="ListBullet"/>
        <w:spacing w:after="30"/>
      </w:pPr>
      <w:r>
        <w:t>Explain and apply Conflict of Interest.</w:t>
      </w:r>
    </w:p>
    <w:p>
      <w:pPr>
        <w:pStyle w:val="ListBullet"/>
        <w:spacing w:after="30"/>
      </w:pPr>
      <w:r>
        <w:t>Explain and apply Digital Multiple Relationships.</w:t>
      </w:r>
    </w:p>
    <w:p>
      <w:pPr>
        <w:pStyle w:val="ListBullet"/>
        <w:spacing w:after="30"/>
      </w:pPr>
      <w:r>
        <w:t>Explain and apply Avoidable Multiple Relationship.</w:t>
      </w:r>
    </w:p>
    <w:p>
      <w:pPr>
        <w:pStyle w:val="ListBullet"/>
        <w:spacing w:after="30"/>
      </w:pPr>
      <w:r>
        <w:t>Explain and apply Client Consent and Professional Power.</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Multiple Relationships</w:t>
            </w:r>
          </w:p>
        </w:tc>
        <w:tc>
          <w:tcPr>
            <w:tcW w:type="dxa" w:w="5256"/>
            <w:vAlign w:val="top"/>
          </w:tcPr>
          <w:p>
            <w:pPr>
              <w:spacing w:after="0"/>
            </w:pPr>
            <w:r/>
            <w:r>
              <w:rPr>
                <w:rFonts w:ascii="Aptos" w:hAnsi="Aptos"/>
                <w:b w:val="0"/>
                <w:sz w:val="16"/>
              </w:rPr>
              <w:t>A multiple relationship exists when the therapist has more than one significant role with the same client. In this situation, the therapist is both the client’s treating clinician and employer. The employment relationship may create competing responsibilities, financial pressure, role confusion, and concern about whether the client feels free to disagree with the therapist or end either relationship.</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Multiple Relationship vs. Boundary Crossing</w:t>
            </w:r>
          </w:p>
        </w:tc>
        <w:tc>
          <w:tcPr>
            <w:tcW w:type="dxa" w:w="5256"/>
            <w:vAlign w:val="top"/>
            <w:shd w:fill="F7F9FA"/>
          </w:tcPr>
          <w:p>
            <w:pPr>
              <w:spacing w:after="0"/>
            </w:pPr>
            <w:r/>
            <w:r>
              <w:rPr>
                <w:rFonts w:ascii="Aptos" w:hAnsi="Aptos"/>
                <w:b w:val="0"/>
                <w:sz w:val="16"/>
              </w:rPr>
              <w:t>A multiple relationship involves an additional role beyond psychotherapy, such as employer, friend, business partner, teacher, neighbor, or religious leader. A boundary crossing is a departure from customary professional practice that may remain within the therapeutic role. For example, attending one significant cultural event may be a crossing without necessarily creating an ongoing social relationship.</w:t>
            </w:r>
          </w:p>
        </w:tc>
        <w:tc>
          <w:tcPr>
            <w:tcW w:type="dxa" w:w="2520"/>
            <w:vAlign w:val="top"/>
            <w:shd w:fill="F7F9FA"/>
          </w:tcPr>
          <w:p>
            <w:pPr>
              <w:spacing w:after="0"/>
            </w:pPr>
            <w:r/>
            <w:r>
              <w:rPr>
                <w:rFonts w:ascii="Aptos" w:hAnsi="Aptos"/>
                <w:b w:val="0"/>
                <w:sz w:val="16"/>
              </w:rPr>
              <w:t>Ask: Did the therapist merely depart from ordinary practice, or did the therapist acquire another role with the client? Departure without another role → possible boundary crossing Another ongoing role → multiple relationship</w:t>
            </w:r>
          </w:p>
        </w:tc>
      </w:tr>
      <w:tr>
        <w:tc>
          <w:tcPr>
            <w:tcW w:type="dxa" w:w="2376"/>
            <w:vAlign w:val="top"/>
          </w:tcPr>
          <w:p>
            <w:pPr>
              <w:spacing w:after="0"/>
            </w:pPr>
            <w:r/>
            <w:r>
              <w:rPr>
                <w:rFonts w:ascii="Aptos" w:hAnsi="Aptos"/>
                <w:b/>
                <w:sz w:val="16"/>
              </w:rPr>
              <w:t>Unavoidable Community Overlap</w:t>
            </w:r>
          </w:p>
        </w:tc>
        <w:tc>
          <w:tcPr>
            <w:tcW w:type="dxa" w:w="5256"/>
            <w:vAlign w:val="top"/>
          </w:tcPr>
          <w:p>
            <w:pPr>
              <w:spacing w:after="0"/>
            </w:pPr>
            <w:r/>
            <w:r>
              <w:rPr>
                <w:rFonts w:ascii="Aptos" w:hAnsi="Aptos"/>
                <w:b w:val="0"/>
                <w:sz w:val="16"/>
              </w:rPr>
              <w:t>Community overlap may be difficult to avoid in rural, religious, cultural, military, educational, or specialized communities. The existence of overlap does not automatically require refusal or referral. The therapist should assess whether the relationship can be managed without compromising confidentiality, objectivity, role clarity, or client welfare. Safeguards may include planning for public encounters, clarifying who will initiate contact, limiting unnecessary social interaction, documenting the discussion, seeking consultation, and monitoring the arrangement over time.</w:t>
            </w:r>
          </w:p>
        </w:tc>
        <w:tc>
          <w:tcPr>
            <w:tcW w:type="dxa" w:w="2520"/>
            <w:vAlign w:val="top"/>
          </w:tcPr>
          <w:p>
            <w:pPr>
              <w:spacing w:after="0"/>
            </w:pPr>
            <w:r/>
            <w:r>
              <w:rPr>
                <w:rFonts w:ascii="Aptos" w:hAnsi="Aptos"/>
                <w:b w:val="0"/>
                <w:sz w:val="16"/>
              </w:rPr>
              <w:t>A common exam trap is: “Overlap is unavoidable, so either terminate immediately or ignore it.” The stronger response is usually: Assess → Discuss → Establish safeguards → Document → Monitor</w:t>
            </w:r>
          </w:p>
        </w:tc>
      </w:tr>
      <w:tr>
        <w:tc>
          <w:tcPr>
            <w:tcW w:type="dxa" w:w="2376"/>
            <w:vAlign w:val="top"/>
            <w:shd w:fill="F7F9FA"/>
          </w:tcPr>
          <w:p>
            <w:pPr>
              <w:spacing w:after="0"/>
            </w:pPr>
            <w:r/>
            <w:r>
              <w:rPr>
                <w:rFonts w:ascii="Aptos" w:hAnsi="Aptos"/>
                <w:b/>
                <w:sz w:val="16"/>
              </w:rPr>
              <w:t>Conflict of Interest</w:t>
            </w:r>
          </w:p>
        </w:tc>
        <w:tc>
          <w:tcPr>
            <w:tcW w:type="dxa" w:w="5256"/>
            <w:vAlign w:val="top"/>
            <w:shd w:fill="F7F9FA"/>
          </w:tcPr>
          <w:p>
            <w:pPr>
              <w:spacing w:after="0"/>
            </w:pPr>
            <w:r/>
            <w:r>
              <w:rPr>
                <w:rFonts w:ascii="Aptos" w:hAnsi="Aptos"/>
                <w:b w:val="0"/>
                <w:sz w:val="16"/>
              </w:rPr>
              <w:t>A conflict of interest arises when the therapist’s personal, financial, or professional interests compete with the therapist’s obligation to prioritize the client’s welfare. If the therapist stands to gain financially from a particular treatment decision, referral, business arrangement, or continuation of services, professional judgment may be influenced by personal benefit rather than clinical need.</w:t>
            </w:r>
          </w:p>
        </w:tc>
        <w:tc>
          <w:tcPr>
            <w:tcW w:type="dxa" w:w="2520"/>
            <w:vAlign w:val="top"/>
            <w:shd w:fill="F7F9FA"/>
          </w:tcPr>
          <w:p>
            <w:pPr>
              <w:spacing w:after="0"/>
            </w:pPr>
            <w:r/>
            <w:r>
              <w:rPr>
                <w:rFonts w:ascii="Aptos" w:hAnsi="Aptos"/>
                <w:b w:val="0"/>
                <w:sz w:val="16"/>
              </w:rPr>
              <w:t>A multiple relationship describes the roles. A conflict of interest describes the competing interest that may interfere with professional responsibility.</w:t>
            </w:r>
          </w:p>
        </w:tc>
      </w:tr>
      <w:tr>
        <w:tc>
          <w:tcPr>
            <w:tcW w:type="dxa" w:w="2376"/>
            <w:vAlign w:val="top"/>
          </w:tcPr>
          <w:p>
            <w:pPr>
              <w:spacing w:after="0"/>
            </w:pPr>
            <w:r/>
            <w:r>
              <w:rPr>
                <w:rFonts w:ascii="Aptos" w:hAnsi="Aptos"/>
                <w:b/>
                <w:sz w:val="16"/>
              </w:rPr>
              <w:t>Digital Multiple Relationships</w:t>
            </w:r>
          </w:p>
        </w:tc>
        <w:tc>
          <w:tcPr>
            <w:tcW w:type="dxa" w:w="5256"/>
            <w:vAlign w:val="top"/>
          </w:tcPr>
          <w:p>
            <w:pPr>
              <w:spacing w:after="0"/>
            </w:pPr>
            <w:r/>
            <w:r>
              <w:rPr>
                <w:rFonts w:ascii="Aptos" w:hAnsi="Aptos"/>
                <w:b w:val="0"/>
                <w:sz w:val="16"/>
              </w:rPr>
              <w:t>Connecting through a personal social-media account may expose private information, create role confusion, expand availability, publicly associate the therapist and client, and shift the relationship toward friendship. The therapist should follow a clear professional policy, maintain the therapeutic role, and explore the request clinically if it appears relevant to attachment, boundaries, expectations, or treatment.</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Avoidable Multiple Relationship</w:t>
            </w:r>
          </w:p>
        </w:tc>
        <w:tc>
          <w:tcPr>
            <w:tcW w:type="dxa" w:w="5256"/>
            <w:vAlign w:val="top"/>
            <w:shd w:fill="F7F9FA"/>
          </w:tcPr>
          <w:p>
            <w:pPr>
              <w:spacing w:after="0"/>
            </w:pPr>
            <w:r/>
            <w:r>
              <w:rPr>
                <w:rFonts w:ascii="Aptos" w:hAnsi="Aptos"/>
                <w:b w:val="0"/>
                <w:sz w:val="16"/>
              </w:rPr>
              <w:t>The therapist would become both clinician and business partner. That additional role creates financial interests that may influence treatment decisions, continuation of care, communication, and termination. The client may also feel unable to refuse because of the therapist’s authority or fear that declining could affect therapy. Because the role is voluntarily created and primarily offers personal financial benefit, the risk of conflict and exploitation is substantial.</w:t>
            </w:r>
          </w:p>
        </w:tc>
        <w:tc>
          <w:tcPr>
            <w:tcW w:type="dxa" w:w="2520"/>
            <w:vAlign w:val="top"/>
            <w:shd w:fill="F7F9FA"/>
          </w:tcPr>
          <w:p>
            <w:pPr>
              <w:spacing w:after="0"/>
            </w:pPr>
            <w:r/>
            <w:r>
              <w:rPr>
                <w:rFonts w:ascii="Aptos" w:hAnsi="Aptos"/>
                <w:b w:val="0"/>
                <w:sz w:val="16"/>
              </w:rPr>
              <w:t>Avoidable secondary roles that primarily benefit the therapist are usually more concerning than incidental or unavoidable community overlap.</w:t>
            </w:r>
          </w:p>
        </w:tc>
      </w:tr>
      <w:tr>
        <w:tc>
          <w:tcPr>
            <w:tcW w:type="dxa" w:w="2376"/>
            <w:vAlign w:val="top"/>
          </w:tcPr>
          <w:p>
            <w:pPr>
              <w:spacing w:after="0"/>
            </w:pPr>
            <w:r/>
            <w:r>
              <w:rPr>
                <w:rFonts w:ascii="Aptos" w:hAnsi="Aptos"/>
                <w:b/>
                <w:sz w:val="16"/>
              </w:rPr>
              <w:t>Client Consent and Professional Power</w:t>
            </w:r>
          </w:p>
        </w:tc>
        <w:tc>
          <w:tcPr>
            <w:tcW w:type="dxa" w:w="5256"/>
            <w:vAlign w:val="top"/>
          </w:tcPr>
          <w:p>
            <w:pPr>
              <w:spacing w:after="0"/>
            </w:pPr>
            <w:r/>
            <w:r>
              <w:rPr>
                <w:rFonts w:ascii="Aptos" w:hAnsi="Aptos"/>
                <w:b w:val="0"/>
                <w:sz w:val="16"/>
              </w:rPr>
              <w:t>Client consent is relevant but not controlling. Financial vulnerability, dependency, desire for approval, or fear of losing treatment may affect whether the client feels genuinely free to decline. The therapist would also become both clinician and employer, creating multiple roles and competing interests. Even fair wages do not eliminate concerns involving pressure, objectivity, confidentiality, treatment decisions, and difficulty ending either relationship.</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Former-Client Relationships</w:t>
            </w:r>
          </w:p>
        </w:tc>
        <w:tc>
          <w:tcPr>
            <w:tcW w:type="dxa" w:w="5256"/>
            <w:vAlign w:val="top"/>
            <w:shd w:fill="F7F9FA"/>
          </w:tcPr>
          <w:p>
            <w:pPr>
              <w:spacing w:after="0"/>
            </w:pPr>
            <w:r/>
            <w:r>
              <w:rPr>
                <w:rFonts w:ascii="Aptos" w:hAnsi="Aptos"/>
                <w:b w:val="0"/>
                <w:sz w:val="16"/>
              </w:rPr>
              <w:t>Termination does not erase the therapist’s confidential knowledge, prior authority, emotional influence, or awareness of the client’s vulnerabilities. Dependency or attachment may also continue after treatment ends. The therapist should therefore evaluate the nature and duration of therapy, how recently it ended, whether the client may return to treatment, and whether the proposed relationship could exploit continuing influence or create harm.</w:t>
            </w:r>
          </w:p>
        </w:tc>
        <w:tc>
          <w:tcPr>
            <w:tcW w:type="dxa" w:w="2520"/>
            <w:vAlign w:val="top"/>
            <w:shd w:fill="F7F9FA"/>
          </w:tcPr>
          <w:p>
            <w:pPr>
              <w:spacing w:after="0"/>
            </w:pPr>
            <w:r/>
            <w:r>
              <w:rPr>
                <w:rFonts w:ascii="Aptos" w:hAnsi="Aptos"/>
                <w:b w:val="0"/>
                <w:sz w:val="16"/>
              </w:rPr>
              <w:t>Termination is not an immediate ethical reset. Ask what continues after therapy: Confidential knowledge Prior influence Emotional attachment Dependency Vulnerability Possibility of resumed treatment</w:t>
            </w:r>
          </w:p>
        </w:tc>
      </w:tr>
      <w:tr>
        <w:tc>
          <w:tcPr>
            <w:tcW w:type="dxa" w:w="2376"/>
            <w:vAlign w:val="top"/>
          </w:tcPr>
          <w:p>
            <w:pPr>
              <w:spacing w:after="0"/>
            </w:pPr>
            <w:r/>
            <w:r>
              <w:rPr>
                <w:rFonts w:ascii="Aptos" w:hAnsi="Aptos"/>
                <w:b/>
                <w:sz w:val="16"/>
              </w:rPr>
              <w:t>Multiple-Relationship Decision-Making</w:t>
            </w:r>
          </w:p>
        </w:tc>
        <w:tc>
          <w:tcPr>
            <w:tcW w:type="dxa" w:w="5256"/>
            <w:vAlign w:val="top"/>
          </w:tcPr>
          <w:p>
            <w:pPr>
              <w:spacing w:after="0"/>
            </w:pPr>
            <w:r/>
            <w:r>
              <w:rPr>
                <w:rFonts w:ascii="Aptos" w:hAnsi="Aptos"/>
                <w:b w:val="0"/>
                <w:sz w:val="16"/>
              </w:rPr>
              <w:t>The overlap is difficult to avoid and declining treatment could significantly limit the client’s access to care. The therapist should therefore determine whether the risks can be responsibly managed. A comprehensive response includes identifying both roles, evaluating confidentiality, power, objectivity, and conflicting loyalties, planning for public contact, limiting unnecessary personal interaction, documenting the safeguards, seeking consultation when useful, and monitoring the arrangement over time. Referral becomes appropriate when confidentiality cannot be protected, objectivity cannot be maintained, roles become incompatible, or the client feels pressured or confused.</w:t>
            </w:r>
          </w:p>
        </w:tc>
        <w:tc>
          <w:tcPr>
            <w:tcW w:type="dxa" w:w="2520"/>
            <w:vAlign w:val="top"/>
          </w:tcPr>
          <w:p>
            <w:pPr>
              <w:spacing w:after="0"/>
            </w:pPr>
            <w:r/>
            <w:r>
              <w:rPr>
                <w:rFonts w:ascii="Aptos" w:hAnsi="Aptos"/>
                <w:b w:val="0"/>
                <w:sz w:val="16"/>
              </w:rPr>
              <w:t>For unavoidable multiple relationships, remember: Unavoidable does not mean harmless—but it also does not automatically require referral. Use: Assess → Discuss → Safeguard → Document → Monitor → Refer if unmanageable</w:t>
            </w:r>
          </w:p>
        </w:tc>
      </w:tr>
      <w:tr>
        <w:tc>
          <w:tcPr>
            <w:tcW w:type="dxa" w:w="2376"/>
            <w:vAlign w:val="top"/>
            <w:shd w:fill="F7F9FA"/>
          </w:tcPr>
          <w:p>
            <w:pPr>
              <w:spacing w:after="0"/>
            </w:pPr>
            <w:r/>
            <w:r>
              <w:rPr>
                <w:rFonts w:ascii="Aptos" w:hAnsi="Aptos"/>
                <w:b/>
                <w:sz w:val="16"/>
              </w:rPr>
              <w:t>California Multiple-Relationship Rule</w:t>
            </w:r>
          </w:p>
        </w:tc>
        <w:tc>
          <w:tcPr>
            <w:tcW w:type="dxa" w:w="5256"/>
            <w:vAlign w:val="top"/>
            <w:shd w:fill="F7F9FA"/>
          </w:tcPr>
          <w:p>
            <w:pPr>
              <w:spacing w:after="0"/>
            </w:pPr>
            <w:r/>
            <w:r>
              <w:rPr>
                <w:rFonts w:ascii="Aptos" w:hAnsi="Aptos"/>
                <w:b w:val="0"/>
                <w:sz w:val="16"/>
              </w:rPr>
              <w:t>California does not impose a blanket prohibition on every multiple or dual relationship. Some overlap may be incidental, unavoidable, or manageable with appropriate safeguards. The therapist should evaluate whether the additional role creates impaired objectivity, confidentiality problems, conflicting loyalties, pressure, dependency, harm, exploitation, or conduct that falls within a specific disciplinary rule.</w:t>
            </w:r>
          </w:p>
        </w:tc>
        <w:tc>
          <w:tcPr>
            <w:tcW w:type="dxa" w:w="2520"/>
            <w:vAlign w:val="top"/>
            <w:shd w:fill="F7F9FA"/>
          </w:tcPr>
          <w:p>
            <w:pPr>
              <w:spacing w:after="0"/>
            </w:pPr>
            <w:r/>
            <w:r>
              <w:rPr>
                <w:rFonts w:ascii="Aptos" w:hAnsi="Aptos"/>
                <w:b w:val="0"/>
                <w:sz w:val="16"/>
              </w:rPr>
              <w:t>Do not invent a rule that says: “All dual relationships are prohibited.” Instead, determine whether the overlap is manageable, conflicting, exploitative, or expressly prohibited.</w:t>
            </w:r>
          </w:p>
        </w:tc>
      </w:tr>
      <w:tr>
        <w:tc>
          <w:tcPr>
            <w:tcW w:type="dxa" w:w="2376"/>
            <w:vAlign w:val="top"/>
          </w:tcPr>
          <w:p>
            <w:pPr>
              <w:spacing w:after="0"/>
            </w:pPr>
            <w:r/>
            <w:r>
              <w:rPr>
                <w:rFonts w:ascii="Aptos" w:hAnsi="Aptos"/>
                <w:b/>
                <w:sz w:val="16"/>
              </w:rPr>
              <w:t>Conflicting Loyalties</w:t>
            </w:r>
          </w:p>
        </w:tc>
        <w:tc>
          <w:tcPr>
            <w:tcW w:type="dxa" w:w="5256"/>
            <w:vAlign w:val="top"/>
          </w:tcPr>
          <w:p>
            <w:pPr>
              <w:spacing w:after="0"/>
            </w:pPr>
            <w:r/>
            <w:r>
              <w:rPr>
                <w:rFonts w:ascii="Aptos" w:hAnsi="Aptos"/>
                <w:b w:val="0"/>
                <w:sz w:val="16"/>
              </w:rPr>
              <w:t>The therapist’s treatment role requires support, confidentiality, and attention to the client’s clinical welfare. The instructor role may require evaluation, criticism, grading, or decisions affecting the client’s advancement. These competing responsibilities may create role confusion, pressure, divided loyalties, and concern that information learned in therapy could influence the therapist’s academic judgment.</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Client Pressure</w:t>
            </w:r>
          </w:p>
        </w:tc>
        <w:tc>
          <w:tcPr>
            <w:tcW w:type="dxa" w:w="5256"/>
            <w:vAlign w:val="top"/>
            <w:shd w:fill="F7F9FA"/>
          </w:tcPr>
          <w:p>
            <w:pPr>
              <w:spacing w:after="0"/>
            </w:pPr>
            <w:r/>
            <w:r>
              <w:rPr>
                <w:rFonts w:ascii="Aptos" w:hAnsi="Aptos"/>
                <w:b w:val="0"/>
                <w:sz w:val="16"/>
              </w:rPr>
              <w:t>The client’s statement suggests that the therapist’s professional authority affected the client’s ability to decline. The promotional role primarily benefits the therapist and may create pressure, indebtedness, or fear that refusal could affect treatment. The therapist should respond without defensiveness, remove the pressure, clarify that care is not contingent on participation, and assess whether the arrangement affected trust, autonomy, or treatment.</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Reevaluating Safeguards</w:t>
            </w:r>
          </w:p>
        </w:tc>
        <w:tc>
          <w:tcPr>
            <w:tcW w:type="dxa" w:w="5256"/>
            <w:vAlign w:val="top"/>
          </w:tcPr>
          <w:p>
            <w:pPr>
              <w:spacing w:after="0"/>
            </w:pPr>
            <w:r/>
            <w:r>
              <w:rPr>
                <w:rFonts w:ascii="Aptos" w:hAnsi="Aptos"/>
                <w:b w:val="0"/>
                <w:sz w:val="16"/>
              </w:rPr>
              <w:t>Safeguards should be reevaluated when circumstances reveal that the existing plan is inadequate. The therapist should explore the client’s experience, determine whether private information was exposed, and revise the approach for future encounters. Ongoing monitoring is essential because even a thoughtfully designed plan may need adjustment as relationships, settings, or client preferences change.</w:t>
            </w:r>
          </w:p>
        </w:tc>
        <w:tc>
          <w:tcPr>
            <w:tcW w:type="dxa" w:w="2520"/>
            <w:vAlign w:val="top"/>
          </w:tcPr>
          <w:p>
            <w:pPr>
              <w:spacing w:after="0"/>
            </w:pPr>
            <w:r/>
            <w:r>
              <w:rPr>
                <w:rFonts w:ascii="Aptos" w:hAnsi="Aptos"/>
                <w:b w:val="0"/>
                <w:sz w:val="16"/>
              </w:rPr>
              <w:t>Documentation and planning are not one-time permission slips. Use: Plan → Monitor → Discuss → Revise</w:t>
            </w:r>
          </w:p>
        </w:tc>
      </w:tr>
      <w:tr>
        <w:tc>
          <w:tcPr>
            <w:tcW w:type="dxa" w:w="2376"/>
            <w:vAlign w:val="top"/>
            <w:shd w:fill="F7F9FA"/>
          </w:tcPr>
          <w:p>
            <w:pPr>
              <w:spacing w:after="0"/>
            </w:pPr>
            <w:r/>
            <w:r>
              <w:rPr>
                <w:rFonts w:ascii="Aptos" w:hAnsi="Aptos"/>
                <w:b/>
                <w:sz w:val="16"/>
              </w:rPr>
              <w:t>When Referral Is Appropriate</w:t>
            </w:r>
          </w:p>
        </w:tc>
        <w:tc>
          <w:tcPr>
            <w:tcW w:type="dxa" w:w="5256"/>
            <w:vAlign w:val="top"/>
            <w:shd w:fill="F7F9FA"/>
          </w:tcPr>
          <w:p>
            <w:pPr>
              <w:spacing w:after="0"/>
            </w:pPr>
            <w:r/>
            <w:r>
              <w:rPr>
                <w:rFonts w:ascii="Aptos" w:hAnsi="Aptos"/>
                <w:b w:val="0"/>
                <w:sz w:val="16"/>
              </w:rPr>
              <w:t>Referral becomes appropriate when the therapist cannot maintain objectivity, protect confidentiality, or manage conflicting obligations. The availability of a qualified alternative makes transfer more feasible. The therapist should explain the concern without blaming the client, provide reasonable transition support, avoid abandonment, and maintain confidentiality throughout the process.</w:t>
            </w:r>
          </w:p>
        </w:tc>
        <w:tc>
          <w:tcPr>
            <w:tcW w:type="dxa" w:w="2520"/>
            <w:vAlign w:val="top"/>
            <w:shd w:fill="F7F9FA"/>
          </w:tcPr>
          <w:p>
            <w:pPr>
              <w:spacing w:after="0"/>
            </w:pPr>
            <w:r/>
            <w:r>
              <w:rPr>
                <w:rFonts w:ascii="Aptos" w:hAnsi="Aptos"/>
                <w:b w:val="0"/>
                <w:sz w:val="16"/>
              </w:rPr>
              <w:t>Referral is usually strongest when: Objectivity cannot be restored Confidentiality cannot reasonably be protected Roles create incompatible duties The client feels pressured or confused A qualified alternative is available</w:t>
            </w:r>
          </w:p>
        </w:tc>
      </w:tr>
      <w:tr>
        <w:tc>
          <w:tcPr>
            <w:tcW w:type="dxa" w:w="2376"/>
            <w:vAlign w:val="top"/>
          </w:tcPr>
          <w:p>
            <w:pPr>
              <w:spacing w:after="0"/>
            </w:pPr>
            <w:r/>
            <w:r>
              <w:rPr>
                <w:rFonts w:ascii="Aptos" w:hAnsi="Aptos"/>
                <w:b/>
                <w:sz w:val="16"/>
              </w:rPr>
              <w:t>Manageable Overlap Becoming Unmanageable</w:t>
            </w:r>
          </w:p>
        </w:tc>
        <w:tc>
          <w:tcPr>
            <w:tcW w:type="dxa" w:w="5256"/>
            <w:vAlign w:val="top"/>
          </w:tcPr>
          <w:p>
            <w:pPr>
              <w:spacing w:after="0"/>
            </w:pPr>
            <w:r/>
            <w:r>
              <w:rPr>
                <w:rFonts w:ascii="Aptos" w:hAnsi="Aptos"/>
                <w:b w:val="0"/>
                <w:sz w:val="16"/>
              </w:rPr>
              <w:t>A multiple relationship that was initially manageable may become riskier over time. The therapist should not rely solely on the original decision. The therapist should assess the emerging expectations, restore professional limits, address public disclosures, evaluate objectivity and dependency, seek consultation when useful, and determine whether safeguards remain sufficient. Referral may be necessary if the concerns cannot be managed.</w:t>
            </w:r>
          </w:p>
        </w:tc>
        <w:tc>
          <w:tcPr>
            <w:tcW w:type="dxa" w:w="2520"/>
            <w:vAlign w:val="top"/>
          </w:tcPr>
          <w:p>
            <w:pPr>
              <w:spacing w:after="0"/>
            </w:pPr>
            <w:r/>
            <w:r>
              <w:rPr>
                <w:rFonts w:ascii="Aptos" w:hAnsi="Aptos"/>
                <w:b w:val="0"/>
                <w:sz w:val="16"/>
              </w:rPr>
              <w:t>A frequent exam trap is focusing only on whether the original decision was reasonable. Ask: What is happening now?</w:t>
            </w:r>
          </w:p>
        </w:tc>
      </w:tr>
    </w:tbl>
    <w:p>
      <w:pPr>
        <w:pStyle w:val="Heading2"/>
      </w:pPr>
      <w:r>
        <w:t>Exam Reasoning Checklist</w:t>
      </w:r>
    </w:p>
    <w:p>
      <w:pPr>
        <w:pStyle w:val="ListBullet"/>
        <w:spacing w:after="30"/>
      </w:pPr>
      <w:r>
        <w:t>Ask: Did the therapist merely depart from ordinary practice, or did the therapist acquire another role with the client? Departure without another role → possible boundary crossing Another ongoing role → multiple relationship</w:t>
      </w:r>
    </w:p>
    <w:p>
      <w:pPr>
        <w:pStyle w:val="ListBullet"/>
        <w:spacing w:after="30"/>
      </w:pPr>
      <w:r>
        <w:t>A common exam trap is: “Overlap is unavoidable, so either terminate immediately or ignore it.” The stronger response is usually: Assess → Discuss → Establish safeguards → Document → Monitor</w:t>
      </w:r>
    </w:p>
    <w:p>
      <w:pPr>
        <w:pStyle w:val="ListBullet"/>
        <w:spacing w:after="30"/>
      </w:pPr>
      <w:r>
        <w:t>A multiple relationship describes the roles. A conflict of interest describes the competing interest that may interfere with professional responsibility.</w:t>
      </w:r>
    </w:p>
    <w:p>
      <w:pPr>
        <w:pStyle w:val="ListBullet"/>
        <w:spacing w:after="30"/>
      </w:pPr>
      <w:r>
        <w:t>Avoidable secondary roles that primarily benefit the therapist are usually more concerning than incidental or unavoidable community overlap.</w:t>
      </w:r>
    </w:p>
    <w:p>
      <w:pPr>
        <w:pStyle w:val="ListBullet"/>
        <w:spacing w:after="30"/>
      </w:pPr>
      <w:r>
        <w:t>Termination is not an immediate ethical reset. Ask what continues after therapy: Confidential knowledge Prior influence Emotional attachment Dependency Vulnerability Possibility of resumed treatment</w:t>
      </w:r>
    </w:p>
    <w:p>
      <w:pPr>
        <w:pStyle w:val="ListBullet"/>
        <w:spacing w:after="30"/>
      </w:pPr>
      <w:r>
        <w:t>For unavoidable multiple relationships, remember: Unavoidable does not mean harmless—but it also does not automatically require referral. Use: Assess → Discuss → Safeguard → Document → Monitor → Refer if unmanageable</w:t>
      </w:r>
    </w:p>
    <w:p>
      <w:pPr>
        <w:pStyle w:val="ListBullet"/>
        <w:spacing w:after="30"/>
      </w:pPr>
      <w:r>
        <w:t>Do not invent a rule that says: “All dual relationships are prohibited.” Instead, determine whether the overlap is manageable, conflicting, exploitative, or expressly prohibited.</w:t>
      </w:r>
    </w:p>
    <w:p>
      <w:pPr>
        <w:pStyle w:val="ListBullet"/>
        <w:spacing w:after="30"/>
      </w:pPr>
      <w:r>
        <w:t>Documentation and planning are not one-time permission slips. Use: Plan → Monitor → Discuss → Revise</w:t>
      </w:r>
    </w:p>
    <w:p>
      <w:pPr>
        <w:pStyle w:val="Heading2"/>
      </w:pPr>
      <w:r>
        <w:t>Chapter Rapid Review</w:t>
      </w:r>
    </w:p>
    <w:p>
      <w:r>
        <w:rPr>
          <w:b/>
        </w:rPr>
        <w:t xml:space="preserve">Know these concepts: </w:t>
      </w:r>
      <w:r>
        <w:t>Multiple Relationships; Multiple Relationship vs. Boundary Crossing; Unavoidable Community Overlap; Conflict of Interest; Digital Multiple Relationships; Avoidable Multiple Relationship; Client Consent and Professional Power; Former-Client Relationships; Multiple-Relationship Decision-Making; California Multiple-Relationship Rule; Conflicting Loyalties; Client Pressure; Reevaluating Safeguards; When Referral Is Appropriate; Manageable Overlap Becoming Unmanageable</w:t>
      </w:r>
    </w:p>
    <w:p>
      <w:r>
        <w:br w:type="page"/>
      </w:r>
    </w:p>
    <w:p>
      <w:pPr>
        <w:pStyle w:val="Heading2"/>
      </w:pPr>
      <w:r>
        <w:t>Chapter 4</w:t>
      </w:r>
    </w:p>
    <w:p>
      <w:pPr>
        <w:pStyle w:val="Heading1"/>
      </w:pPr>
      <w:r>
        <w:t>Gifts, Bartering, and Financial Relationships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Gifts are not automatically appropriate or inappropriate. The therapist should evaluate the gift in context, including: Its financial and emotional value The client’s cultural meaning The client’s financial circumstances Whether the gift is isolated or part of a pattern Whether acceptance could create obligation, favoritism, or an expectation of special treatment How accepting or declining might affect the therapeutic relationship A modest and culturally meaningful gift may sometimes be accepted when it is freely offered, affordable to the client, unlikely to influence treatment, and consistent with applicable organizational policies. The decision should remain client-centered and professionally defensible.</w:t>
            </w:r>
          </w:p>
        </w:tc>
      </w:tr>
    </w:tbl>
    <w:p>
      <w:pPr>
        <w:pStyle w:val="Heading2"/>
      </w:pPr>
      <w:r>
        <w:t>What to Learn</w:t>
      </w:r>
    </w:p>
    <w:p>
      <w:pPr>
        <w:pStyle w:val="ListBullet"/>
        <w:spacing w:after="30"/>
      </w:pPr>
      <w:r>
        <w:t>Explain and apply Evaluating Client Gifts — Part 1 of 2.</w:t>
      </w:r>
    </w:p>
    <w:p>
      <w:pPr>
        <w:pStyle w:val="ListBullet"/>
        <w:spacing w:after="30"/>
      </w:pPr>
      <w:r>
        <w:t>Explain and apply Evaluating Client Gifts — Part 2 of 2.</w:t>
      </w:r>
    </w:p>
    <w:p>
      <w:pPr>
        <w:pStyle w:val="ListBullet"/>
        <w:spacing w:after="30"/>
      </w:pPr>
      <w:r>
        <w:t>Explain and apply California Fee Disclosure.</w:t>
      </w:r>
    </w:p>
    <w:p>
      <w:pPr>
        <w:pStyle w:val="ListBullet"/>
        <w:spacing w:after="30"/>
      </w:pPr>
      <w:r>
        <w:t>Explain and apply Referral Compensation.</w:t>
      </w:r>
    </w:p>
    <w:p>
      <w:pPr>
        <w:pStyle w:val="ListBullet"/>
        <w:spacing w:after="30"/>
      </w:pPr>
      <w:r>
        <w:t>Explain and apply Expensive Client Gifts.</w:t>
      </w:r>
    </w:p>
    <w:p>
      <w:pPr>
        <w:pStyle w:val="ListBullet"/>
        <w:spacing w:after="30"/>
      </w:pPr>
      <w:r>
        <w:t>Explain and apply Reduced-Fee Arrangements.</w:t>
      </w:r>
    </w:p>
    <w:p>
      <w:pPr>
        <w:pStyle w:val="ListBullet"/>
        <w:spacing w:after="30"/>
      </w:pPr>
      <w:r>
        <w:t>Explain and apply Bartering Risk Assessment.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Evaluating Client Gifts — Part 1 of 2</w:t>
            </w:r>
          </w:p>
        </w:tc>
        <w:tc>
          <w:tcPr>
            <w:tcW w:type="dxa" w:w="5256"/>
            <w:vAlign w:val="top"/>
          </w:tcPr>
          <w:p>
            <w:pPr>
              <w:spacing w:after="0"/>
            </w:pPr>
            <w:r/>
            <w:r>
              <w:rPr>
                <w:rFonts w:ascii="Aptos" w:hAnsi="Aptos"/>
                <w:b w:val="0"/>
                <w:sz w:val="16"/>
              </w:rPr>
              <w:t>Gifts are not automatically appropriate or inappropriate. The therapist should evaluate the gift in context, including: Its financial and emotional value The client’s cultural meaning The client’s financial circumstances Whether the gift is isolated or part of a pattern Whether acceptance could create obligation, favoritism, or an expectation of special treatment How accepting or declining might affect the therapeutic relationship A modest and culturally meaningful gift may sometimes be accepted when it is freely offered, affordable to the client, unlikely to influence treatment, and consistent with applicable organizational policies.</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Evaluating Client Gifts — Part 2 of 2</w:t>
            </w:r>
          </w:p>
        </w:tc>
        <w:tc>
          <w:tcPr>
            <w:tcW w:type="dxa" w:w="5256"/>
            <w:vAlign w:val="top"/>
            <w:shd w:fill="F7F9FA"/>
          </w:tcPr>
          <w:p>
            <w:pPr>
              <w:spacing w:after="0"/>
            </w:pPr>
            <w:r/>
            <w:r>
              <w:rPr>
                <w:rFonts w:ascii="Aptos" w:hAnsi="Aptos"/>
                <w:b w:val="0"/>
                <w:sz w:val="16"/>
              </w:rPr>
              <w:t>The decision should remain client-centered and professionally defensible.</w:t>
            </w:r>
          </w:p>
        </w:tc>
        <w:tc>
          <w:tcPr>
            <w:tcW w:type="dxa" w:w="2520"/>
            <w:vAlign w:val="top"/>
            <w:shd w:fill="F7F9FA"/>
          </w:tcPr>
          <w:p>
            <w:pPr>
              <w:spacing w:after="0"/>
            </w:pPr>
            <w:r/>
            <w:r>
              <w:rPr>
                <w:rFonts w:ascii="Aptos" w:hAnsi="Aptos"/>
                <w:b w:val="0"/>
                <w:sz w:val="16"/>
              </w:rPr>
              <w:t>Gift questions rarely have an automatic accept or reject answer. Use: VALUE → MEANING → PATTERN → IMPACT</w:t>
            </w:r>
          </w:p>
        </w:tc>
      </w:tr>
      <w:tr>
        <w:tc>
          <w:tcPr>
            <w:tcW w:type="dxa" w:w="2376"/>
            <w:vAlign w:val="top"/>
          </w:tcPr>
          <w:p>
            <w:pPr>
              <w:spacing w:after="0"/>
            </w:pPr>
            <w:r/>
            <w:r>
              <w:rPr>
                <w:rFonts w:ascii="Aptos" w:hAnsi="Aptos"/>
                <w:b/>
                <w:sz w:val="16"/>
              </w:rPr>
              <w:t>California Fee Disclosure</w:t>
            </w:r>
          </w:p>
        </w:tc>
        <w:tc>
          <w:tcPr>
            <w:tcW w:type="dxa" w:w="5256"/>
            <w:vAlign w:val="top"/>
          </w:tcPr>
          <w:p>
            <w:pPr>
              <w:spacing w:after="0"/>
            </w:pPr>
            <w:r/>
            <w:r>
              <w:rPr>
                <w:rFonts w:ascii="Aptos" w:hAnsi="Aptos"/>
                <w:b w:val="0"/>
                <w:sz w:val="16"/>
              </w:rPr>
              <w:t>The workbook identifies failure to disclose the fee or the basis for calculating the fee before treatment begins as a California unprofessional-conduct concern. Clients should understand the financial terms of treatment before services start so they can make informed decisions about participation. Relevant information may include the session fee, how charges are calculated, payment expectations, cancellation policies, additional charges, insurance billing, and how future fee changes will be communicated.</w:t>
            </w:r>
          </w:p>
        </w:tc>
        <w:tc>
          <w:tcPr>
            <w:tcW w:type="dxa" w:w="2520"/>
            <w:vAlign w:val="top"/>
          </w:tcPr>
          <w:p>
            <w:pPr>
              <w:spacing w:after="0"/>
            </w:pPr>
            <w:r/>
            <w:r>
              <w:rPr>
                <w:rFonts w:ascii="Aptos" w:hAnsi="Aptos"/>
                <w:b w:val="0"/>
                <w:sz w:val="16"/>
              </w:rPr>
              <w:t>When a question states that the fee was explained after treatment began, recognize a direct California-law issue. Do not treat it merely as a general communication problem.</w:t>
            </w:r>
          </w:p>
        </w:tc>
      </w:tr>
      <w:tr>
        <w:tc>
          <w:tcPr>
            <w:tcW w:type="dxa" w:w="2376"/>
            <w:vAlign w:val="top"/>
            <w:shd w:fill="F7F9FA"/>
          </w:tcPr>
          <w:p>
            <w:pPr>
              <w:spacing w:after="0"/>
            </w:pPr>
            <w:r/>
            <w:r>
              <w:rPr>
                <w:rFonts w:ascii="Aptos" w:hAnsi="Aptos"/>
                <w:b/>
                <w:sz w:val="16"/>
              </w:rPr>
              <w:t>Referral Compensation</w:t>
            </w:r>
          </w:p>
        </w:tc>
        <w:tc>
          <w:tcPr>
            <w:tcW w:type="dxa" w:w="5256"/>
            <w:vAlign w:val="top"/>
            <w:shd w:fill="F7F9FA"/>
          </w:tcPr>
          <w:p>
            <w:pPr>
              <w:spacing w:after="0"/>
            </w:pPr>
            <w:r/>
            <w:r>
              <w:rPr>
                <w:rFonts w:ascii="Aptos" w:hAnsi="Aptos"/>
                <w:b w:val="0"/>
                <w:sz w:val="16"/>
              </w:rPr>
              <w:t>The payment is tied directly to sending a professional client rather than to legitimate services actually performed. The workbook identifies paying, accepting, or soliciting monetary or nonmonetary compensation for professional client referrals as a California unprofessional-conduct concern when the compensation is for the referral itself. The rule helps prevent financial incentives from influencing referral decisions that should instead be based on client need, provider competence, accessibility, and continuity of care.</w:t>
            </w:r>
          </w:p>
        </w:tc>
        <w:tc>
          <w:tcPr>
            <w:tcW w:type="dxa" w:w="2520"/>
            <w:vAlign w:val="top"/>
            <w:shd w:fill="F7F9FA"/>
          </w:tcPr>
          <w:p>
            <w:pPr>
              <w:spacing w:after="0"/>
            </w:pPr>
            <w:r/>
            <w:r>
              <w:rPr>
                <w:rFonts w:ascii="Aptos" w:hAnsi="Aptos"/>
                <w:b w:val="0"/>
                <w:sz w:val="16"/>
              </w:rPr>
              <w:t>Distinguish between: Payment for legitimate professional or marketing services, and Payment merely for sending or receiving a client The second situation creates the direct California referral-compensation concern.</w:t>
            </w:r>
          </w:p>
        </w:tc>
      </w:tr>
      <w:tr>
        <w:tc>
          <w:tcPr>
            <w:tcW w:type="dxa" w:w="2376"/>
            <w:vAlign w:val="top"/>
          </w:tcPr>
          <w:p>
            <w:pPr>
              <w:spacing w:after="0"/>
            </w:pPr>
            <w:r/>
            <w:r>
              <w:rPr>
                <w:rFonts w:ascii="Aptos" w:hAnsi="Aptos"/>
                <w:b/>
                <w:sz w:val="16"/>
              </w:rPr>
              <w:t>Expensive Client Gifts</w:t>
            </w:r>
          </w:p>
        </w:tc>
        <w:tc>
          <w:tcPr>
            <w:tcW w:type="dxa" w:w="5256"/>
            <w:vAlign w:val="top"/>
          </w:tcPr>
          <w:p>
            <w:pPr>
              <w:spacing w:after="0"/>
            </w:pPr>
            <w:r/>
            <w:r>
              <w:rPr>
                <w:rFonts w:ascii="Aptos" w:hAnsi="Aptos"/>
                <w:b w:val="0"/>
                <w:sz w:val="16"/>
              </w:rPr>
              <w:t>The gift’s high value, the client’s financial hardship, and the emotionally urgent language all increase concern. Acceptance could reinforce dependency, create a sense of obligation, affect treatment expectations, or allow the therapist to benefit materially from the client’s vulnerability. The therapist should explore what the gift represents, acknowledge the client’s gratitude, and decline it without shaming or rejecting the client. The meaning of the gift can still be addressed therapeutically even when the item is not accepted.</w:t>
            </w:r>
          </w:p>
        </w:tc>
        <w:tc>
          <w:tcPr>
            <w:tcW w:type="dxa" w:w="2520"/>
            <w:vAlign w:val="top"/>
          </w:tcPr>
          <w:p>
            <w:pPr>
              <w:spacing w:after="0"/>
            </w:pPr>
            <w:r/>
            <w:r>
              <w:rPr>
                <w:rFonts w:ascii="Aptos" w:hAnsi="Aptos"/>
                <w:b w:val="0"/>
                <w:sz w:val="16"/>
              </w:rPr>
              <w:t>Do not evaluate a gift by price alone—but when the gift is both expensive and financially burdensome, sensitive refusal is usually the stronger response.</w:t>
            </w:r>
          </w:p>
        </w:tc>
      </w:tr>
      <w:tr>
        <w:tc>
          <w:tcPr>
            <w:tcW w:type="dxa" w:w="2376"/>
            <w:vAlign w:val="top"/>
            <w:shd w:fill="F7F9FA"/>
          </w:tcPr>
          <w:p>
            <w:pPr>
              <w:spacing w:after="0"/>
            </w:pPr>
            <w:r/>
            <w:r>
              <w:rPr>
                <w:rFonts w:ascii="Aptos" w:hAnsi="Aptos"/>
                <w:b/>
                <w:sz w:val="16"/>
              </w:rPr>
              <w:t>Reduced-Fee Arrangements</w:t>
            </w:r>
          </w:p>
        </w:tc>
        <w:tc>
          <w:tcPr>
            <w:tcW w:type="dxa" w:w="5256"/>
            <w:vAlign w:val="top"/>
            <w:shd w:fill="F7F9FA"/>
          </w:tcPr>
          <w:p>
            <w:pPr>
              <w:spacing w:after="0"/>
            </w:pPr>
            <w:r/>
            <w:r>
              <w:rPr>
                <w:rFonts w:ascii="Aptos" w:hAnsi="Aptos"/>
                <w:b w:val="0"/>
                <w:sz w:val="16"/>
              </w:rPr>
              <w:t>A reduced-fee or sliding-scale arrangement may appropriately support access to care. It should be understandable, financially sustainable, consistently administered, documented, and periodically reviewed. The therapist should also evaluate whether personal attachment or a rescue impulse is influencing the decision. A reasonable accommodation is not automatically a boundary problem, but secrecy and favoritism may create confusion or resentment and impair professional judgment.</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Bartering Risk Assessment</w:t>
            </w:r>
          </w:p>
        </w:tc>
        <w:tc>
          <w:tcPr>
            <w:tcW w:type="dxa" w:w="5256"/>
            <w:vAlign w:val="top"/>
          </w:tcPr>
          <w:p>
            <w:pPr>
              <w:spacing w:after="0"/>
            </w:pPr>
            <w:r/>
            <w:r>
              <w:rPr>
                <w:rFonts w:ascii="Aptos" w:hAnsi="Aptos"/>
                <w:b w:val="0"/>
                <w:sz w:val="16"/>
              </w:rPr>
              <w:t>Bartering may make the therapist a clinician and also a customer, employer, debtor, or evaluator of the client’s work. Disagreement about quality, value, deadlines, or satisfaction may then interfere with treatment and make termination more difficult. The therapist should examine fairness, client vulnerability, realistic alternatives, possible coercion, confidentiality, and whether the arrangement primarily benefits the client or the therapist. Bartering is not automatically prohibited, but it requires careful analysis.</w:t>
            </w:r>
          </w:p>
        </w:tc>
        <w:tc>
          <w:tcPr>
            <w:tcW w:type="dxa" w:w="2520"/>
            <w:vAlign w:val="top"/>
          </w:tcPr>
          <w:p>
            <w:pPr>
              <w:spacing w:after="0"/>
            </w:pPr>
            <w:r/>
            <w:r>
              <w:rPr>
                <w:rFonts w:ascii="Aptos" w:hAnsi="Aptos"/>
                <w:b w:val="0"/>
                <w:sz w:val="16"/>
              </w:rPr>
              <w:t>For bartering questions, ask: Is the exchange fair, voluntary, easy to value, and unlikely to interfere with treatment?</w:t>
            </w:r>
          </w:p>
        </w:tc>
      </w:tr>
      <w:tr>
        <w:tc>
          <w:tcPr>
            <w:tcW w:type="dxa" w:w="2376"/>
            <w:vAlign w:val="top"/>
            <w:shd w:fill="F7F9FA"/>
          </w:tcPr>
          <w:p>
            <w:pPr>
              <w:spacing w:after="0"/>
            </w:pPr>
            <w:r/>
            <w:r>
              <w:rPr>
                <w:rFonts w:ascii="Aptos" w:hAnsi="Aptos"/>
                <w:b/>
                <w:sz w:val="16"/>
              </w:rPr>
              <w:t>Bartering and Multiple Roles</w:t>
            </w:r>
          </w:p>
        </w:tc>
        <w:tc>
          <w:tcPr>
            <w:tcW w:type="dxa" w:w="5256"/>
            <w:vAlign w:val="top"/>
            <w:shd w:fill="F7F9FA"/>
          </w:tcPr>
          <w:p>
            <w:pPr>
              <w:spacing w:after="0"/>
            </w:pPr>
            <w:r/>
            <w:r>
              <w:rPr>
                <w:rFonts w:ascii="Aptos" w:hAnsi="Aptos"/>
                <w:b w:val="0"/>
                <w:sz w:val="16"/>
              </w:rPr>
              <w:t>The therapist would become both the client’s clinician and customer. The therapist may need to evaluate the client’s work, negotiate materials and deadlines, or address dissatisfaction—all of which could affect the clinical relationship. The exchange may also be difficult to value fairly. The client may feel pressure to accept because of financial need or fear that refusal could affect treatment. Safer alternatives, including a payment plan, reduced fee, community resources, or affordable referral, should be considered.</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Loans and Financial Exploitation</w:t>
            </w:r>
          </w:p>
        </w:tc>
        <w:tc>
          <w:tcPr>
            <w:tcW w:type="dxa" w:w="5256"/>
            <w:vAlign w:val="top"/>
          </w:tcPr>
          <w:p>
            <w:pPr>
              <w:spacing w:after="0"/>
            </w:pPr>
            <w:r/>
            <w:r>
              <w:rPr>
                <w:rFonts w:ascii="Aptos" w:hAnsi="Aptos"/>
                <w:b w:val="0"/>
                <w:sz w:val="16"/>
              </w:rPr>
              <w:t>Borrowing from a current client places the therapist’s personal financial interests directly inside the therapeutic relationship. The client may feel unable to decline, may hope the loan will create special status, or may fear that refusal will affect treatment. The arrangement also creates creditor-debtor roles, emotional indebtedness, divided loyalties, and substantial risk of exploitation and impaired judgment. The client’s financial ability to lend does not resolve these concerns.</w:t>
            </w:r>
          </w:p>
        </w:tc>
        <w:tc>
          <w:tcPr>
            <w:tcW w:type="dxa" w:w="2520"/>
            <w:vAlign w:val="top"/>
          </w:tcPr>
          <w:p>
            <w:pPr>
              <w:spacing w:after="0"/>
            </w:pPr>
            <w:r/>
            <w:r>
              <w:rPr>
                <w:rFonts w:ascii="Aptos" w:hAnsi="Aptos"/>
                <w:b w:val="0"/>
                <w:sz w:val="16"/>
              </w:rPr>
              <w:t>When a therapist requests: Money A loan An investment Free labor A personal financial favor ask whether professional influence is being used for clinician benefit.</w:t>
            </w:r>
          </w:p>
        </w:tc>
      </w:tr>
      <w:tr>
        <w:tc>
          <w:tcPr>
            <w:tcW w:type="dxa" w:w="2376"/>
            <w:vAlign w:val="top"/>
            <w:shd w:fill="F7F9FA"/>
          </w:tcPr>
          <w:p>
            <w:pPr>
              <w:spacing w:after="0"/>
            </w:pPr>
            <w:r/>
            <w:r>
              <w:rPr>
                <w:rFonts w:ascii="Aptos" w:hAnsi="Aptos"/>
                <w:b/>
                <w:sz w:val="16"/>
              </w:rPr>
              <w:t>Financial Exploitation Through Treatment Decisions</w:t>
            </w:r>
          </w:p>
        </w:tc>
        <w:tc>
          <w:tcPr>
            <w:tcW w:type="dxa" w:w="5256"/>
            <w:vAlign w:val="top"/>
            <w:shd w:fill="F7F9FA"/>
          </w:tcPr>
          <w:p>
            <w:pPr>
              <w:spacing w:after="0"/>
            </w:pPr>
            <w:r/>
            <w:r>
              <w:rPr>
                <w:rFonts w:ascii="Aptos" w:hAnsi="Aptos"/>
                <w:b w:val="0"/>
                <w:sz w:val="16"/>
              </w:rPr>
              <w:t>Continuing ineffective treatment primarily to preserve income places the therapist’s financial interest above the client’s clinical needs. The therapist should evaluate treatment effectiveness, discuss progress and alternatives honestly, and modify, conclude, or refer treatment when appropriate. The central exam question is: Would the therapist make the same clinical recommendation without the financial benefit? If the answer may be no, a serious conflict-of-interest or exploitation concern exists.</w:t>
            </w:r>
          </w:p>
        </w:tc>
        <w:tc>
          <w:tcPr>
            <w:tcW w:type="dxa" w:w="2520"/>
            <w:vAlign w:val="top"/>
            <w:shd w:fill="F7F9FA"/>
          </w:tcPr>
          <w:p>
            <w:pPr>
              <w:spacing w:after="0"/>
            </w:pPr>
            <w:r/>
            <w:r>
              <w:rPr>
                <w:rFonts w:ascii="Aptos" w:hAnsi="Aptos"/>
                <w:b w:val="0"/>
                <w:sz w:val="16"/>
              </w:rPr>
              <w:t>Watch for treatment decisions influenced by: Income Debt Personal business interests Product sales Continued access to client labor or services Financial benefit should not determine what the therapist recommends clinically.</w:t>
            </w:r>
          </w:p>
        </w:tc>
      </w:tr>
      <w:tr>
        <w:tc>
          <w:tcPr>
            <w:tcW w:type="dxa" w:w="2376"/>
            <w:vAlign w:val="top"/>
          </w:tcPr>
          <w:p>
            <w:pPr>
              <w:spacing w:after="0"/>
            </w:pPr>
            <w:r/>
            <w:r>
              <w:rPr>
                <w:rFonts w:ascii="Aptos" w:hAnsi="Aptos"/>
                <w:b/>
                <w:sz w:val="16"/>
              </w:rPr>
              <w:t>California Financial Rules — Part 1 of 2</w:t>
            </w:r>
          </w:p>
        </w:tc>
        <w:tc>
          <w:tcPr>
            <w:tcW w:type="dxa" w:w="5256"/>
            <w:vAlign w:val="top"/>
          </w:tcPr>
          <w:p>
            <w:pPr>
              <w:spacing w:after="0"/>
            </w:pPr>
            <w:r/>
            <w:r>
              <w:rPr>
                <w:rFonts w:ascii="Aptos" w:hAnsi="Aptos"/>
                <w:b w:val="0"/>
                <w:sz w:val="16"/>
              </w:rPr>
              <w:t>California Business and Professions Code section 4999.90(n)-(o) identifies failure to disclose the fee or basis for calculating the fee before treatment and compensation for professional client referrals as professional-conduct concerns. Compensation must relate to professional clinical counseling services actually provided; a disclosed fee for legitimate collaboration is different from payment made solely for sending a client.</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California Financial Rules — Part 2 of 2</w:t>
            </w:r>
          </w:p>
        </w:tc>
        <w:tc>
          <w:tcPr>
            <w:tcW w:type="dxa" w:w="5256"/>
            <w:vAlign w:val="top"/>
            <w:shd w:fill="F7F9FA"/>
          </w:tcPr>
          <w:p>
            <w:pPr>
              <w:spacing w:after="0"/>
            </w:pPr>
            <w:r/>
            <w:r>
              <w:rPr>
                <w:rFonts w:ascii="Aptos" w:hAnsi="Aptos"/>
                <w:b w:val="0"/>
                <w:sz w:val="16"/>
              </w:rPr>
              <w:t>The attached workbook makes the same distinction between legitimate services and payment merely for a referral.</w:t>
            </w:r>
          </w:p>
        </w:tc>
        <w:tc>
          <w:tcPr>
            <w:tcW w:type="dxa" w:w="2520"/>
            <w:vAlign w:val="top"/>
            <w:shd w:fill="F7F9FA"/>
          </w:tcPr>
          <w:p>
            <w:pPr>
              <w:spacing w:after="0"/>
            </w:pPr>
            <w:r/>
            <w:r>
              <w:rPr>
                <w:rFonts w:ascii="Aptos" w:hAnsi="Aptos"/>
                <w:b w:val="0"/>
                <w:sz w:val="16"/>
              </w:rPr>
              <w:t>When a California financial question appears, separate the issues: Was the fee or fee basis disclosed before treatment began? Is the payment for a legitimate service—or merely for sending a client? Is the financial conduct honest, transparent, and free from exploitation?</w:t>
            </w:r>
          </w:p>
        </w:tc>
      </w:tr>
      <w:tr>
        <w:tc>
          <w:tcPr>
            <w:tcW w:type="dxa" w:w="2376"/>
            <w:vAlign w:val="top"/>
          </w:tcPr>
          <w:p>
            <w:pPr>
              <w:spacing w:after="0"/>
            </w:pPr>
            <w:r/>
            <w:r>
              <w:rPr>
                <w:rFonts w:ascii="Aptos" w:hAnsi="Aptos"/>
                <w:b/>
                <w:sz w:val="16"/>
              </w:rPr>
              <w:t>Gift Meaning and Treatment Influence</w:t>
            </w:r>
          </w:p>
        </w:tc>
        <w:tc>
          <w:tcPr>
            <w:tcW w:type="dxa" w:w="5256"/>
            <w:vAlign w:val="top"/>
          </w:tcPr>
          <w:p>
            <w:pPr>
              <w:spacing w:after="0"/>
            </w:pPr>
            <w:r/>
            <w:r>
              <w:rPr>
                <w:rFonts w:ascii="Aptos" w:hAnsi="Aptos"/>
                <w:b w:val="0"/>
                <w:sz w:val="16"/>
              </w:rPr>
              <w:t>The financial value of a gift is only one factor. Even an inexpensive item may carry significant relational meaning or create expectations involving favoritism, exclusivity, special access, or altered treatment decisions. The therapist should explore what the gift means to the client and clarify that accepting or declining it will not create a special therapeutic status. The decision should focus on client welfare, role clarity, and the effect on treatment.</w:t>
            </w:r>
          </w:p>
        </w:tc>
        <w:tc>
          <w:tcPr>
            <w:tcW w:type="dxa" w:w="2520"/>
            <w:vAlign w:val="top"/>
          </w:tcPr>
          <w:p>
            <w:pPr>
              <w:spacing w:after="0"/>
            </w:pPr>
            <w:r/>
            <w:r>
              <w:rPr>
                <w:rFonts w:ascii="Aptos" w:hAnsi="Aptos"/>
                <w:b w:val="0"/>
                <w:sz w:val="16"/>
              </w:rPr>
              <w:t>Do not assume: Small gift = no ethical concern Ask what the gift represents and what the client expects in return.</w:t>
            </w:r>
          </w:p>
        </w:tc>
      </w:tr>
      <w:tr>
        <w:tc>
          <w:tcPr>
            <w:tcW w:type="dxa" w:w="2376"/>
            <w:vAlign w:val="top"/>
            <w:shd w:fill="F7F9FA"/>
          </w:tcPr>
          <w:p>
            <w:pPr>
              <w:spacing w:after="0"/>
            </w:pPr>
            <w:r/>
            <w:r>
              <w:rPr>
                <w:rFonts w:ascii="Aptos" w:hAnsi="Aptos"/>
                <w:b/>
                <w:sz w:val="16"/>
              </w:rPr>
              <w:t>Repeated and Escalating Gifts</w:t>
            </w:r>
          </w:p>
        </w:tc>
        <w:tc>
          <w:tcPr>
            <w:tcW w:type="dxa" w:w="5256"/>
            <w:vAlign w:val="top"/>
            <w:shd w:fill="F7F9FA"/>
          </w:tcPr>
          <w:p>
            <w:pPr>
              <w:spacing w:after="0"/>
            </w:pPr>
            <w:r/>
            <w:r>
              <w:rPr>
                <w:rFonts w:ascii="Aptos" w:hAnsi="Aptos"/>
                <w:b w:val="0"/>
                <w:sz w:val="16"/>
              </w:rPr>
              <w:t>Repeated and escalating gifts create more concern than a single modest gesture. The pattern may reflect increasing attachment, dependency, an attempt to influence treatment, fear of rejection, or an expectation of reciprocity. The therapist should discuss the pattern respectfully, assess its effect on treatment, clarify boundaries, and determine whether continued acceptance would create obligation or impair objectivity.</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Product Sales and Financial Conflict</w:t>
            </w:r>
          </w:p>
        </w:tc>
        <w:tc>
          <w:tcPr>
            <w:tcW w:type="dxa" w:w="5256"/>
            <w:vAlign w:val="top"/>
          </w:tcPr>
          <w:p>
            <w:pPr>
              <w:spacing w:after="0"/>
            </w:pPr>
            <w:r/>
            <w:r>
              <w:rPr>
                <w:rFonts w:ascii="Aptos" w:hAnsi="Aptos"/>
                <w:b w:val="0"/>
                <w:sz w:val="16"/>
              </w:rPr>
              <w:t>The therapist receives personal financial benefit when clients purchase the recommended products. This creates a conflict between the therapist’s duty to provide objective clinical guidance and the therapist’s interest in earning commissions. Clients may also feel pressured to purchase because of the therapist’s authority, dependency, or belief that refusal could affect treatment. The therapist should avoid allowing personal financial interests to influence clinical care.</w:t>
            </w:r>
          </w:p>
        </w:tc>
        <w:tc>
          <w:tcPr>
            <w:tcW w:type="dxa" w:w="2520"/>
            <w:vAlign w:val="top"/>
          </w:tcPr>
          <w:p>
            <w:pPr>
              <w:spacing w:after="0"/>
            </w:pPr>
            <w:r/>
            <w:r>
              <w:rPr>
                <w:rFonts w:ascii="Aptos" w:hAnsi="Aptos"/>
                <w:b w:val="0"/>
                <w:sz w:val="16"/>
              </w:rPr>
              <w:t>When a therapist earns money from something recommended to clients, ask: Would the same recommendation be made without the financial benefit?</w:t>
            </w:r>
          </w:p>
        </w:tc>
      </w:tr>
      <w:tr>
        <w:tc>
          <w:tcPr>
            <w:tcW w:type="dxa" w:w="2376"/>
            <w:vAlign w:val="top"/>
            <w:shd w:fill="F7F9FA"/>
          </w:tcPr>
          <w:p>
            <w:pPr>
              <w:spacing w:after="0"/>
            </w:pPr>
            <w:r/>
            <w:r>
              <w:rPr>
                <w:rFonts w:ascii="Aptos" w:hAnsi="Aptos"/>
                <w:b/>
                <w:sz w:val="16"/>
              </w:rPr>
              <w:t>Employment and Financial Multiple Relationships</w:t>
            </w:r>
          </w:p>
        </w:tc>
        <w:tc>
          <w:tcPr>
            <w:tcW w:type="dxa" w:w="5256"/>
            <w:vAlign w:val="top"/>
            <w:shd w:fill="F7F9FA"/>
          </w:tcPr>
          <w:p>
            <w:pPr>
              <w:spacing w:after="0"/>
            </w:pPr>
            <w:r/>
            <w:r>
              <w:rPr>
                <w:rFonts w:ascii="Aptos" w:hAnsi="Aptos"/>
                <w:b w:val="0"/>
                <w:sz w:val="16"/>
              </w:rPr>
              <w:t>The therapist becomes the client’s clinician, employer, customer, and creditor. A disagreement about work quality, scheduling, payment, or childcare may directly affect treatment. The client may also feel unable to refuse the arrangement or complain about employment conditions because the therapist controls access to care and the fee. Safer financial alternatives should be considered.</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Fraudulent or Deceptive Billing</w:t>
            </w:r>
          </w:p>
        </w:tc>
        <w:tc>
          <w:tcPr>
            <w:tcW w:type="dxa" w:w="5256"/>
            <w:vAlign w:val="top"/>
          </w:tcPr>
          <w:p>
            <w:pPr>
              <w:spacing w:after="0"/>
            </w:pPr>
            <w:r/>
            <w:r>
              <w:rPr>
                <w:rFonts w:ascii="Aptos" w:hAnsi="Aptos"/>
                <w:b w:val="0"/>
                <w:sz w:val="16"/>
              </w:rPr>
              <w:t>The therapist has intentionally misrepresented services and created false records to obtain payment. This is not a contextual gift or fee-negotiation question; it involves deliberate deception and possible financial exploitation. The therapist must stop the conduct, correct inaccurate billing and records through appropriate procedures, assess client impact, and follow applicable organizational, professional, and legal requirements.</w:t>
            </w:r>
          </w:p>
        </w:tc>
        <w:tc>
          <w:tcPr>
            <w:tcW w:type="dxa" w:w="2520"/>
            <w:vAlign w:val="top"/>
          </w:tcPr>
          <w:p>
            <w:pPr>
              <w:spacing w:after="0"/>
            </w:pPr>
            <w:r/>
            <w:r>
              <w:rPr>
                <w:rFonts w:ascii="Aptos" w:hAnsi="Aptos"/>
                <w:b w:val="0"/>
                <w:sz w:val="16"/>
              </w:rPr>
              <w:t>Distinguish between: Unclear fee communication: Clarify and correct. Intentional deceptive billing: Stop, correct, and address as serious misconduct.</w:t>
            </w:r>
          </w:p>
        </w:tc>
      </w:tr>
      <w:tr>
        <w:tc>
          <w:tcPr>
            <w:tcW w:type="dxa" w:w="2376"/>
            <w:vAlign w:val="top"/>
            <w:shd w:fill="F7F9FA"/>
          </w:tcPr>
          <w:p>
            <w:pPr>
              <w:spacing w:after="0"/>
            </w:pPr>
            <w:r/>
            <w:r>
              <w:rPr>
                <w:rFonts w:ascii="Aptos" w:hAnsi="Aptos"/>
                <w:b/>
                <w:sz w:val="16"/>
              </w:rPr>
              <w:t>Legitimate Services vs. Referral Compensation</w:t>
            </w:r>
          </w:p>
        </w:tc>
        <w:tc>
          <w:tcPr>
            <w:tcW w:type="dxa" w:w="5256"/>
            <w:vAlign w:val="top"/>
            <w:shd w:fill="F7F9FA"/>
          </w:tcPr>
          <w:p>
            <w:pPr>
              <w:spacing w:after="0"/>
            </w:pPr>
            <w:r/>
            <w:r>
              <w:rPr>
                <w:rFonts w:ascii="Aptos" w:hAnsi="Aptos"/>
                <w:b w:val="0"/>
                <w:sz w:val="16"/>
              </w:rPr>
              <w:t>Payment for legitimate professional services actually provided—such as documented consultation—is analytically different from compensation tied solely to referring a client. The substance of the arrangement controls. Calling a referral bonus “consultation income” does not change its purpose when no corresponding professional service was performed.</w:t>
            </w:r>
          </w:p>
        </w:tc>
        <w:tc>
          <w:tcPr>
            <w:tcW w:type="dxa" w:w="2520"/>
            <w:vAlign w:val="top"/>
            <w:shd w:fill="F7F9FA"/>
          </w:tcPr>
          <w:p>
            <w:pPr>
              <w:spacing w:after="0"/>
            </w:pPr>
            <w:r/>
            <w:r>
              <w:rPr>
                <w:rFonts w:ascii="Aptos" w:hAnsi="Aptos"/>
                <w:b w:val="0"/>
                <w:sz w:val="16"/>
              </w:rPr>
              <w:t>Ask: What service was actually provided in exchange for the payment? No legitimate service + payment tied to a client referral = direct concern.</w:t>
            </w:r>
          </w:p>
        </w:tc>
      </w:tr>
      <w:tr>
        <w:tc>
          <w:tcPr>
            <w:tcW w:type="dxa" w:w="2376"/>
            <w:vAlign w:val="top"/>
          </w:tcPr>
          <w:p>
            <w:pPr>
              <w:spacing w:after="0"/>
            </w:pPr>
            <w:r/>
            <w:r>
              <w:rPr>
                <w:rFonts w:ascii="Aptos" w:hAnsi="Aptos"/>
                <w:b/>
                <w:sz w:val="16"/>
              </w:rPr>
              <w:t>Gifts, Bartering, and Financial Relationships</w:t>
            </w:r>
          </w:p>
        </w:tc>
        <w:tc>
          <w:tcPr>
            <w:tcW w:type="dxa" w:w="5256"/>
            <w:vAlign w:val="top"/>
          </w:tcPr>
          <w:p>
            <w:pPr>
              <w:spacing w:after="0"/>
            </w:pPr>
            <w:r/>
            <w:r>
              <w:rPr>
                <w:rFonts w:ascii="Aptos" w:hAnsi="Aptos"/>
                <w:b w:val="0"/>
                <w:sz w:val="16"/>
              </w:rPr>
              <w:t>The scenario contains a pattern of therapist-centered financial conduct: Expensive gifts from a vulnerable client Employment and bartering roles Commission-based recommendations Financially motivated continuation of ineffective treatment Secrecy and avoidance of professional review Together, these facts suggest that the therapist’s personal financial interests are displacing client welfare and professional judgment. The therapist should stop the exploitative arrangements, assess client impact, correct inaccurate or unfair financial practices, restore appropriate boundaries, seek professional guidance, preserve accurate records, and protect continuity of care.</w:t>
            </w:r>
          </w:p>
        </w:tc>
        <w:tc>
          <w:tcPr>
            <w:tcW w:type="dxa" w:w="2520"/>
            <w:vAlign w:val="top"/>
          </w:tcPr>
          <w:p>
            <w:pPr>
              <w:spacing w:after="0"/>
            </w:pPr>
            <w:r/>
            <w:r>
              <w:rPr>
                <w:rFonts w:ascii="Aptos" w:hAnsi="Aptos"/>
                <w:b w:val="0"/>
                <w:sz w:val="16"/>
              </w:rPr>
              <w:t>For complex financial-boundary questions, use: ARRANGEMENT → POWER → BENEFIT → CONFLICT → CLIENT IMPACT → CALIFORNIA RULE Ask: What financial arrangement exists? Could the client freely decline? Who primarily benefits? Could money influence clinical judgment? How is treatment affected? Does a direct fee, referral, fraud, or exploitation rule apply? FORMATTED QUESTION BANK</w:t>
            </w:r>
          </w:p>
        </w:tc>
      </w:tr>
    </w:tbl>
    <w:p>
      <w:pPr>
        <w:pStyle w:val="Heading2"/>
      </w:pPr>
      <w:r>
        <w:t>Exam Reasoning Checklist</w:t>
      </w:r>
    </w:p>
    <w:p>
      <w:pPr>
        <w:pStyle w:val="ListBullet"/>
        <w:spacing w:after="30"/>
      </w:pPr>
      <w:r>
        <w:t>Gift questions rarely have an automatic accept or reject answer. Use: VALUE → MEANING → PATTERN → IMPACT</w:t>
      </w:r>
    </w:p>
    <w:p>
      <w:pPr>
        <w:pStyle w:val="ListBullet"/>
        <w:spacing w:after="30"/>
      </w:pPr>
      <w:r>
        <w:t>When a question states that the fee was explained after treatment began, recognize a direct California-law issue. Do not treat it merely as a general communication problem.</w:t>
      </w:r>
    </w:p>
    <w:p>
      <w:pPr>
        <w:pStyle w:val="ListBullet"/>
        <w:spacing w:after="30"/>
      </w:pPr>
      <w:r>
        <w:t>Distinguish between: Payment for legitimate professional or marketing services, and Payment merely for sending or receiving a client The second situation creates the direct California referral-compensation concern.</w:t>
      </w:r>
    </w:p>
    <w:p>
      <w:pPr>
        <w:pStyle w:val="ListBullet"/>
        <w:spacing w:after="30"/>
      </w:pPr>
      <w:r>
        <w:t>Do not evaluate a gift by price alone—but when the gift is both expensive and financially burdensome, sensitive refusal is usually the stronger response.</w:t>
      </w:r>
    </w:p>
    <w:p>
      <w:pPr>
        <w:pStyle w:val="ListBullet"/>
        <w:spacing w:after="30"/>
      </w:pPr>
      <w:r>
        <w:t>For bartering questions, ask: Is the exchange fair, voluntary, easy to value, and unlikely to interfere with treatment?</w:t>
      </w:r>
    </w:p>
    <w:p>
      <w:pPr>
        <w:pStyle w:val="ListBullet"/>
        <w:spacing w:after="30"/>
      </w:pPr>
      <w:r>
        <w:t>When a therapist requests: Money A loan An investment Free labor A personal financial favor ask whether professional influence is being used for clinician benefit.</w:t>
      </w:r>
    </w:p>
    <w:p>
      <w:pPr>
        <w:pStyle w:val="ListBullet"/>
        <w:spacing w:after="30"/>
      </w:pPr>
      <w:r>
        <w:t>Watch for treatment decisions influenced by: Income Debt Personal business interests Product sales Continued access to client labor or services Financial benefit should not determine what the therapist recommends clinically.</w:t>
      </w:r>
    </w:p>
    <w:p>
      <w:pPr>
        <w:pStyle w:val="ListBullet"/>
        <w:spacing w:after="30"/>
      </w:pPr>
      <w:r>
        <w:t>When a California financial question appears, separate the issues: Was the fee or fee basis disclosed before treatment began? Is the payment for a legitimate service—or merely for sending a client? Is the financial conduct honest, transparent, and free from exploitation?</w:t>
      </w:r>
    </w:p>
    <w:p>
      <w:pPr>
        <w:pStyle w:val="Heading2"/>
      </w:pPr>
      <w:r>
        <w:t>Chapter Rapid Review</w:t>
      </w:r>
    </w:p>
    <w:p>
      <w:r>
        <w:rPr>
          <w:b/>
        </w:rPr>
        <w:t xml:space="preserve">Know these concepts: </w:t>
      </w:r>
      <w:r>
        <w:t>Evaluating Client Gifts — Part 1 of 2; Evaluating Client Gifts — Part 2 of 2; California Fee Disclosure; Referral Compensation; Expensive Client Gifts; Reduced-Fee Arrangements; Bartering Risk Assessment; Bartering and Multiple Roles; Loans and Financial Exploitation; Financial Exploitation Through Treatment Decisions; California Financial Rules — Part 1 of 2; California Financial Rules — Part 2 of 2; Gift Meaning and Treatment Influence; Repeated and Escalating Gifts; Product Sales and Financial Conflict; Employment and Financial Multiple Relationships; Fraudulent or Deceptive Billing; Legitimate Services vs. Referral Compensation; Gifts, Bartering, and Financial Relationships</w:t>
      </w:r>
    </w:p>
    <w:p>
      <w:r>
        <w:br w:type="page"/>
      </w:r>
    </w:p>
    <w:p>
      <w:pPr>
        <w:pStyle w:val="Heading2"/>
      </w:pPr>
      <w:r>
        <w:t>Chapter 5</w:t>
      </w:r>
    </w:p>
    <w:p>
      <w:pPr>
        <w:pStyle w:val="Heading1"/>
      </w:pPr>
      <w:r>
        <w:t>Sexual Misconduct and Client Exploitation</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The therapist is responsible for maintaining the professional boundary regardless of the client’s apparent willingness, initiation, or stated consent. The therapeutic relationship involves professional authority, access to confidential information, and knowledge of the client’s vulnerabilities. Sexual conduct with a current client misuses that professional relationship and places the therapist’s personal gratification above client welfare. It is not treated as an ordinary boundary crossing that can be justified through contextual analysis. Experiencing attraction is an internal reaction and is not, by itself, professional misconduct. The ethical issue is how the therapist manages the feeling. The therapist should maintain appropriate boundaries, avoid unnecessary intimacy or self-disclosure, seek consultation or supervision, and assess whether the attraction is affecting clinical judgment. Transfer may be considered if objectivity cannot be maintained, but it is not automatically required merely because attraction exists.</w:t>
            </w:r>
          </w:p>
        </w:tc>
      </w:tr>
    </w:tbl>
    <w:p>
      <w:pPr>
        <w:pStyle w:val="Heading2"/>
      </w:pPr>
      <w:r>
        <w:t>What to Learn</w:t>
      </w:r>
    </w:p>
    <w:p>
      <w:pPr>
        <w:pStyle w:val="ListBullet"/>
        <w:spacing w:after="30"/>
      </w:pPr>
      <w:r>
        <w:t>Explain and apply Sexual Conduct With a Current Client.</w:t>
      </w:r>
    </w:p>
    <w:p>
      <w:pPr>
        <w:pStyle w:val="ListBullet"/>
        <w:spacing w:after="30"/>
      </w:pPr>
      <w:r>
        <w:t>Explain and apply Attraction vs. Misconduct.</w:t>
      </w:r>
    </w:p>
    <w:p>
      <w:pPr>
        <w:pStyle w:val="ListBullet"/>
        <w:spacing w:after="30"/>
      </w:pPr>
      <w:r>
        <w:t>Explain and apply Former-Client Two-Year Restriction.</w:t>
      </w:r>
    </w:p>
    <w:p>
      <w:pPr>
        <w:pStyle w:val="ListBullet"/>
        <w:spacing w:after="30"/>
      </w:pPr>
      <w:r>
        <w:t>Explain and apply Sexualized Communication Without Physical Contact.</w:t>
      </w:r>
    </w:p>
    <w:p>
      <w:pPr>
        <w:pStyle w:val="ListBullet"/>
        <w:spacing w:after="30"/>
      </w:pPr>
      <w:r>
        <w:t>Explain and apply Grooming and Boundary Erosion.</w:t>
      </w:r>
    </w:p>
    <w:p>
      <w:pPr>
        <w:pStyle w:val="ListBullet"/>
        <w:spacing w:after="30"/>
      </w:pPr>
      <w:r>
        <w:t>Explain and apply Client-Initiated Sexual Contact.</w:t>
      </w:r>
    </w:p>
    <w:p>
      <w:pPr>
        <w:pStyle w:val="ListBullet"/>
        <w:spacing w:after="30"/>
      </w:pPr>
      <w:r>
        <w:t>Explain and apply Prior-Therapist Sexual Behavior and the Required Booklet.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Sexual Conduct With a Current Client</w:t>
            </w:r>
          </w:p>
        </w:tc>
        <w:tc>
          <w:tcPr>
            <w:tcW w:type="dxa" w:w="5256"/>
            <w:vAlign w:val="top"/>
          </w:tcPr>
          <w:p>
            <w:pPr>
              <w:spacing w:after="0"/>
            </w:pPr>
            <w:r/>
            <w:r>
              <w:rPr>
                <w:rFonts w:ascii="Aptos" w:hAnsi="Aptos"/>
                <w:b w:val="0"/>
                <w:sz w:val="16"/>
              </w:rPr>
              <w:t>The therapist is responsible for maintaining the professional boundary regardless of the client’s apparent willingness, initiation, or stated consent. The therapeutic relationship involves professional authority, access to confidential information, and knowledge of the client’s vulnerabilities. Sexual conduct with a current client misuses that professional relationship and places the therapist’s personal gratification above client welfare. It is not treated as an ordinary boundary crossing that can be justified through contextual analysis.</w:t>
            </w:r>
          </w:p>
        </w:tc>
        <w:tc>
          <w:tcPr>
            <w:tcW w:type="dxa" w:w="2520"/>
            <w:vAlign w:val="top"/>
          </w:tcPr>
          <w:p>
            <w:pPr>
              <w:spacing w:after="0"/>
            </w:pPr>
            <w:r/>
            <w:r>
              <w:rPr>
                <w:rFonts w:ascii="Aptos" w:hAnsi="Aptos"/>
                <w:b w:val="0"/>
                <w:sz w:val="16"/>
              </w:rPr>
              <w:t>When the question involves sexual conduct with a current client, do not choose an answer that merely recommends: Risk-benefit analysis Client consent Documentation A waiver Moving the conduct outside therapy The therapist must maintain the boundary and not engage in the relationship.</w:t>
            </w:r>
          </w:p>
        </w:tc>
      </w:tr>
      <w:tr>
        <w:tc>
          <w:tcPr>
            <w:tcW w:type="dxa" w:w="2376"/>
            <w:vAlign w:val="top"/>
            <w:shd w:fill="F7F9FA"/>
          </w:tcPr>
          <w:p>
            <w:pPr>
              <w:spacing w:after="0"/>
            </w:pPr>
            <w:r/>
            <w:r>
              <w:rPr>
                <w:rFonts w:ascii="Aptos" w:hAnsi="Aptos"/>
                <w:b/>
                <w:sz w:val="16"/>
              </w:rPr>
              <w:t>Attraction vs. Misconduct</w:t>
            </w:r>
          </w:p>
        </w:tc>
        <w:tc>
          <w:tcPr>
            <w:tcW w:type="dxa" w:w="5256"/>
            <w:vAlign w:val="top"/>
            <w:shd w:fill="F7F9FA"/>
          </w:tcPr>
          <w:p>
            <w:pPr>
              <w:spacing w:after="0"/>
            </w:pPr>
            <w:r/>
            <w:r>
              <w:rPr>
                <w:rFonts w:ascii="Aptos" w:hAnsi="Aptos"/>
                <w:b w:val="0"/>
                <w:sz w:val="16"/>
              </w:rPr>
              <w:t>Experiencing attraction is an internal reaction and is not, by itself, professional misconduct. The ethical issue is how the therapist manages the feeling. The therapist should maintain appropriate boundaries, avoid unnecessary intimacy or self-disclosure, seek consultation or supervision, and assess whether the attraction is affecting clinical judgment. Transfer may be considered if objectivity cannot be maintained, but it is not automatically required merely because attraction exists.</w:t>
            </w:r>
          </w:p>
        </w:tc>
        <w:tc>
          <w:tcPr>
            <w:tcW w:type="dxa" w:w="2520"/>
            <w:vAlign w:val="top"/>
            <w:shd w:fill="F7F9FA"/>
          </w:tcPr>
          <w:p>
            <w:pPr>
              <w:spacing w:after="0"/>
            </w:pPr>
            <w:r/>
            <w:r>
              <w:rPr>
                <w:rFonts w:ascii="Aptos" w:hAnsi="Aptos"/>
                <w:b w:val="0"/>
                <w:sz w:val="16"/>
              </w:rPr>
              <w:t>Remember: A feeling requires management. A behavior requires accountability. Attraction usually calls for: Self-awareness Clear boundaries Consultation or supervision Monitoring of objectivity Transfer only when clinically necessary</w:t>
            </w:r>
          </w:p>
        </w:tc>
      </w:tr>
      <w:tr>
        <w:tc>
          <w:tcPr>
            <w:tcW w:type="dxa" w:w="2376"/>
            <w:vAlign w:val="top"/>
          </w:tcPr>
          <w:p>
            <w:pPr>
              <w:spacing w:after="0"/>
            </w:pPr>
            <w:r/>
            <w:r>
              <w:rPr>
                <w:rFonts w:ascii="Aptos" w:hAnsi="Aptos"/>
                <w:b/>
                <w:sz w:val="16"/>
              </w:rPr>
              <w:t>Former-Client Two-Year Restriction</w:t>
            </w:r>
          </w:p>
        </w:tc>
        <w:tc>
          <w:tcPr>
            <w:tcW w:type="dxa" w:w="5256"/>
            <w:vAlign w:val="top"/>
          </w:tcPr>
          <w:p>
            <w:pPr>
              <w:spacing w:after="0"/>
            </w:pPr>
            <w:r/>
            <w:r>
              <w:rPr>
                <w:rFonts w:ascii="Aptos" w:hAnsi="Aptos"/>
                <w:b w:val="0"/>
                <w:sz w:val="16"/>
              </w:rPr>
              <w:t>The relationship began within two years after termination. Under the California rule described in the workbook, sexual relations with a former client during that period constitute unprofessional conduct. Client initiation, the therapist’s belief that dependency has ended, or documentation of mutual consent does not remove the restriction. Termination does not immediately erase confidential knowledge, prior influence, emotional attachment, or the professional power difference.</w:t>
            </w:r>
          </w:p>
        </w:tc>
        <w:tc>
          <w:tcPr>
            <w:tcW w:type="dxa" w:w="2520"/>
            <w:vAlign w:val="top"/>
          </w:tcPr>
          <w:p>
            <w:pPr>
              <w:spacing w:after="0"/>
            </w:pPr>
            <w:r/>
            <w:r>
              <w:rPr>
                <w:rFonts w:ascii="Aptos" w:hAnsi="Aptos"/>
                <w:b w:val="0"/>
                <w:sz w:val="16"/>
              </w:rPr>
              <w:t>When a sexual relationship with a former client appears, check the timeline first: Less than two years after termination → direct California unprofessional-conduct concern After more than two years, do not automatically assume the relationship is ethical. Continuing influence, dependency, vulnerability, confidential knowledge, and exploitation must still be evaluated.</w:t>
            </w:r>
          </w:p>
        </w:tc>
      </w:tr>
      <w:tr>
        <w:tc>
          <w:tcPr>
            <w:tcW w:type="dxa" w:w="2376"/>
            <w:vAlign w:val="top"/>
            <w:shd w:fill="F7F9FA"/>
          </w:tcPr>
          <w:p>
            <w:pPr>
              <w:spacing w:after="0"/>
            </w:pPr>
            <w:r/>
            <w:r>
              <w:rPr>
                <w:rFonts w:ascii="Aptos" w:hAnsi="Aptos"/>
                <w:b/>
                <w:sz w:val="16"/>
              </w:rPr>
              <w:t>Sexualized Communication Without Physical Contact</w:t>
            </w:r>
          </w:p>
        </w:tc>
        <w:tc>
          <w:tcPr>
            <w:tcW w:type="dxa" w:w="5256"/>
            <w:vAlign w:val="top"/>
            <w:shd w:fill="F7F9FA"/>
          </w:tcPr>
          <w:p>
            <w:pPr>
              <w:spacing w:after="0"/>
            </w:pPr>
            <w:r/>
            <w:r>
              <w:rPr>
                <w:rFonts w:ascii="Aptos" w:hAnsi="Aptos"/>
                <w:b w:val="0"/>
                <w:sz w:val="16"/>
              </w:rPr>
              <w:t>Sexual misconduct is not limited to completed physical contact. Sexual propositions, suggestive messages, romantic pursuit, and other sexualized communication may misuse professional influence and alter the therapeutic relationship. The therapist should stop the conduct, assess its effect on the client, restore professional limits, preserve accurate records, and obtain appropriate supervisory, legal, or risk-management guidance. California identifies soliciting sexual relations with a client and sexual misconduct involving a client as forms of unprofessional conduct.</w:t>
            </w:r>
          </w:p>
        </w:tc>
        <w:tc>
          <w:tcPr>
            <w:tcW w:type="dxa" w:w="2520"/>
            <w:vAlign w:val="top"/>
            <w:shd w:fill="F7F9FA"/>
          </w:tcPr>
          <w:p>
            <w:pPr>
              <w:spacing w:after="0"/>
            </w:pPr>
            <w:r/>
            <w:r>
              <w:rPr>
                <w:rFonts w:ascii="Aptos" w:hAnsi="Aptos"/>
                <w:b w:val="0"/>
                <w:sz w:val="16"/>
              </w:rPr>
              <w:t>Do not be distracted by: “No physical contact occurred.” Look for solicitation, grooming, sexualized messaging, romantic pursuit, and misuse of professional influence.</w:t>
            </w:r>
          </w:p>
        </w:tc>
      </w:tr>
      <w:tr>
        <w:tc>
          <w:tcPr>
            <w:tcW w:type="dxa" w:w="2376"/>
            <w:vAlign w:val="top"/>
          </w:tcPr>
          <w:p>
            <w:pPr>
              <w:spacing w:after="0"/>
            </w:pPr>
            <w:r/>
            <w:r>
              <w:rPr>
                <w:rFonts w:ascii="Aptos" w:hAnsi="Aptos"/>
                <w:b/>
                <w:sz w:val="16"/>
              </w:rPr>
              <w:t>Grooming and Boundary Erosion</w:t>
            </w:r>
          </w:p>
        </w:tc>
        <w:tc>
          <w:tcPr>
            <w:tcW w:type="dxa" w:w="5256"/>
            <w:vAlign w:val="top"/>
          </w:tcPr>
          <w:p>
            <w:pPr>
              <w:spacing w:after="0"/>
            </w:pPr>
            <w:r/>
            <w:r>
              <w:rPr>
                <w:rFonts w:ascii="Aptos" w:hAnsi="Aptos"/>
                <w:b w:val="0"/>
                <w:sz w:val="16"/>
              </w:rPr>
              <w:t>Sexual exploitation may develop gradually rather than beginning with an overt sexual act. Special treatment, increasing intimacy, emotional exclusivity, secret communication, and discussion of a future romantic relationship are significant grooming warning signs. The therapist should stop the sexualized and secretive conduct, maintain clear professional limits, assess the client’s welfare, and obtain appropriate professional guidance. Waiting for physical contact would ignore a serious developing pattern.</w:t>
            </w:r>
          </w:p>
        </w:tc>
        <w:tc>
          <w:tcPr>
            <w:tcW w:type="dxa" w:w="2520"/>
            <w:vAlign w:val="top"/>
          </w:tcPr>
          <w:p>
            <w:pPr>
              <w:spacing w:after="0"/>
            </w:pPr>
            <w:r/>
            <w:r>
              <w:rPr>
                <w:rFonts w:ascii="Aptos" w:hAnsi="Aptos"/>
                <w:b w:val="0"/>
                <w:sz w:val="16"/>
              </w:rPr>
              <w:t>Watch for this progression: Special treatment → personal disclosure → secrecy → exclusivity → romantic planning → sexual conduct The exam may test whether the therapist recognizes the pattern before physical contact occurs.</w:t>
            </w:r>
          </w:p>
        </w:tc>
      </w:tr>
      <w:tr>
        <w:tc>
          <w:tcPr>
            <w:tcW w:type="dxa" w:w="2376"/>
            <w:vAlign w:val="top"/>
            <w:shd w:fill="F7F9FA"/>
          </w:tcPr>
          <w:p>
            <w:pPr>
              <w:spacing w:after="0"/>
            </w:pPr>
            <w:r/>
            <w:r>
              <w:rPr>
                <w:rFonts w:ascii="Aptos" w:hAnsi="Aptos"/>
                <w:b/>
                <w:sz w:val="16"/>
              </w:rPr>
              <w:t>Client-Initiated Sexual Contact</w:t>
            </w:r>
          </w:p>
        </w:tc>
        <w:tc>
          <w:tcPr>
            <w:tcW w:type="dxa" w:w="5256"/>
            <w:vAlign w:val="top"/>
            <w:shd w:fill="F7F9FA"/>
          </w:tcPr>
          <w:p>
            <w:pPr>
              <w:spacing w:after="0"/>
            </w:pPr>
            <w:r/>
            <w:r>
              <w:rPr>
                <w:rFonts w:ascii="Aptos" w:hAnsi="Aptos"/>
                <w:b w:val="0"/>
                <w:sz w:val="16"/>
              </w:rPr>
              <w:t>The therapist must not reciprocate the sexual contact. The therapist should restore the professional boundary, assess the client’s experience, and explore the clinical meaning when appropriate without blaming, humiliating, or abruptly abandoning the client. Because the therapist also experiences attraction, consultation or supervision is appropriate to evaluate objectivity and determine whether treatment can continue competently. The client’s initiation does not remove the therapist’s professional responsibility.</w:t>
            </w:r>
          </w:p>
        </w:tc>
        <w:tc>
          <w:tcPr>
            <w:tcW w:type="dxa" w:w="2520"/>
            <w:vAlign w:val="top"/>
            <w:shd w:fill="F7F9FA"/>
          </w:tcPr>
          <w:p>
            <w:pPr>
              <w:spacing w:after="0"/>
            </w:pPr>
            <w:r/>
            <w:r>
              <w:rPr>
                <w:rFonts w:ascii="Aptos" w:hAnsi="Aptos"/>
                <w:b w:val="0"/>
                <w:sz w:val="16"/>
              </w:rPr>
              <w:t>The strongest response usually does all three: Stops the contact Protects the client from shame or abandonment Manages the therapist’s reaction professionally</w:t>
            </w:r>
          </w:p>
        </w:tc>
      </w:tr>
      <w:tr>
        <w:tc>
          <w:tcPr>
            <w:tcW w:type="dxa" w:w="2376"/>
            <w:vAlign w:val="top"/>
          </w:tcPr>
          <w:p>
            <w:pPr>
              <w:spacing w:after="0"/>
            </w:pPr>
            <w:r/>
            <w:r>
              <w:rPr>
                <w:rFonts w:ascii="Aptos" w:hAnsi="Aptos"/>
                <w:b/>
                <w:sz w:val="16"/>
              </w:rPr>
              <w:t>Prior-Therapist Sexual Behavior and the Required Booklet</w:t>
            </w:r>
          </w:p>
        </w:tc>
        <w:tc>
          <w:tcPr>
            <w:tcW w:type="dxa" w:w="5256"/>
            <w:vAlign w:val="top"/>
          </w:tcPr>
          <w:p>
            <w:pPr>
              <w:spacing w:after="0"/>
            </w:pPr>
            <w:r/>
            <w:r>
              <w:rPr>
                <w:rFonts w:ascii="Aptos" w:hAnsi="Aptos"/>
                <w:b w:val="0"/>
                <w:sz w:val="16"/>
              </w:rPr>
              <w:t>California requires a therapist who becomes aware that a client alleges sexual behavior with a previous psychotherapist during prior treatment to provide the Therapy Never Includes Sexual Behavior booklet and discuss it with the client. Failure to provide or discuss the booklet constitutes unprofessional conduct. The therapist should also respond without blame, assess the client’s present emotional and safety needs, explain available options, protect confidentiality unless an exception applies, and document the disclosure and response. The client should be supported in making informed choices rather than pressured to take a particular action.</w:t>
            </w:r>
          </w:p>
        </w:tc>
        <w:tc>
          <w:tcPr>
            <w:tcW w:type="dxa" w:w="2520"/>
            <w:vAlign w:val="top"/>
          </w:tcPr>
          <w:p>
            <w:pPr>
              <w:spacing w:after="0"/>
            </w:pPr>
            <w:r/>
            <w:r>
              <w:rPr>
                <w:rFonts w:ascii="Aptos" w:hAnsi="Aptos"/>
                <w:b w:val="0"/>
                <w:sz w:val="16"/>
              </w:rPr>
              <w:t>When a client reports sexual behavior with a previous psychotherapist, immediately think: Provide + Discuss the Booklet Do not replace that duty with investigation, confrontation, forced reporting, or consultation alone.</w:t>
            </w:r>
          </w:p>
        </w:tc>
      </w:tr>
      <w:tr>
        <w:tc>
          <w:tcPr>
            <w:tcW w:type="dxa" w:w="2376"/>
            <w:vAlign w:val="top"/>
            <w:shd w:fill="F7F9FA"/>
          </w:tcPr>
          <w:p>
            <w:pPr>
              <w:spacing w:after="0"/>
            </w:pPr>
            <w:r/>
            <w:r>
              <w:rPr>
                <w:rFonts w:ascii="Aptos" w:hAnsi="Aptos"/>
                <w:b/>
                <w:sz w:val="16"/>
              </w:rPr>
              <w:t>Former Client After Two Years</w:t>
            </w:r>
          </w:p>
        </w:tc>
        <w:tc>
          <w:tcPr>
            <w:tcW w:type="dxa" w:w="5256"/>
            <w:vAlign w:val="top"/>
            <w:shd w:fill="F7F9FA"/>
          </w:tcPr>
          <w:p>
            <w:pPr>
              <w:spacing w:after="0"/>
            </w:pPr>
            <w:r/>
            <w:r>
              <w:rPr>
                <w:rFonts w:ascii="Aptos" w:hAnsi="Aptos"/>
                <w:b w:val="0"/>
                <w:sz w:val="16"/>
              </w:rPr>
              <w:t>California specifically identifies sexual relations with a former client within two years after termination as unprofessional conduct. The passage of more than two years means that particular time-based prohibition no longer decides the entire question, but it does not automatically establish that the later relationship is ethical. The therapist must still consider the nature and duration of treatment, the client’s former and current vulnerability, continuing attachment or dependency, the therapist’s confidential knowledge, the possibility of resumed treatment, and whether the proposed relationship would exploit prior professional influence.</w:t>
            </w:r>
          </w:p>
        </w:tc>
        <w:tc>
          <w:tcPr>
            <w:tcW w:type="dxa" w:w="2520"/>
            <w:vAlign w:val="top"/>
            <w:shd w:fill="F7F9FA"/>
          </w:tcPr>
          <w:p>
            <w:pPr>
              <w:spacing w:after="0"/>
            </w:pPr>
            <w:r/>
            <w:r>
              <w:rPr>
                <w:rFonts w:ascii="Aptos" w:hAnsi="Aptos"/>
                <w:b w:val="0"/>
                <w:sz w:val="16"/>
              </w:rPr>
              <w:t>Remember: Within two years = direct California prohibition.After two years = not automatically ethical.</w:t>
            </w:r>
          </w:p>
        </w:tc>
      </w:tr>
      <w:tr>
        <w:tc>
          <w:tcPr>
            <w:tcW w:type="dxa" w:w="2376"/>
            <w:vAlign w:val="top"/>
          </w:tcPr>
          <w:p>
            <w:pPr>
              <w:spacing w:after="0"/>
            </w:pPr>
            <w:r/>
            <w:r>
              <w:rPr>
                <w:rFonts w:ascii="Aptos" w:hAnsi="Aptos"/>
                <w:b/>
                <w:sz w:val="16"/>
              </w:rPr>
              <w:t>Sexual Solicitation</w:t>
            </w:r>
          </w:p>
        </w:tc>
        <w:tc>
          <w:tcPr>
            <w:tcW w:type="dxa" w:w="5256"/>
            <w:vAlign w:val="top"/>
          </w:tcPr>
          <w:p>
            <w:pPr>
              <w:spacing w:after="0"/>
            </w:pPr>
            <w:r/>
            <w:r>
              <w:rPr>
                <w:rFonts w:ascii="Aptos" w:hAnsi="Aptos"/>
                <w:b w:val="0"/>
                <w:sz w:val="16"/>
              </w:rPr>
              <w:t>The therapist has introduced a proposed sexual relationship into current treatment and is using the prospect of termination to facilitate personal sexual access. This sexualizes therapy, may manipulate attachment, and may encourage the client to view termination as a pathway to a romantic relationship. California identifies soliciting sexual relations with a client as unprofessional conduct. Completed sexual contact or client acceptance is not required before the concern exists.</w:t>
            </w:r>
          </w:p>
        </w:tc>
        <w:tc>
          <w:tcPr>
            <w:tcW w:type="dxa" w:w="2520"/>
            <w:vAlign w:val="top"/>
          </w:tcPr>
          <w:p>
            <w:pPr>
              <w:spacing w:after="0"/>
            </w:pPr>
            <w:r/>
            <w:r>
              <w:rPr>
                <w:rFonts w:ascii="Aptos" w:hAnsi="Aptos"/>
                <w:b w:val="0"/>
                <w:sz w:val="16"/>
              </w:rPr>
              <w:t>Sexual misconduct questions may test the therapist’s proposal, not merely the completed act. Look for: Solicitation Romantic promises Future-dating plans Sexualized messages Encouragement of secrecy</w:t>
            </w:r>
          </w:p>
        </w:tc>
      </w:tr>
      <w:tr>
        <w:tc>
          <w:tcPr>
            <w:tcW w:type="dxa" w:w="2376"/>
            <w:vAlign w:val="top"/>
            <w:shd w:fill="F7F9FA"/>
          </w:tcPr>
          <w:p>
            <w:pPr>
              <w:spacing w:after="0"/>
            </w:pPr>
            <w:r/>
            <w:r>
              <w:rPr>
                <w:rFonts w:ascii="Aptos" w:hAnsi="Aptos"/>
                <w:b/>
                <w:sz w:val="16"/>
              </w:rPr>
              <w:t>Termination Does Not Immediately Remove the Boundary</w:t>
            </w:r>
          </w:p>
        </w:tc>
        <w:tc>
          <w:tcPr>
            <w:tcW w:type="dxa" w:w="5256"/>
            <w:vAlign w:val="top"/>
            <w:shd w:fill="F7F9FA"/>
          </w:tcPr>
          <w:p>
            <w:pPr>
              <w:spacing w:after="0"/>
            </w:pPr>
            <w:r/>
            <w:r>
              <w:rPr>
                <w:rFonts w:ascii="Aptos" w:hAnsi="Aptos"/>
                <w:b w:val="0"/>
                <w:sz w:val="16"/>
              </w:rPr>
              <w:t>California identifies sexual relations with a former client within two years after termination as unprofessional conduct. Ending therapy immediately before beginning the relationship does not avoid the restriction. Termination also does not instantly erase the therapist’s confidential knowledge, professional influence, awareness of client vulnerabilities, or the client’s attachment and dependency. Using termination as a bridge to sexual involvement represents a serious misuse of the prior therapeutic relationship.</w:t>
            </w:r>
          </w:p>
        </w:tc>
        <w:tc>
          <w:tcPr>
            <w:tcW w:type="dxa" w:w="2520"/>
            <w:vAlign w:val="top"/>
            <w:shd w:fill="F7F9FA"/>
          </w:tcPr>
          <w:p>
            <w:pPr>
              <w:spacing w:after="0"/>
            </w:pPr>
            <w:r/>
            <w:r>
              <w:rPr>
                <w:rFonts w:ascii="Aptos" w:hAnsi="Aptos"/>
                <w:b w:val="0"/>
                <w:sz w:val="16"/>
              </w:rPr>
              <w:t>When the therapist terminates treatment so that dating or sexual conduct can begin, recognize the trap: Termination is not an immediate reset.</w:t>
            </w:r>
          </w:p>
        </w:tc>
      </w:tr>
      <w:tr>
        <w:tc>
          <w:tcPr>
            <w:tcW w:type="dxa" w:w="2376"/>
            <w:vAlign w:val="top"/>
          </w:tcPr>
          <w:p>
            <w:pPr>
              <w:spacing w:after="0"/>
            </w:pPr>
            <w:r/>
            <w:r>
              <w:rPr>
                <w:rFonts w:ascii="Aptos" w:hAnsi="Aptos"/>
                <w:b/>
                <w:sz w:val="16"/>
              </w:rPr>
              <w:t>Client Exploitation</w:t>
            </w:r>
          </w:p>
        </w:tc>
        <w:tc>
          <w:tcPr>
            <w:tcW w:type="dxa" w:w="5256"/>
            <w:vAlign w:val="top"/>
          </w:tcPr>
          <w:p>
            <w:pPr>
              <w:spacing w:after="0"/>
            </w:pPr>
            <w:r/>
            <w:r>
              <w:rPr>
                <w:rFonts w:ascii="Aptos" w:hAnsi="Aptos"/>
                <w:b w:val="0"/>
                <w:sz w:val="16"/>
              </w:rPr>
              <w:t>Exploitation occurs when the therapist uses the professional relationship to obtain personal benefit from the client. Asking the client to provide affection, reassurance, or emotional support reverses the therapeutic roles and places the therapist’s needs above the client’s welfare. The client may feel pressured to care for the therapist, avoid disagreement, or maintain special closeness to preserve the therapeutic relationship.</w:t>
            </w:r>
          </w:p>
        </w:tc>
        <w:tc>
          <w:tcPr>
            <w:tcW w:type="dxa" w:w="2520"/>
            <w:vAlign w:val="top"/>
          </w:tcPr>
          <w:p>
            <w:pPr>
              <w:spacing w:after="0"/>
            </w:pPr>
            <w:r/>
            <w:r>
              <w:rPr>
                <w:rFonts w:ascii="Aptos" w:hAnsi="Aptos"/>
                <w:b w:val="0"/>
                <w:sz w:val="16"/>
              </w:rPr>
              <w:t>Ask: Is the client receiving therapy—or being used to meet the therapist’s needs?</w:t>
            </w:r>
          </w:p>
        </w:tc>
      </w:tr>
      <w:tr>
        <w:tc>
          <w:tcPr>
            <w:tcW w:type="dxa" w:w="2376"/>
            <w:vAlign w:val="top"/>
            <w:shd w:fill="F7F9FA"/>
          </w:tcPr>
          <w:p>
            <w:pPr>
              <w:spacing w:after="0"/>
            </w:pPr>
            <w:r/>
            <w:r>
              <w:rPr>
                <w:rFonts w:ascii="Aptos" w:hAnsi="Aptos"/>
                <w:b/>
                <w:sz w:val="16"/>
              </w:rPr>
              <w:t>Consent and Professional Power</w:t>
            </w:r>
          </w:p>
        </w:tc>
        <w:tc>
          <w:tcPr>
            <w:tcW w:type="dxa" w:w="5256"/>
            <w:vAlign w:val="top"/>
            <w:shd w:fill="F7F9FA"/>
          </w:tcPr>
          <w:p>
            <w:pPr>
              <w:spacing w:after="0"/>
            </w:pPr>
            <w:r/>
            <w:r>
              <w:rPr>
                <w:rFonts w:ascii="Aptos" w:hAnsi="Aptos"/>
                <w:b w:val="0"/>
                <w:sz w:val="16"/>
              </w:rPr>
              <w:t>The therapist holds professional authority and has access to highly personal information about the client’s history, emotional needs, fears, attachment patterns, and vulnerabilities. These factors may influence the client’s ability to refuse or accurately evaluate the consequences of the relationship. The therapist—not the client—has the professional duty to prevent sexual exploitation and maintain the boundary.</w:t>
            </w:r>
          </w:p>
        </w:tc>
        <w:tc>
          <w:tcPr>
            <w:tcW w:type="dxa" w:w="2520"/>
            <w:vAlign w:val="top"/>
            <w:shd w:fill="F7F9FA"/>
          </w:tcPr>
          <w:p>
            <w:pPr>
              <w:spacing w:after="0"/>
            </w:pPr>
            <w:r/>
            <w:r>
              <w:rPr>
                <w:rFonts w:ascii="Aptos" w:hAnsi="Aptos"/>
                <w:b w:val="0"/>
                <w:sz w:val="16"/>
              </w:rPr>
            </w:r>
          </w:p>
        </w:tc>
      </w:tr>
      <w:tr>
        <w:tc>
          <w:tcPr>
            <w:tcW w:type="dxa" w:w="2376"/>
            <w:vAlign w:val="top"/>
          </w:tcPr>
          <w:p>
            <w:pPr>
              <w:spacing w:after="0"/>
            </w:pPr>
            <w:r/>
            <w:r>
              <w:rPr>
                <w:rFonts w:ascii="Aptos" w:hAnsi="Aptos"/>
                <w:b/>
                <w:sz w:val="16"/>
              </w:rPr>
              <w:t>Therapy Never Includes Sexual Behavior Booklet</w:t>
            </w:r>
          </w:p>
        </w:tc>
        <w:tc>
          <w:tcPr>
            <w:tcW w:type="dxa" w:w="5256"/>
            <w:vAlign w:val="top"/>
          </w:tcPr>
          <w:p>
            <w:pPr>
              <w:spacing w:after="0"/>
            </w:pPr>
            <w:r/>
            <w:r>
              <w:rPr>
                <w:rFonts w:ascii="Aptos" w:hAnsi="Aptos"/>
                <w:b w:val="0"/>
                <w:sz w:val="16"/>
              </w:rPr>
              <w:t>The workbook explains that when a therapist becomes aware that a client alleges sexual behavior with a previous psychotherapist, the therapist must provide and discuss the booklet with the client. The therapist should also respond supportively, explain available options without pressuring the client, protect confidentiality, and document the response appropriately.</w:t>
            </w:r>
          </w:p>
        </w:tc>
        <w:tc>
          <w:tcPr>
            <w:tcW w:type="dxa" w:w="2520"/>
            <w:vAlign w:val="top"/>
          </w:tcPr>
          <w:p>
            <w:pPr>
              <w:spacing w:after="0"/>
            </w:pPr>
            <w:r/>
            <w:r>
              <w:rPr>
                <w:rFonts w:ascii="Aptos" w:hAnsi="Aptos"/>
                <w:b w:val="0"/>
                <w:sz w:val="16"/>
              </w:rPr>
              <w:t>Remember the trigger: Client alleges sexual behavior with a previous psychotherapist → Provide and discuss the booklet.</w:t>
            </w:r>
          </w:p>
        </w:tc>
      </w:tr>
      <w:tr>
        <w:tc>
          <w:tcPr>
            <w:tcW w:type="dxa" w:w="2376"/>
            <w:vAlign w:val="top"/>
            <w:shd w:fill="F7F9FA"/>
          </w:tcPr>
          <w:p>
            <w:pPr>
              <w:spacing w:after="0"/>
            </w:pPr>
            <w:r/>
            <w:r>
              <w:rPr>
                <w:rFonts w:ascii="Aptos" w:hAnsi="Aptos"/>
                <w:b/>
                <w:sz w:val="16"/>
              </w:rPr>
              <w:t>Sexualized Self-Disclosure</w:t>
            </w:r>
          </w:p>
        </w:tc>
        <w:tc>
          <w:tcPr>
            <w:tcW w:type="dxa" w:w="5256"/>
            <w:vAlign w:val="top"/>
            <w:shd w:fill="F7F9FA"/>
          </w:tcPr>
          <w:p>
            <w:pPr>
              <w:spacing w:after="0"/>
            </w:pPr>
            <w:r/>
            <w:r>
              <w:rPr>
                <w:rFonts w:ascii="Aptos" w:hAnsi="Aptos"/>
                <w:b w:val="0"/>
                <w:sz w:val="16"/>
              </w:rPr>
              <w:t>The therapist’s disclosure places personal sexual interests inside the treatment relationship and pressures the client to respond to the therapist’s needs. It may create confusion, shame, excitement, fear, dependency, or concern that treatment depends on reciprocating the therapist’s attraction. This is not ordinary therapeutic self-disclosure. The therapist is seeking personal validation and sexualizing the professional relationship.</w:t>
            </w:r>
          </w:p>
        </w:tc>
        <w:tc>
          <w:tcPr>
            <w:tcW w:type="dxa" w:w="2520"/>
            <w:vAlign w:val="top"/>
            <w:shd w:fill="F7F9FA"/>
          </w:tcPr>
          <w:p>
            <w:pPr>
              <w:spacing w:after="0"/>
            </w:pPr>
            <w:r/>
            <w:r>
              <w:rPr>
                <w:rFonts w:ascii="Aptos" w:hAnsi="Aptos"/>
                <w:b w:val="0"/>
                <w:sz w:val="16"/>
              </w:rPr>
              <w:t>Therapeutic self-disclosure should benefit the client. When disclosure seeks: Reassurance Attraction Affection Sexual validation Permission for intimacy it is serving the therapist rather than treatment.</w:t>
            </w:r>
          </w:p>
        </w:tc>
      </w:tr>
      <w:tr>
        <w:tc>
          <w:tcPr>
            <w:tcW w:type="dxa" w:w="2376"/>
            <w:vAlign w:val="top"/>
          </w:tcPr>
          <w:p>
            <w:pPr>
              <w:spacing w:after="0"/>
            </w:pPr>
            <w:r/>
            <w:r>
              <w:rPr>
                <w:rFonts w:ascii="Aptos" w:hAnsi="Aptos"/>
                <w:b/>
                <w:sz w:val="16"/>
              </w:rPr>
              <w:t>Responding After a Sexual Boundary Breach</w:t>
            </w:r>
          </w:p>
        </w:tc>
        <w:tc>
          <w:tcPr>
            <w:tcW w:type="dxa" w:w="5256"/>
            <w:vAlign w:val="top"/>
          </w:tcPr>
          <w:p>
            <w:pPr>
              <w:spacing w:after="0"/>
            </w:pPr>
            <w:r/>
            <w:r>
              <w:rPr>
                <w:rFonts w:ascii="Aptos" w:hAnsi="Aptos"/>
                <w:b w:val="0"/>
                <w:sz w:val="16"/>
              </w:rPr>
              <w:t>The first priority is to stop the misconduct and protect the client. The therapist must assess the client’s emotional and clinical needs, avoid further exploitation, preserve records, and obtain appropriate legal, supervisory, and risk-management guidance. The therapist must not conceal the conduct, destroy evidence, pressure the client, seek reassurance, or abandon the client without attention to continuity of care.</w:t>
            </w:r>
          </w:p>
        </w:tc>
        <w:tc>
          <w:tcPr>
            <w:tcW w:type="dxa" w:w="2520"/>
            <w:vAlign w:val="top"/>
          </w:tcPr>
          <w:p>
            <w:pPr>
              <w:spacing w:after="0"/>
            </w:pPr>
            <w:r/>
            <w:r>
              <w:rPr>
                <w:rFonts w:ascii="Aptos" w:hAnsi="Aptos"/>
                <w:b w:val="0"/>
                <w:sz w:val="16"/>
              </w:rPr>
              <w:t>After serious misconduct, look for the response that includes: Stop → Protect → Assess → Preserve → Seek guidance → Maintain continuity Never choose concealment, deletion, coercion, or retaliation.</w:t>
            </w:r>
          </w:p>
        </w:tc>
      </w:tr>
      <w:tr>
        <w:tc>
          <w:tcPr>
            <w:tcW w:type="dxa" w:w="2376"/>
            <w:vAlign w:val="top"/>
            <w:shd w:fill="F7F9FA"/>
          </w:tcPr>
          <w:p>
            <w:pPr>
              <w:spacing w:after="0"/>
            </w:pPr>
            <w:r/>
            <w:r>
              <w:rPr>
                <w:rFonts w:ascii="Aptos" w:hAnsi="Aptos"/>
                <w:b/>
                <w:sz w:val="16"/>
              </w:rPr>
              <w:t>Former Client After the Two-Year Period</w:t>
            </w:r>
          </w:p>
        </w:tc>
        <w:tc>
          <w:tcPr>
            <w:tcW w:type="dxa" w:w="5256"/>
            <w:vAlign w:val="top"/>
            <w:shd w:fill="F7F9FA"/>
          </w:tcPr>
          <w:p>
            <w:pPr>
              <w:spacing w:after="0"/>
            </w:pPr>
            <w:r/>
            <w:r>
              <w:rPr>
                <w:rFonts w:ascii="Aptos" w:hAnsi="Aptos"/>
                <w:b w:val="0"/>
                <w:sz w:val="16"/>
              </w:rPr>
              <w:t>Passing the two-year mark does not automatically make a sexual relationship with a former client ethical. The therapist must still consider the duration and intensity of treatment, the client’s vulnerability, ongoing dependency, confidential knowledge, emotional influence, and the possibility of exploitation. Here, the client continues seeking the therapist’s approval and remains emotionally dependent. Those facts strongly suggest that the prior professional power relationship has not meaningfully ended.</w:t>
            </w:r>
          </w:p>
        </w:tc>
        <w:tc>
          <w:tcPr>
            <w:tcW w:type="dxa" w:w="2520"/>
            <w:vAlign w:val="top"/>
            <w:shd w:fill="F7F9FA"/>
          </w:tcPr>
          <w:p>
            <w:pPr>
              <w:spacing w:after="0"/>
            </w:pPr>
            <w:r/>
            <w:r>
              <w:rPr>
                <w:rFonts w:ascii="Aptos" w:hAnsi="Aptos"/>
                <w:b w:val="0"/>
                <w:sz w:val="16"/>
              </w:rPr>
              <w:t>After two years, ask: How intensive was treatment? How vulnerable was the client? Does dependency remain? Does the therapist still hold unusual emotional influence? Could confidential knowledge be used in the new relationship?</w:t>
            </w:r>
          </w:p>
        </w:tc>
      </w:tr>
      <w:tr>
        <w:tc>
          <w:tcPr>
            <w:tcW w:type="dxa" w:w="2376"/>
            <w:vAlign w:val="top"/>
          </w:tcPr>
          <w:p>
            <w:pPr>
              <w:spacing w:after="0"/>
            </w:pPr>
            <w:r/>
            <w:r>
              <w:rPr>
                <w:rFonts w:ascii="Aptos" w:hAnsi="Aptos"/>
                <w:b/>
                <w:sz w:val="16"/>
              </w:rPr>
              <w:t>Sexual Grooming, Solicitation, and Exploitation</w:t>
            </w:r>
          </w:p>
        </w:tc>
        <w:tc>
          <w:tcPr>
            <w:tcW w:type="dxa" w:w="5256"/>
            <w:vAlign w:val="top"/>
          </w:tcPr>
          <w:p>
            <w:pPr>
              <w:spacing w:after="0"/>
            </w:pPr>
            <w:r/>
            <w:r>
              <w:rPr>
                <w:rFonts w:ascii="Aptos" w:hAnsi="Aptos"/>
                <w:b w:val="0"/>
                <w:sz w:val="16"/>
              </w:rPr>
              <w:t>The conduct shows a progressive pattern: Special access Personal emotional involvement Romantic messaging Promise of a future sexual relationship Termination used as a pathway to sexual contact Sexual involvement within two years Destruction or concealment of communications The therapist should stop the conduct, assess the former client’s safety and treatment needs, preserve remaining records, seek appropriate legal and professional guidance, avoid pressure or retaliation, and protect continuity of care.</w:t>
            </w:r>
          </w:p>
        </w:tc>
        <w:tc>
          <w:tcPr>
            <w:tcW w:type="dxa" w:w="2520"/>
            <w:vAlign w:val="top"/>
          </w:tcPr>
          <w:p>
            <w:pPr>
              <w:spacing w:after="0"/>
            </w:pPr>
            <w:r/>
            <w:r>
              <w:rPr>
                <w:rFonts w:ascii="Aptos" w:hAnsi="Aptos"/>
                <w:b w:val="0"/>
                <w:sz w:val="16"/>
              </w:rPr>
              <w:t>For integrated sexual-misconduct questions, follow the entire pattern: Special treatment → Secrecy → Emotional intimacy → Sexualization → Solicitation → Termination → Sexual conduct → Concealment Do not evaluate only the final act.</w:t>
            </w:r>
          </w:p>
        </w:tc>
      </w:tr>
    </w:tbl>
    <w:p>
      <w:pPr>
        <w:pStyle w:val="Heading2"/>
      </w:pPr>
      <w:r>
        <w:t>Exam Reasoning Checklist</w:t>
      </w:r>
    </w:p>
    <w:p>
      <w:pPr>
        <w:pStyle w:val="ListBullet"/>
        <w:spacing w:after="30"/>
      </w:pPr>
      <w:r>
        <w:t>When the question involves sexual conduct with a current client, do not choose an answer that merely recommends: Risk-benefit analysis Client consent Documentation A waiver Moving the conduct outside therapy The therapist must maintain the boundary and not engage in the relationship.</w:t>
      </w:r>
    </w:p>
    <w:p>
      <w:pPr>
        <w:pStyle w:val="ListBullet"/>
        <w:spacing w:after="30"/>
      </w:pPr>
      <w:r>
        <w:t>Remember: A feeling requires management. A behavior requires accountability. Attraction usually calls for: Self-awareness Clear boundaries Consultation or supervision Monitoring of objectivity Transfer only when clinically necessary</w:t>
      </w:r>
    </w:p>
    <w:p>
      <w:pPr>
        <w:pStyle w:val="ListBullet"/>
        <w:spacing w:after="30"/>
      </w:pPr>
      <w:r>
        <w:t>When a sexual relationship with a former client appears, check the timeline first: Less than two years after termination → direct California unprofessional-conduct concern After more than two years, do not automatically assume the relationship is ethical. Continuing influence, dependency, vulnerability, confidential knowledge, and exploitation must still be evaluated.</w:t>
      </w:r>
    </w:p>
    <w:p>
      <w:pPr>
        <w:pStyle w:val="ListBullet"/>
        <w:spacing w:after="30"/>
      </w:pPr>
      <w:r>
        <w:t>Do not be distracted by: “No physical contact occurred.” Look for solicitation, grooming, sexualized messaging, romantic pursuit, and misuse of professional influence.</w:t>
      </w:r>
    </w:p>
    <w:p>
      <w:pPr>
        <w:pStyle w:val="ListBullet"/>
        <w:spacing w:after="30"/>
      </w:pPr>
      <w:r>
        <w:t>Watch for this progression: Special treatment → personal disclosure → secrecy → exclusivity → romantic planning → sexual conduct The exam may test whether the therapist recognizes the pattern before physical contact occurs.</w:t>
      </w:r>
    </w:p>
    <w:p>
      <w:pPr>
        <w:pStyle w:val="ListBullet"/>
        <w:spacing w:after="30"/>
      </w:pPr>
      <w:r>
        <w:t>The strongest response usually does all three: Stops the contact Protects the client from shame or abandonment Manages the therapist’s reaction professionally</w:t>
      </w:r>
    </w:p>
    <w:p>
      <w:pPr>
        <w:pStyle w:val="ListBullet"/>
        <w:spacing w:after="30"/>
      </w:pPr>
      <w:r>
        <w:t>When a client reports sexual behavior with a previous psychotherapist, immediately think: Provide + Discuss the Booklet Do not replace that duty with investigation, confrontation, forced reporting, or consultation alone.</w:t>
      </w:r>
    </w:p>
    <w:p>
      <w:pPr>
        <w:pStyle w:val="ListBullet"/>
        <w:spacing w:after="30"/>
      </w:pPr>
      <w:r>
        <w:t>Remember: Within two years = direct California prohibition.After two years = not automatically ethical.</w:t>
      </w:r>
    </w:p>
    <w:p>
      <w:pPr>
        <w:pStyle w:val="Heading2"/>
      </w:pPr>
      <w:r>
        <w:t>Chapter Rapid Review</w:t>
      </w:r>
    </w:p>
    <w:p>
      <w:r>
        <w:rPr>
          <w:b/>
        </w:rPr>
        <w:t xml:space="preserve">Know these concepts: </w:t>
      </w:r>
      <w:r>
        <w:t>Sexual Conduct With a Current Client; Attraction vs. Misconduct; Former-Client Two-Year Restriction; Sexualized Communication Without Physical Contact; Grooming and Boundary Erosion; Client-Initiated Sexual Contact; Prior-Therapist Sexual Behavior and the Required Booklet; Former Client After Two Years; Sexual Solicitation; Termination Does Not Immediately Remove the Boundary; Client Exploitation; Consent and Professional Power; Therapy Never Includes Sexual Behavior Booklet; Sexualized Self-Disclosure; Responding After a Sexual Boundary Breach; Former Client After the Two-Year Period; Sexual Grooming, Solicitation, and Exploitation</w:t>
      </w:r>
    </w:p>
    <w:p>
      <w:r>
        <w:br w:type="page"/>
      </w:r>
    </w:p>
    <w:p>
      <w:pPr>
        <w:pStyle w:val="Heading1"/>
      </w:pPr>
      <w:r>
        <w:t>Workbook Close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Workbook 6 complete. Use the online chapter tests, the programwide rapid-review guide, and the 807-card Study Center to identify weak areas. A strong study answer applies the correct rule to the correct actor, role, timing, and client-protection need.</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Workbook 6 | LPCC Candidate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