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7: Cultural Humility and Bias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Cultural Humility and Culturally Responsive Practice</w:t>
            </w:r>
          </w:p>
        </w:tc>
        <w:tc>
          <w:tcPr>
            <w:tcW w:type="dxa" w:w="1296"/>
            <w:vAlign w:val="top"/>
          </w:tcPr>
          <w:p>
            <w:pPr>
              <w:spacing w:after="0"/>
            </w:pPr>
            <w:r/>
            <w:r>
              <w:rPr>
                <w:rFonts w:ascii="Aptos" w:hAnsi="Aptos"/>
                <w:b w:val="0"/>
                <w:sz w:val="17"/>
              </w:rPr>
              <w:t>18</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Bias, Assumptions, and Ethical Decision-Making</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Working With Diverse Populations</w:t>
            </w:r>
          </w:p>
        </w:tc>
        <w:tc>
          <w:tcPr>
            <w:tcW w:type="dxa" w:w="1296"/>
            <w:vAlign w:val="top"/>
          </w:tcPr>
          <w:p>
            <w:pPr>
              <w:spacing w:after="0"/>
            </w:pPr>
            <w:r/>
            <w:r>
              <w:rPr>
                <w:rFonts w:ascii="Aptos" w:hAnsi="Aptos"/>
                <w:b w:val="0"/>
                <w:sz w:val="17"/>
              </w:rPr>
              <w:t>18</w:t>
            </w:r>
          </w:p>
        </w:tc>
      </w:tr>
    </w:tbl>
    <w:p>
      <w:r>
        <w:br w:type="page"/>
      </w:r>
    </w:p>
    <w:p>
      <w:pPr>
        <w:pStyle w:val="Heading2"/>
      </w:pPr>
      <w:r>
        <w:t>Chapter 1</w:t>
      </w:r>
    </w:p>
    <w:p>
      <w:pPr>
        <w:pStyle w:val="Heading1"/>
      </w:pPr>
      <w:r>
        <w:t>Cultural Humility and Culturally Responsive Practice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Cultural humility is a lifelong process rather than a final level of expertise. It requires clinicians to examine their assumptions, remain open to client feedback, recognize that their knowledge is incomplete, and approach differences with respectful curiosity. It also includes awareness of professional power and a willingness to learn when a client’s identity, values, communication style, or lived experience differs from the clinician’s own. Cultural competence focuses on building the knowledge, training, experience, and clinical skills needed to serve diverse clients effectively. Cultural humility focuses on how clinicians approach what they do not know. It emphasizes self-awareness, recognition of limitations, openness to client feedback, and avoidance of assuming expertise in another person’s lived experience. Clinicians need both. Knowledge without humility may lead to stereotyping, while humility without competence may leave the clinician unable to provide effective care.</w:t>
            </w:r>
          </w:p>
        </w:tc>
      </w:tr>
    </w:tbl>
    <w:p>
      <w:pPr>
        <w:pStyle w:val="Heading2"/>
      </w:pPr>
      <w:r>
        <w:t>What to Learn</w:t>
      </w:r>
    </w:p>
    <w:p>
      <w:pPr>
        <w:pStyle w:val="ListBullet"/>
        <w:spacing w:after="30"/>
      </w:pPr>
      <w:r>
        <w:t>Explain and apply Cultural Humility.</w:t>
      </w:r>
    </w:p>
    <w:p>
      <w:pPr>
        <w:pStyle w:val="ListBullet"/>
        <w:spacing w:after="30"/>
      </w:pPr>
      <w:r>
        <w:t>Explain and apply Cultural Competence vs. Cultural Humility.</w:t>
      </w:r>
    </w:p>
    <w:p>
      <w:pPr>
        <w:pStyle w:val="ListBullet"/>
        <w:spacing w:after="30"/>
      </w:pPr>
      <w:r>
        <w:t>Explain and apply Client Expertise and Professional Responsibility.</w:t>
      </w:r>
    </w:p>
    <w:p>
      <w:pPr>
        <w:pStyle w:val="ListBullet"/>
        <w:spacing w:after="30"/>
      </w:pPr>
      <w:r>
        <w:t>Explain and apply Clinician Self-Reflection.</w:t>
      </w:r>
    </w:p>
    <w:p>
      <w:pPr>
        <w:pStyle w:val="ListBullet"/>
        <w:spacing w:after="30"/>
      </w:pPr>
      <w:r>
        <w:t>Explain and apply Respectful Curiosity.</w:t>
      </w:r>
    </w:p>
    <w:p>
      <w:pPr>
        <w:pStyle w:val="ListBullet"/>
        <w:spacing w:after="30"/>
      </w:pPr>
      <w:r>
        <w:t>Explain and apply Adaptation vs. Lowering Standards.</w:t>
      </w:r>
    </w:p>
    <w:p>
      <w:pPr>
        <w:pStyle w:val="ListBullet"/>
        <w:spacing w:after="30"/>
      </w:pPr>
      <w:r>
        <w:t>Explain and apply Cultural Difference vs. Pathology.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Cultural Humility</w:t>
            </w:r>
          </w:p>
        </w:tc>
        <w:tc>
          <w:tcPr>
            <w:tcW w:type="dxa" w:w="5256"/>
            <w:vAlign w:val="top"/>
          </w:tcPr>
          <w:p>
            <w:pPr>
              <w:spacing w:after="0"/>
            </w:pPr>
            <w:r/>
            <w:r>
              <w:rPr>
                <w:rFonts w:ascii="Aptos" w:hAnsi="Aptos"/>
                <w:b w:val="0"/>
                <w:sz w:val="16"/>
              </w:rPr>
              <w:t>Cultural humility is a lifelong process rather than a final level of expertise. It requires clinicians to examine their assumptions, remain open to client feedback, recognize that their knowledge is incomplete, and approach differences with respectful curiosity. It also includes awareness of professional power and a willingness to learn when a client’s identity, values, communication style, or lived experience differs from the clinician’s own.</w:t>
            </w:r>
          </w:p>
        </w:tc>
        <w:tc>
          <w:tcPr>
            <w:tcW w:type="dxa" w:w="2520"/>
            <w:vAlign w:val="top"/>
          </w:tcPr>
          <w:p>
            <w:pPr>
              <w:spacing w:after="0"/>
            </w:pPr>
            <w:r/>
            <w:r>
              <w:rPr>
                <w:rFonts w:ascii="Aptos" w:hAnsi="Aptos"/>
                <w:b w:val="0"/>
                <w:sz w:val="16"/>
              </w:rPr>
              <w:t>Cultural humility does not mean: “I know everything about your culture.” It means: “I recognize what I may not understand, and I will respond responsibly.”</w:t>
            </w:r>
          </w:p>
        </w:tc>
      </w:tr>
      <w:tr>
        <w:tc>
          <w:tcPr>
            <w:tcW w:type="dxa" w:w="2376"/>
            <w:vAlign w:val="top"/>
            <w:shd w:fill="F7F9FA"/>
          </w:tcPr>
          <w:p>
            <w:pPr>
              <w:spacing w:after="0"/>
            </w:pPr>
            <w:r/>
            <w:r>
              <w:rPr>
                <w:rFonts w:ascii="Aptos" w:hAnsi="Aptos"/>
                <w:b/>
                <w:sz w:val="16"/>
              </w:rPr>
              <w:t>Cultural Competence vs. Cultural Humility</w:t>
            </w:r>
          </w:p>
        </w:tc>
        <w:tc>
          <w:tcPr>
            <w:tcW w:type="dxa" w:w="5256"/>
            <w:vAlign w:val="top"/>
            <w:shd w:fill="F7F9FA"/>
          </w:tcPr>
          <w:p>
            <w:pPr>
              <w:spacing w:after="0"/>
            </w:pPr>
            <w:r/>
            <w:r>
              <w:rPr>
                <w:rFonts w:ascii="Aptos" w:hAnsi="Aptos"/>
                <w:b w:val="0"/>
                <w:sz w:val="16"/>
              </w:rPr>
              <w:t>Cultural competence focuses on building the knowledge, training, experience, and clinical skills needed to serve diverse clients effectively. Cultural humility focuses on how clinicians approach what they do not know. It emphasizes self-awareness, recognition of limitations, openness to client feedback, and avoidance of assuming expertise in another person’s lived experience. Clinicians need both. Knowledge without humility may lead to stereotyping, while humility without competence may leave the clinician unable to provide effective care.</w:t>
            </w:r>
          </w:p>
        </w:tc>
        <w:tc>
          <w:tcPr>
            <w:tcW w:type="dxa" w:w="2520"/>
            <w:vAlign w:val="top"/>
            <w:shd w:fill="F7F9FA"/>
          </w:tcPr>
          <w:p>
            <w:pPr>
              <w:spacing w:after="0"/>
            </w:pPr>
            <w:r/>
            <w:r>
              <w:rPr>
                <w:rFonts w:ascii="Aptos" w:hAnsi="Aptos"/>
                <w:b w:val="0"/>
                <w:sz w:val="16"/>
              </w:rPr>
              <w:t>Remember: Competence: What must the clinician know or learn? Humility: How does the clinician approach what is not known?</w:t>
            </w:r>
          </w:p>
        </w:tc>
      </w:tr>
      <w:tr>
        <w:tc>
          <w:tcPr>
            <w:tcW w:type="dxa" w:w="2376"/>
            <w:vAlign w:val="top"/>
          </w:tcPr>
          <w:p>
            <w:pPr>
              <w:spacing w:after="0"/>
            </w:pPr>
            <w:r/>
            <w:r>
              <w:rPr>
                <w:rFonts w:ascii="Aptos" w:hAnsi="Aptos"/>
                <w:b/>
                <w:sz w:val="16"/>
              </w:rPr>
              <w:t>Client Expertise and Professional Responsibility</w:t>
            </w:r>
          </w:p>
        </w:tc>
        <w:tc>
          <w:tcPr>
            <w:tcW w:type="dxa" w:w="5256"/>
            <w:vAlign w:val="top"/>
          </w:tcPr>
          <w:p>
            <w:pPr>
              <w:spacing w:after="0"/>
            </w:pPr>
            <w:r/>
            <w:r>
              <w:rPr>
                <w:rFonts w:ascii="Aptos" w:hAnsi="Aptos"/>
                <w:b w:val="0"/>
                <w:sz w:val="16"/>
              </w:rPr>
              <w:t>The client is an important source of information about personal identity, values, family meanings, spiritual beliefs, and lived experience. The therapist should listen carefully and ask respectful questions relevant to assessment and treatment. However, the client should not carry the full burden of educating the therapist about an entire cultural group. The therapist remains responsible for developing competence through reliable resources, consultation, supervision, or training when needed.</w:t>
            </w:r>
          </w:p>
        </w:tc>
        <w:tc>
          <w:tcPr>
            <w:tcW w:type="dxa" w:w="2520"/>
            <w:vAlign w:val="top"/>
          </w:tcPr>
          <w:p>
            <w:pPr>
              <w:spacing w:after="0"/>
            </w:pPr>
            <w:r/>
            <w:r>
              <w:rPr>
                <w:rFonts w:ascii="Aptos" w:hAnsi="Aptos"/>
                <w:b w:val="0"/>
                <w:sz w:val="16"/>
              </w:rPr>
              <w:t>When the client knows more about the lived experience but the therapist holds professional responsibility, choose the answer that combines: Ask the client + seek independent learning + retain clinical responsibility</w:t>
            </w:r>
          </w:p>
        </w:tc>
      </w:tr>
      <w:tr>
        <w:tc>
          <w:tcPr>
            <w:tcW w:type="dxa" w:w="2376"/>
            <w:vAlign w:val="top"/>
            <w:shd w:fill="F7F9FA"/>
          </w:tcPr>
          <w:p>
            <w:pPr>
              <w:spacing w:after="0"/>
            </w:pPr>
            <w:r/>
            <w:r>
              <w:rPr>
                <w:rFonts w:ascii="Aptos" w:hAnsi="Aptos"/>
                <w:b/>
                <w:sz w:val="16"/>
              </w:rPr>
              <w:t>Clinician Self-Reflection</w:t>
            </w:r>
          </w:p>
        </w:tc>
        <w:tc>
          <w:tcPr>
            <w:tcW w:type="dxa" w:w="5256"/>
            <w:vAlign w:val="top"/>
            <w:shd w:fill="F7F9FA"/>
          </w:tcPr>
          <w:p>
            <w:pPr>
              <w:spacing w:after="0"/>
            </w:pPr>
            <w:r/>
            <w:r>
              <w:rPr>
                <w:rFonts w:ascii="Aptos" w:hAnsi="Aptos"/>
                <w:b w:val="0"/>
                <w:sz w:val="16"/>
              </w:rPr>
              <w:t>Cultural humility requires the therapist to examine whether personal values or assumptions are shaping clinical judgment. The therapist should not automatically interpret family involvement as dependence or lack of autonomy. The therapist should also explore the client’s perspective, including what role the family plays, what support the client wants, and how participation could be structured while protecting confidentiality, consent, and treatment goals.</w:t>
            </w:r>
          </w:p>
        </w:tc>
        <w:tc>
          <w:tcPr>
            <w:tcW w:type="dxa" w:w="2520"/>
            <w:vAlign w:val="top"/>
            <w:shd w:fill="F7F9FA"/>
          </w:tcPr>
          <w:p>
            <w:pPr>
              <w:spacing w:after="0"/>
            </w:pPr>
            <w:r/>
            <w:r>
              <w:rPr>
                <w:rFonts w:ascii="Aptos" w:hAnsi="Aptos"/>
                <w:b w:val="0"/>
                <w:sz w:val="16"/>
              </w:rPr>
              <w:t>When the therapist reacts strongly to a client’s cultural or family preference, ask: Is the therapist interpreting the client through the therapist’s own values?</w:t>
            </w:r>
          </w:p>
        </w:tc>
      </w:tr>
      <w:tr>
        <w:tc>
          <w:tcPr>
            <w:tcW w:type="dxa" w:w="2376"/>
            <w:vAlign w:val="top"/>
          </w:tcPr>
          <w:p>
            <w:pPr>
              <w:spacing w:after="0"/>
            </w:pPr>
            <w:r/>
            <w:r>
              <w:rPr>
                <w:rFonts w:ascii="Aptos" w:hAnsi="Aptos"/>
                <w:b/>
                <w:sz w:val="16"/>
              </w:rPr>
              <w:t>Respectful Curiosity</w:t>
            </w:r>
          </w:p>
        </w:tc>
        <w:tc>
          <w:tcPr>
            <w:tcW w:type="dxa" w:w="5256"/>
            <w:vAlign w:val="top"/>
          </w:tcPr>
          <w:p>
            <w:pPr>
              <w:spacing w:after="0"/>
            </w:pPr>
            <w:r/>
            <w:r>
              <w:rPr>
                <w:rFonts w:ascii="Aptos" w:hAnsi="Aptos"/>
                <w:b w:val="0"/>
                <w:sz w:val="16"/>
              </w:rPr>
              <w:t>“Does this belief or practice have a particular meaning for you or your family?” This question invites the client to describe personal meaning without assuming that the client represents an entire cultural group. It is clinically relevant, open-ended, and focused on the individual client’s experience. Respectful curiosity helps the therapist gather information while preserving dignity and avoiding stereotypes.</w:t>
            </w:r>
          </w:p>
        </w:tc>
        <w:tc>
          <w:tcPr>
            <w:tcW w:type="dxa" w:w="2520"/>
            <w:vAlign w:val="top"/>
          </w:tcPr>
          <w:p>
            <w:pPr>
              <w:spacing w:after="0"/>
            </w:pPr>
            <w:r/>
            <w:r>
              <w:rPr>
                <w:rFonts w:ascii="Aptos" w:hAnsi="Aptos"/>
                <w:b w:val="0"/>
                <w:sz w:val="16"/>
              </w:rPr>
              <w:t>Strong cultural questions usually ask: “What does this mean to you?” Weak questions assume: “This must mean the same thing for everyone in your group.”</w:t>
            </w:r>
          </w:p>
        </w:tc>
      </w:tr>
      <w:tr>
        <w:tc>
          <w:tcPr>
            <w:tcW w:type="dxa" w:w="2376"/>
            <w:vAlign w:val="top"/>
            <w:shd w:fill="F7F9FA"/>
          </w:tcPr>
          <w:p>
            <w:pPr>
              <w:spacing w:after="0"/>
            </w:pPr>
            <w:r/>
            <w:r>
              <w:rPr>
                <w:rFonts w:ascii="Aptos" w:hAnsi="Aptos"/>
                <w:b/>
                <w:sz w:val="16"/>
              </w:rPr>
              <w:t>Adaptation vs. Lowering Standards</w:t>
            </w:r>
          </w:p>
        </w:tc>
        <w:tc>
          <w:tcPr>
            <w:tcW w:type="dxa" w:w="5256"/>
            <w:vAlign w:val="top"/>
            <w:shd w:fill="F7F9FA"/>
          </w:tcPr>
          <w:p>
            <w:pPr>
              <w:spacing w:after="0"/>
            </w:pPr>
            <w:r/>
            <w:r>
              <w:rPr>
                <w:rFonts w:ascii="Aptos" w:hAnsi="Aptos"/>
                <w:b w:val="0"/>
                <w:sz w:val="16"/>
              </w:rPr>
              <w:t>Culturally responsive care may require modifying language, examples, pacing, communication style, or materials so that treatment is understandable and relevant to the client. The therapist is not eliminating important information or reducing the quality of care. The professional standards involving assessment, informed consent, competence, confidentiality, and client safety remain intact.</w:t>
            </w:r>
          </w:p>
        </w:tc>
        <w:tc>
          <w:tcPr>
            <w:tcW w:type="dxa" w:w="2520"/>
            <w:vAlign w:val="top"/>
            <w:shd w:fill="F7F9FA"/>
          </w:tcPr>
          <w:p>
            <w:pPr>
              <w:spacing w:after="0"/>
            </w:pPr>
            <w:r/>
            <w:r>
              <w:rPr>
                <w:rFonts w:ascii="Aptos" w:hAnsi="Aptos"/>
                <w:b w:val="0"/>
                <w:sz w:val="16"/>
              </w:rPr>
              <w:t>Remember: Change the method—not the professional responsibility.</w:t>
            </w:r>
          </w:p>
        </w:tc>
      </w:tr>
      <w:tr>
        <w:tc>
          <w:tcPr>
            <w:tcW w:type="dxa" w:w="2376"/>
            <w:vAlign w:val="top"/>
          </w:tcPr>
          <w:p>
            <w:pPr>
              <w:spacing w:after="0"/>
            </w:pPr>
            <w:r/>
            <w:r>
              <w:rPr>
                <w:rFonts w:ascii="Aptos" w:hAnsi="Aptos"/>
                <w:b/>
                <w:sz w:val="16"/>
              </w:rPr>
              <w:t>Cultural Difference vs. Pathology</w:t>
            </w:r>
          </w:p>
        </w:tc>
        <w:tc>
          <w:tcPr>
            <w:tcW w:type="dxa" w:w="5256"/>
            <w:vAlign w:val="top"/>
          </w:tcPr>
          <w:p>
            <w:pPr>
              <w:spacing w:after="0"/>
            </w:pPr>
            <w:r/>
            <w:r>
              <w:rPr>
                <w:rFonts w:ascii="Aptos" w:hAnsi="Aptos"/>
                <w:b w:val="0"/>
                <w:sz w:val="16"/>
              </w:rPr>
              <w:t>Limited eye contact is observable, but resistance and dishonesty are interpretations. The therapist should gather information before assigning clinical meaning to the behavior. Eye contact may be influenced by culture, family norms, anxiety, trauma, neurodivergence, respect for authority, or personal preference. The therapist should assess meaning, context, distress, impairment, and other relevant evidence.</w:t>
            </w:r>
          </w:p>
        </w:tc>
        <w:tc>
          <w:tcPr>
            <w:tcW w:type="dxa" w:w="2520"/>
            <w:vAlign w:val="top"/>
          </w:tcPr>
          <w:p>
            <w:pPr>
              <w:spacing w:after="0"/>
            </w:pPr>
            <w:r/>
            <w:r>
              <w:rPr>
                <w:rFonts w:ascii="Aptos" w:hAnsi="Aptos"/>
                <w:b w:val="0"/>
                <w:sz w:val="16"/>
              </w:rPr>
              <w:t>Separate: Fact: The client rarely makes direct eye contact. Interpretation: The client is resistant or dishonest. Interpretations require assessment and evidence.</w:t>
            </w:r>
          </w:p>
        </w:tc>
      </w:tr>
      <w:tr>
        <w:tc>
          <w:tcPr>
            <w:tcW w:type="dxa" w:w="2376"/>
            <w:vAlign w:val="top"/>
            <w:shd w:fill="F7F9FA"/>
          </w:tcPr>
          <w:p>
            <w:pPr>
              <w:spacing w:after="0"/>
            </w:pPr>
            <w:r/>
            <w:r>
              <w:rPr>
                <w:rFonts w:ascii="Aptos" w:hAnsi="Aptos"/>
                <w:b/>
                <w:sz w:val="16"/>
              </w:rPr>
              <w:t>Responding to a Cultural Mistake</w:t>
            </w:r>
          </w:p>
        </w:tc>
        <w:tc>
          <w:tcPr>
            <w:tcW w:type="dxa" w:w="5256"/>
            <w:vAlign w:val="top"/>
            <w:shd w:fill="F7F9FA"/>
          </w:tcPr>
          <w:p>
            <w:pPr>
              <w:spacing w:after="0"/>
            </w:pPr>
            <w:r/>
            <w:r>
              <w:rPr>
                <w:rFonts w:ascii="Aptos" w:hAnsi="Aptos"/>
                <w:b w:val="0"/>
                <w:sz w:val="16"/>
              </w:rPr>
              <w:t>Cultural humility includes openness to correction and willingness to repair mistakes. The therapist should listen without defensiveness, acknowledge the impact, correct the behavior, and assess whether the repeated error affected trust or the therapeutic relationship. An apology and changed behavior are more meaningful than focusing only on the therapist’s intention.</w:t>
            </w:r>
          </w:p>
        </w:tc>
        <w:tc>
          <w:tcPr>
            <w:tcW w:type="dxa" w:w="2520"/>
            <w:vAlign w:val="top"/>
            <w:shd w:fill="F7F9FA"/>
          </w:tcPr>
          <w:p>
            <w:pPr>
              <w:spacing w:after="0"/>
            </w:pPr>
            <w:r/>
            <w:r>
              <w:rPr>
                <w:rFonts w:ascii="Aptos" w:hAnsi="Aptos"/>
                <w:b w:val="0"/>
                <w:sz w:val="16"/>
              </w:rPr>
              <w:t>Use: Listen → Acknowledge → Repair → Learn Do not ask the client to reassure the therapist.</w:t>
            </w:r>
          </w:p>
        </w:tc>
      </w:tr>
      <w:tr>
        <w:tc>
          <w:tcPr>
            <w:tcW w:type="dxa" w:w="2376"/>
            <w:vAlign w:val="top"/>
          </w:tcPr>
          <w:p>
            <w:pPr>
              <w:spacing w:after="0"/>
            </w:pPr>
            <w:r/>
            <w:r>
              <w:rPr>
                <w:rFonts w:ascii="Aptos" w:hAnsi="Aptos"/>
                <w:b/>
                <w:sz w:val="16"/>
              </w:rPr>
              <w:t>Consultation and Client Perspective</w:t>
            </w:r>
          </w:p>
        </w:tc>
        <w:tc>
          <w:tcPr>
            <w:tcW w:type="dxa" w:w="5256"/>
            <w:vAlign w:val="top"/>
          </w:tcPr>
          <w:p>
            <w:pPr>
              <w:spacing w:after="0"/>
            </w:pPr>
            <w:r/>
            <w:r>
              <w:rPr>
                <w:rFonts w:ascii="Aptos" w:hAnsi="Aptos"/>
                <w:b w:val="0"/>
                <w:sz w:val="16"/>
              </w:rPr>
              <w:t>The client is the best source of information about personal experience, meaning, distress, and functioning. Consultation may add professional knowledge and help the therapist distinguish cultural, spiritual, and clinical explanations. The strongest approach combines the client’s perspective with appropriate professional support. Consultation should strengthen individualized assessment rather than replace direct communication with the client.</w:t>
            </w:r>
          </w:p>
        </w:tc>
        <w:tc>
          <w:tcPr>
            <w:tcW w:type="dxa" w:w="2520"/>
            <w:vAlign w:val="top"/>
          </w:tcPr>
          <w:p>
            <w:pPr>
              <w:spacing w:after="0"/>
            </w:pPr>
            <w:r/>
            <w:r>
              <w:rPr>
                <w:rFonts w:ascii="Aptos" w:hAnsi="Aptos"/>
                <w:b w:val="0"/>
                <w:sz w:val="16"/>
              </w:rPr>
              <w:t>Consultation should add perspective—not substitute for asking the client.</w:t>
            </w:r>
          </w:p>
        </w:tc>
      </w:tr>
      <w:tr>
        <w:tc>
          <w:tcPr>
            <w:tcW w:type="dxa" w:w="2376"/>
            <w:vAlign w:val="top"/>
            <w:shd w:fill="F7F9FA"/>
          </w:tcPr>
          <w:p>
            <w:pPr>
              <w:spacing w:after="0"/>
            </w:pPr>
            <w:r/>
            <w:r>
              <w:rPr>
                <w:rFonts w:ascii="Aptos" w:hAnsi="Aptos"/>
                <w:b/>
                <w:sz w:val="16"/>
              </w:rPr>
              <w:t>Cultural Difference and Referral</w:t>
            </w:r>
          </w:p>
        </w:tc>
        <w:tc>
          <w:tcPr>
            <w:tcW w:type="dxa" w:w="5256"/>
            <w:vAlign w:val="top"/>
            <w:shd w:fill="F7F9FA"/>
          </w:tcPr>
          <w:p>
            <w:pPr>
              <w:spacing w:after="0"/>
            </w:pPr>
            <w:r/>
            <w:r>
              <w:rPr>
                <w:rFonts w:ascii="Aptos" w:hAnsi="Aptos"/>
                <w:b w:val="0"/>
                <w:sz w:val="16"/>
              </w:rPr>
              <w:t>Difference in identity or limited familiarity does not automatically require referral. When the therapist can develop the necessary knowledge and skill within a clinically appropriate period, continued treatment with consultation, education, and careful monitoring may be appropriate. The therapist must remain alert to whether the limitation is affecting assessment, communication, trust, or client welfare. Referral becomes more appropriate if competence cannot be developed in time or continued treatment would place the client at risk.</w:t>
            </w:r>
          </w:p>
        </w:tc>
        <w:tc>
          <w:tcPr>
            <w:tcW w:type="dxa" w:w="2520"/>
            <w:vAlign w:val="top"/>
            <w:shd w:fill="F7F9FA"/>
          </w:tcPr>
          <w:p>
            <w:pPr>
              <w:spacing w:after="0"/>
            </w:pPr>
            <w:r/>
            <w:r>
              <w:rPr>
                <w:rFonts w:ascii="Aptos" w:hAnsi="Aptos"/>
                <w:b w:val="0"/>
                <w:sz w:val="16"/>
              </w:rPr>
              <w:t>Use this distinction: Difference does not require referral. Lack of competence may. Ask whether the required competence can be developed safely and promptly.</w:t>
            </w:r>
          </w:p>
        </w:tc>
      </w:tr>
      <w:tr>
        <w:tc>
          <w:tcPr>
            <w:tcW w:type="dxa" w:w="2376"/>
            <w:vAlign w:val="top"/>
          </w:tcPr>
          <w:p>
            <w:pPr>
              <w:spacing w:after="0"/>
            </w:pPr>
            <w:r/>
            <w:r>
              <w:rPr>
                <w:rFonts w:ascii="Aptos" w:hAnsi="Aptos"/>
                <w:b/>
                <w:sz w:val="16"/>
              </w:rPr>
              <w:t>General Cultural Knowledge</w:t>
            </w:r>
          </w:p>
        </w:tc>
        <w:tc>
          <w:tcPr>
            <w:tcW w:type="dxa" w:w="5256"/>
            <w:vAlign w:val="top"/>
          </w:tcPr>
          <w:p>
            <w:pPr>
              <w:spacing w:after="0"/>
            </w:pPr>
            <w:r/>
            <w:r>
              <w:rPr>
                <w:rFonts w:ascii="Aptos" w:hAnsi="Aptos"/>
                <w:b w:val="0"/>
                <w:sz w:val="16"/>
              </w:rPr>
              <w:t>General cultural knowledge may help the therapist identify relevant areas to explore, such as family roles, communication, spirituality, help-seeking, or treatment expectations. However, it should guide questions rather than supply conclusions. Clients who share a cultural identity may differ substantially in values, experiences, level of identification, family relationships, and treatment preferences.</w:t>
            </w:r>
          </w:p>
        </w:tc>
        <w:tc>
          <w:tcPr>
            <w:tcW w:type="dxa" w:w="2520"/>
            <w:vAlign w:val="top"/>
          </w:tcPr>
          <w:p>
            <w:pPr>
              <w:spacing w:after="0"/>
            </w:pPr>
            <w:r/>
            <w:r>
              <w:rPr>
                <w:rFonts w:ascii="Aptos" w:hAnsi="Aptos"/>
                <w:b w:val="0"/>
                <w:sz w:val="16"/>
              </w:rPr>
              <w:t>Remember: Use cultural knowledge to develop questions—not conclusions.</w:t>
            </w:r>
          </w:p>
        </w:tc>
      </w:tr>
      <w:tr>
        <w:tc>
          <w:tcPr>
            <w:tcW w:type="dxa" w:w="2376"/>
            <w:vAlign w:val="top"/>
            <w:shd w:fill="F7F9FA"/>
          </w:tcPr>
          <w:p>
            <w:pPr>
              <w:spacing w:after="0"/>
            </w:pPr>
            <w:r/>
            <w:r>
              <w:rPr>
                <w:rFonts w:ascii="Aptos" w:hAnsi="Aptos"/>
                <w:b/>
                <w:sz w:val="16"/>
              </w:rPr>
              <w:t>Individual Variation Within Cultural Groups</w:t>
            </w:r>
          </w:p>
        </w:tc>
        <w:tc>
          <w:tcPr>
            <w:tcW w:type="dxa" w:w="5256"/>
            <w:vAlign w:val="top"/>
            <w:shd w:fill="F7F9FA"/>
          </w:tcPr>
          <w:p>
            <w:pPr>
              <w:spacing w:after="0"/>
            </w:pPr>
            <w:r/>
            <w:r>
              <w:rPr>
                <w:rFonts w:ascii="Aptos" w:hAnsi="Aptos"/>
                <w:b w:val="0"/>
                <w:sz w:val="16"/>
              </w:rPr>
              <w:t>Shared identity does not mean shared beliefs, experiences, values, or treatment preferences. One client may experience the identity as central, while another may feel only loosely connected to it. Culturally responsive care requires individualized assessment of what the identity means to each client and whether it is relevant to the presenting concern.</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Cultural Mistake vs. Statutory Misconduct</w:t>
            </w:r>
          </w:p>
        </w:tc>
        <w:tc>
          <w:tcPr>
            <w:tcW w:type="dxa" w:w="5256"/>
            <w:vAlign w:val="top"/>
          </w:tcPr>
          <w:p>
            <w:pPr>
              <w:spacing w:after="0"/>
            </w:pPr>
            <w:r/>
            <w:r>
              <w:rPr>
                <w:rFonts w:ascii="Aptos" w:hAnsi="Aptos"/>
                <w:b w:val="0"/>
                <w:sz w:val="16"/>
              </w:rPr>
              <w:t>California does not classify every cultural misunderstanding or incorrect assumption as a separate statutory violation. Many mistakes can be addressed through acknowledgment, correction, education, consultation, and repair. The concern becomes more serious when the therapist repeatedly disregards relevant information, practices beyond competence, provides grossly inadequate care, acts dishonestly, or intentionally or recklessly harms the client.</w:t>
            </w:r>
          </w:p>
        </w:tc>
        <w:tc>
          <w:tcPr>
            <w:tcW w:type="dxa" w:w="2520"/>
            <w:vAlign w:val="top"/>
          </w:tcPr>
          <w:p>
            <w:pPr>
              <w:spacing w:after="0"/>
            </w:pPr>
            <w:r/>
            <w:r>
              <w:rPr>
                <w:rFonts w:ascii="Aptos" w:hAnsi="Aptos"/>
                <w:b w:val="0"/>
                <w:sz w:val="16"/>
              </w:rPr>
              <w:t>Distinguish between: Mistake recognized and repaired Repeated disregard or harmful incompetence Do not automatically classify every cultural error as illegal—but do not minimize conduct that causes serious harm.</w:t>
            </w:r>
          </w:p>
        </w:tc>
      </w:tr>
      <w:tr>
        <w:tc>
          <w:tcPr>
            <w:tcW w:type="dxa" w:w="2376"/>
            <w:vAlign w:val="top"/>
            <w:shd w:fill="F7F9FA"/>
          </w:tcPr>
          <w:p>
            <w:pPr>
              <w:spacing w:after="0"/>
            </w:pPr>
            <w:r/>
            <w:r>
              <w:rPr>
                <w:rFonts w:ascii="Aptos" w:hAnsi="Aptos"/>
                <w:b/>
                <w:sz w:val="16"/>
              </w:rPr>
              <w:t>Family Involvement and Cultural Responsiveness</w:t>
            </w:r>
          </w:p>
        </w:tc>
        <w:tc>
          <w:tcPr>
            <w:tcW w:type="dxa" w:w="5256"/>
            <w:vAlign w:val="top"/>
            <w:shd w:fill="F7F9FA"/>
          </w:tcPr>
          <w:p>
            <w:pPr>
              <w:spacing w:after="0"/>
            </w:pPr>
            <w:r/>
            <w:r>
              <w:rPr>
                <w:rFonts w:ascii="Aptos" w:hAnsi="Aptos"/>
                <w:b w:val="0"/>
                <w:sz w:val="16"/>
              </w:rPr>
              <w:t>The therapist should respect the client’s preference without assuming that family participation is automatically helpful or harmful. Appropriate involvement requires clarification of who will participate, what information may be shared, and what role each person will have. The therapist should also assess whether the client feels free to change the arrangement, whether relatives are exerting pressure, and whether participation supports treatment goals while protecting confidentiality and autonomy.</w:t>
            </w:r>
          </w:p>
        </w:tc>
        <w:tc>
          <w:tcPr>
            <w:tcW w:type="dxa" w:w="2520"/>
            <w:vAlign w:val="top"/>
            <w:shd w:fill="F7F9FA"/>
          </w:tcPr>
          <w:p>
            <w:pPr>
              <w:spacing w:after="0"/>
            </w:pPr>
            <w:r/>
            <w:r>
              <w:rPr>
                <w:rFonts w:ascii="Aptos" w:hAnsi="Aptos"/>
                <w:b w:val="0"/>
                <w:sz w:val="16"/>
              </w:rPr>
              <w:t>Family involvement questions usually require: Client preference + permission + role clarity + confidentiality + monitoring</w:t>
            </w:r>
          </w:p>
        </w:tc>
      </w:tr>
      <w:tr>
        <w:tc>
          <w:tcPr>
            <w:tcW w:type="dxa" w:w="2376"/>
            <w:vAlign w:val="top"/>
          </w:tcPr>
          <w:p>
            <w:pPr>
              <w:spacing w:after="0"/>
            </w:pPr>
            <w:r/>
            <w:r>
              <w:rPr>
                <w:rFonts w:ascii="Aptos" w:hAnsi="Aptos"/>
                <w:b/>
                <w:sz w:val="16"/>
              </w:rPr>
              <w:t>Repeated Cultural Disregard and Client Harm</w:t>
            </w:r>
          </w:p>
        </w:tc>
        <w:tc>
          <w:tcPr>
            <w:tcW w:type="dxa" w:w="5256"/>
            <w:vAlign w:val="top"/>
          </w:tcPr>
          <w:p>
            <w:pPr>
              <w:spacing w:after="0"/>
            </w:pPr>
            <w:r/>
            <w:r>
              <w:rPr>
                <w:rFonts w:ascii="Aptos" w:hAnsi="Aptos"/>
                <w:b w:val="0"/>
                <w:sz w:val="16"/>
              </w:rPr>
              <w:t>The concern is not simply that the therapist made an initial mistake. The therapist repeatedly ignores clinically relevant information, labels the client without adequate assessment, and continues an ineffective approach despite worsening distress. This pattern may affect competence, clinical judgment, treatment effectiveness, and client welfare. The therapist should reassess the treatment, explore the client’s perspective, correct unsupported documentation, seek consultation or education, and modify or refer when necessary.</w:t>
            </w:r>
          </w:p>
        </w:tc>
        <w:tc>
          <w:tcPr>
            <w:tcW w:type="dxa" w:w="2520"/>
            <w:vAlign w:val="top"/>
          </w:tcPr>
          <w:p>
            <w:pPr>
              <w:spacing w:after="0"/>
            </w:pPr>
            <w:r/>
            <w:r>
              <w:rPr>
                <w:rFonts w:ascii="Aptos" w:hAnsi="Aptos"/>
                <w:b w:val="0"/>
                <w:sz w:val="16"/>
              </w:rPr>
              <w:t>Look for escalation: Misunderstanding → correction offered → therapist refuses to learn → harm increases Repeated disregard is more serious than a single repairable error.</w:t>
            </w:r>
          </w:p>
        </w:tc>
      </w:tr>
      <w:tr>
        <w:tc>
          <w:tcPr>
            <w:tcW w:type="dxa" w:w="2376"/>
            <w:vAlign w:val="top"/>
            <w:shd w:fill="F7F9FA"/>
          </w:tcPr>
          <w:p>
            <w:pPr>
              <w:spacing w:after="0"/>
            </w:pPr>
            <w:r/>
            <w:r>
              <w:rPr>
                <w:rFonts w:ascii="Aptos" w:hAnsi="Aptos"/>
                <w:b/>
                <w:sz w:val="16"/>
              </w:rPr>
              <w:t>Referral When Competence Cannot Be Developed in Time</w:t>
            </w:r>
          </w:p>
        </w:tc>
        <w:tc>
          <w:tcPr>
            <w:tcW w:type="dxa" w:w="5256"/>
            <w:vAlign w:val="top"/>
            <w:shd w:fill="F7F9FA"/>
          </w:tcPr>
          <w:p>
            <w:pPr>
              <w:spacing w:after="0"/>
            </w:pPr>
            <w:r/>
            <w:r>
              <w:rPr>
                <w:rFonts w:ascii="Aptos" w:hAnsi="Aptos"/>
                <w:b w:val="0"/>
                <w:sz w:val="16"/>
              </w:rPr>
              <w:t>Referral is appropriate when the necessary competence cannot be developed within a clinically appropriate period and continuing treatment may harm the client. The therapist should explain the recommendation respectfully, provide suitable referral options, support the transition, share information only with proper authorization or another lawful basis, and avoid abandonment.</w:t>
            </w:r>
          </w:p>
        </w:tc>
        <w:tc>
          <w:tcPr>
            <w:tcW w:type="dxa" w:w="2520"/>
            <w:vAlign w:val="top"/>
            <w:shd w:fill="F7F9FA"/>
          </w:tcPr>
          <w:p>
            <w:pPr>
              <w:spacing w:after="0"/>
            </w:pPr>
            <w:r/>
            <w:r>
              <w:rPr>
                <w:rFonts w:ascii="Aptos" w:hAnsi="Aptos"/>
                <w:b w:val="0"/>
                <w:sz w:val="16"/>
              </w:rPr>
              <w:t>Use the competence timeline: Can competence be developed promptly? Continue with support. Can it not be developed safely or in time? Refer appropriately.</w:t>
            </w:r>
          </w:p>
        </w:tc>
      </w:tr>
      <w:tr>
        <w:tc>
          <w:tcPr>
            <w:tcW w:type="dxa" w:w="2376"/>
            <w:vAlign w:val="top"/>
          </w:tcPr>
          <w:p>
            <w:pPr>
              <w:spacing w:after="0"/>
            </w:pPr>
            <w:r/>
            <w:r>
              <w:rPr>
                <w:rFonts w:ascii="Aptos" w:hAnsi="Aptos"/>
                <w:b/>
                <w:sz w:val="16"/>
              </w:rPr>
              <w:t>Cultural Humility Decision-Making — Part 1 of 2</w:t>
            </w:r>
          </w:p>
        </w:tc>
        <w:tc>
          <w:tcPr>
            <w:tcW w:type="dxa" w:w="5256"/>
            <w:vAlign w:val="top"/>
          </w:tcPr>
          <w:p>
            <w:pPr>
              <w:spacing w:after="0"/>
            </w:pPr>
            <w:r/>
            <w:r>
              <w:rPr>
                <w:rFonts w:ascii="Aptos" w:hAnsi="Aptos"/>
                <w:b w:val="0"/>
                <w:sz w:val="16"/>
              </w:rPr>
              <w:t>The therapist has treated an interpretation as a fact without sufficient assessment. The strongest response combines cultural humility with competent clinical practice.</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Cultural Humility Decision-Making — Part 2 of 2</w:t>
            </w:r>
          </w:p>
        </w:tc>
        <w:tc>
          <w:tcPr>
            <w:tcW w:type="dxa" w:w="5256"/>
            <w:vAlign w:val="top"/>
            <w:shd w:fill="F7F9FA"/>
          </w:tcPr>
          <w:p>
            <w:pPr>
              <w:spacing w:after="0"/>
            </w:pPr>
            <w:r/>
            <w:r>
              <w:rPr>
                <w:rFonts w:ascii="Aptos" w:hAnsi="Aptos"/>
                <w:b w:val="0"/>
                <w:sz w:val="16"/>
              </w:rPr>
              <w:t>The therapist should: Listen without defensiveness Ask what the experiences mean to the client Assess cultural and spiritual context Evaluate distress, impairment, safety, duration, and other symptoms Consider alternative explanations Obtain consultation or education when needed Revise unsupported conclusions or documentation Repair the therapeutic relationship Monitor whether competent and fair treatment can continue Cultural context should not automatically rule out a clinical condition, but unfamiliar spiritual experiences should not be pathologized without individualized assessment.</w:t>
            </w:r>
          </w:p>
        </w:tc>
        <w:tc>
          <w:tcPr>
            <w:tcW w:type="dxa" w:w="2520"/>
            <w:vAlign w:val="top"/>
            <w:shd w:fill="F7F9FA"/>
          </w:tcPr>
          <w:p>
            <w:pPr>
              <w:spacing w:after="0"/>
            </w:pPr>
            <w:r/>
            <w:r>
              <w:rPr>
                <w:rFonts w:ascii="Aptos" w:hAnsi="Aptos"/>
                <w:b w:val="0"/>
                <w:sz w:val="16"/>
              </w:rPr>
              <w:t>For difficult cultural-assessment questions, use: Meaning → Context → Distress → Impairment → Alternatives → Consultation → Correction</w:t>
            </w:r>
          </w:p>
        </w:tc>
      </w:tr>
    </w:tbl>
    <w:p>
      <w:pPr>
        <w:pStyle w:val="Heading2"/>
      </w:pPr>
      <w:r>
        <w:t>Exam Reasoning Checklist</w:t>
      </w:r>
    </w:p>
    <w:p>
      <w:pPr>
        <w:pStyle w:val="ListBullet"/>
        <w:spacing w:after="30"/>
      </w:pPr>
      <w:r>
        <w:t>Cultural humility does not mean: “I know everything about your culture.” It means: “I recognize what I may not understand, and I will respond responsibly.”</w:t>
      </w:r>
    </w:p>
    <w:p>
      <w:pPr>
        <w:pStyle w:val="ListBullet"/>
        <w:spacing w:after="30"/>
      </w:pPr>
      <w:r>
        <w:t>Remember: Competence: What must the clinician know or learn? Humility: How does the clinician approach what is not known?</w:t>
      </w:r>
    </w:p>
    <w:p>
      <w:pPr>
        <w:pStyle w:val="ListBullet"/>
        <w:spacing w:after="30"/>
      </w:pPr>
      <w:r>
        <w:t>When the client knows more about the lived experience but the therapist holds professional responsibility, choose the answer that combines: Ask the client + seek independent learning + retain clinical responsibility</w:t>
      </w:r>
    </w:p>
    <w:p>
      <w:pPr>
        <w:pStyle w:val="ListBullet"/>
        <w:spacing w:after="30"/>
      </w:pPr>
      <w:r>
        <w:t>When the therapist reacts strongly to a client’s cultural or family preference, ask: Is the therapist interpreting the client through the therapist’s own values?</w:t>
      </w:r>
    </w:p>
    <w:p>
      <w:pPr>
        <w:pStyle w:val="ListBullet"/>
        <w:spacing w:after="30"/>
      </w:pPr>
      <w:r>
        <w:t>Strong cultural questions usually ask: “What does this mean to you?” Weak questions assume: “This must mean the same thing for everyone in your group.”</w:t>
      </w:r>
    </w:p>
    <w:p>
      <w:pPr>
        <w:pStyle w:val="ListBullet"/>
        <w:spacing w:after="30"/>
      </w:pPr>
      <w:r>
        <w:t>Remember: Change the method—not the professional responsibility.</w:t>
      </w:r>
    </w:p>
    <w:p>
      <w:pPr>
        <w:pStyle w:val="ListBullet"/>
        <w:spacing w:after="30"/>
      </w:pPr>
      <w:r>
        <w:t>Separate: Fact: The client rarely makes direct eye contact. Interpretation: The client is resistant or dishonest. Interpretations require assessment and evidence.</w:t>
      </w:r>
    </w:p>
    <w:p>
      <w:pPr>
        <w:pStyle w:val="ListBullet"/>
        <w:spacing w:after="30"/>
      </w:pPr>
      <w:r>
        <w:t>Use: Listen → Acknowledge → Repair → Learn Do not ask the client to reassure the therapist.</w:t>
      </w:r>
    </w:p>
    <w:p>
      <w:pPr>
        <w:pStyle w:val="Heading2"/>
      </w:pPr>
      <w:r>
        <w:t>Chapter Rapid Review</w:t>
      </w:r>
    </w:p>
    <w:p>
      <w:r>
        <w:rPr>
          <w:b/>
        </w:rPr>
        <w:t xml:space="preserve">Know these concepts: </w:t>
      </w:r>
      <w:r>
        <w:t>Cultural Humility; Cultural Competence vs. Cultural Humility; Client Expertise and Professional Responsibility; Clinician Self-Reflection; Respectful Curiosity; Adaptation vs. Lowering Standards; Cultural Difference vs. Pathology; Responding to a Cultural Mistake; Consultation and Client Perspective; Cultural Difference and Referral; General Cultural Knowledge; Individual Variation Within Cultural Groups; Cultural Mistake vs. Statutory Misconduct; Family Involvement and Cultural Responsiveness; Repeated Cultural Disregard and Client Harm; Referral When Competence Cannot Be Developed in Time; Cultural Humility Decision-Making — Part 1 of 2; Cultural Humility Decision-Making — Part 2 of 2</w:t>
      </w:r>
    </w:p>
    <w:p>
      <w:r>
        <w:br w:type="page"/>
      </w:r>
    </w:p>
    <w:p>
      <w:pPr>
        <w:pStyle w:val="Heading2"/>
      </w:pPr>
      <w:r>
        <w:t>Chapter 2</w:t>
      </w:r>
    </w:p>
    <w:p>
      <w:pPr>
        <w:pStyle w:val="Heading1"/>
      </w:pPr>
      <w:r>
        <w:t>Bias, Assumptions, and Ethical Decision-Making</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Clinicians may experience automatic reactions, assumptions, or preferences. The existence of an internal reaction does not by itself establish unethical conduct. 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 Confirmation bias occurs when a clinician gives greater weight to information supporting an existing belief and minimizes or ignores information that challenges it. In this situation, the therapist’s early label begins directing later interpretation. Evidence consistent with manipulation is emphasized, while information suggesting trauma and fear is discounted.</w:t>
            </w:r>
          </w:p>
        </w:tc>
      </w:tr>
    </w:tbl>
    <w:p>
      <w:pPr>
        <w:pStyle w:val="Heading2"/>
      </w:pPr>
      <w:r>
        <w:t>What to Learn</w:t>
      </w:r>
    </w:p>
    <w:p>
      <w:pPr>
        <w:pStyle w:val="ListBullet"/>
        <w:spacing w:after="30"/>
      </w:pPr>
      <w:r>
        <w:t>Explain and apply Bias and Professional Conduct.</w:t>
      </w:r>
    </w:p>
    <w:p>
      <w:pPr>
        <w:pStyle w:val="ListBullet"/>
        <w:spacing w:after="30"/>
      </w:pPr>
      <w:r>
        <w:t>Explain and apply Confirmation Bias.</w:t>
      </w:r>
    </w:p>
    <w:p>
      <w:pPr>
        <w:pStyle w:val="ListBullet"/>
        <w:spacing w:after="30"/>
      </w:pPr>
      <w:r>
        <w:t>Explain and apply Unsupported Assumptions and Access Barriers.</w:t>
      </w:r>
    </w:p>
    <w:p>
      <w:pPr>
        <w:pStyle w:val="ListBullet"/>
        <w:spacing w:after="30"/>
      </w:pPr>
      <w:r>
        <w:t>Explain and apply Explicit and Implicit Bias.</w:t>
      </w:r>
    </w:p>
    <w:p>
      <w:pPr>
        <w:pStyle w:val="ListBullet"/>
        <w:spacing w:after="30"/>
      </w:pPr>
      <w:r>
        <w:t>Explain and apply Fact vs. Interpretation.</w:t>
      </w:r>
    </w:p>
    <w:p>
      <w:pPr>
        <w:pStyle w:val="ListBullet"/>
        <w:spacing w:after="30"/>
      </w:pPr>
      <w:r>
        <w:t>Explain and apply Consultation and Objectivity.</w:t>
      </w:r>
    </w:p>
    <w:p>
      <w:pPr>
        <w:pStyle w:val="ListBullet"/>
        <w:spacing w:after="30"/>
      </w:pPr>
      <w:r>
        <w:t>Explain and apply Imposing Personal Values.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Bias and Professional Conduct</w:t>
            </w:r>
          </w:p>
        </w:tc>
        <w:tc>
          <w:tcPr>
            <w:tcW w:type="dxa" w:w="5256"/>
            <w:vAlign w:val="top"/>
          </w:tcPr>
          <w:p>
            <w:pPr>
              <w:spacing w:after="0"/>
            </w:pPr>
            <w:r/>
            <w:r>
              <w:rPr>
                <w:rFonts w:ascii="Aptos" w:hAnsi="Aptos"/>
                <w:b w:val="0"/>
                <w:sz w:val="16"/>
              </w:rPr>
              <w:t>Clinicians may experience automatic reactions, assumptions, or preferences. The existence of an internal reaction does not by itself establish unethical conduct. 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w:t>
            </w:r>
          </w:p>
        </w:tc>
        <w:tc>
          <w:tcPr>
            <w:tcW w:type="dxa" w:w="2520"/>
            <w:vAlign w:val="top"/>
          </w:tcPr>
          <w:p>
            <w:pPr>
              <w:spacing w:after="0"/>
            </w:pPr>
            <w:r/>
            <w:r>
              <w:rPr>
                <w:rFonts w:ascii="Aptos" w:hAnsi="Aptos"/>
                <w:b w:val="0"/>
                <w:sz w:val="16"/>
              </w:rPr>
              <w:t>Remember: A thought requires awareness. A professional decision requires evidence.</w:t>
            </w:r>
          </w:p>
        </w:tc>
      </w:tr>
      <w:tr>
        <w:tc>
          <w:tcPr>
            <w:tcW w:type="dxa" w:w="2376"/>
            <w:vAlign w:val="top"/>
            <w:shd w:fill="F7F9FA"/>
          </w:tcPr>
          <w:p>
            <w:pPr>
              <w:spacing w:after="0"/>
            </w:pPr>
            <w:r/>
            <w:r>
              <w:rPr>
                <w:rFonts w:ascii="Aptos" w:hAnsi="Aptos"/>
                <w:b/>
                <w:sz w:val="16"/>
              </w:rPr>
              <w:t>Confirmation Bias</w:t>
            </w:r>
          </w:p>
        </w:tc>
        <w:tc>
          <w:tcPr>
            <w:tcW w:type="dxa" w:w="5256"/>
            <w:vAlign w:val="top"/>
            <w:shd w:fill="F7F9FA"/>
          </w:tcPr>
          <w:p>
            <w:pPr>
              <w:spacing w:after="0"/>
            </w:pPr>
            <w:r/>
            <w:r>
              <w:rPr>
                <w:rFonts w:ascii="Aptos" w:hAnsi="Aptos"/>
                <w:b w:val="0"/>
                <w:sz w:val="16"/>
              </w:rPr>
              <w:t>Confirmation bias occurs when a clinician gives greater weight to information supporting an existing belief and minimizes or ignores information that challenges it. In this situation, the therapist’s early label begins directing later interpretation. Evidence consistent with manipulation is emphasized, while information suggesting trauma and fear is discounted.</w:t>
            </w:r>
          </w:p>
        </w:tc>
        <w:tc>
          <w:tcPr>
            <w:tcW w:type="dxa" w:w="2520"/>
            <w:vAlign w:val="top"/>
            <w:shd w:fill="F7F9FA"/>
          </w:tcPr>
          <w:p>
            <w:pPr>
              <w:spacing w:after="0"/>
            </w:pPr>
            <w:r/>
            <w:r>
              <w:rPr>
                <w:rFonts w:ascii="Aptos" w:hAnsi="Aptos"/>
                <w:b w:val="0"/>
                <w:sz w:val="16"/>
              </w:rPr>
              <w:t>When an early label appears, ask: What supports it? What contradicts it? What information has been ignored? What alternative explanations fit?</w:t>
            </w:r>
          </w:p>
        </w:tc>
      </w:tr>
      <w:tr>
        <w:tc>
          <w:tcPr>
            <w:tcW w:type="dxa" w:w="2376"/>
            <w:vAlign w:val="top"/>
          </w:tcPr>
          <w:p>
            <w:pPr>
              <w:spacing w:after="0"/>
            </w:pPr>
            <w:r/>
            <w:r>
              <w:rPr>
                <w:rFonts w:ascii="Aptos" w:hAnsi="Aptos"/>
                <w:b/>
                <w:sz w:val="16"/>
              </w:rPr>
              <w:t>Unsupported Assumptions and Access Barriers</w:t>
            </w:r>
          </w:p>
        </w:tc>
        <w:tc>
          <w:tcPr>
            <w:tcW w:type="dxa" w:w="5256"/>
            <w:vAlign w:val="top"/>
          </w:tcPr>
          <w:p>
            <w:pPr>
              <w:spacing w:after="0"/>
            </w:pPr>
            <w:r/>
            <w:r>
              <w:rPr>
                <w:rFonts w:ascii="Aptos" w:hAnsi="Aptos"/>
                <w:b w:val="0"/>
                <w:sz w:val="16"/>
              </w:rPr>
              <w:t>Missed appointments are observable facts, but lack of motivation is an interpretation. Attendance may be affected by transportation, work schedules, childcare, finances, housing instability, disability, language, technology, or fear related to stigma or discrimination. The therapist should ask respectful questions, assess the barriers, and determine whether services can be made more accessible before labeling the client or taking major action.</w:t>
            </w:r>
          </w:p>
        </w:tc>
        <w:tc>
          <w:tcPr>
            <w:tcW w:type="dxa" w:w="2520"/>
            <w:vAlign w:val="top"/>
          </w:tcPr>
          <w:p>
            <w:pPr>
              <w:spacing w:after="0"/>
            </w:pPr>
            <w:r/>
            <w:r>
              <w:rPr>
                <w:rFonts w:ascii="Aptos" w:hAnsi="Aptos"/>
                <w:b w:val="0"/>
                <w:sz w:val="16"/>
              </w:rPr>
              <w:t>Separate the fact from the interpretation: Fact: The client missed several appointments. Assumption: The client does not value treatment. Before acting on the assumption, investigate possible barriers.</w:t>
            </w:r>
          </w:p>
        </w:tc>
      </w:tr>
      <w:tr>
        <w:tc>
          <w:tcPr>
            <w:tcW w:type="dxa" w:w="2376"/>
            <w:vAlign w:val="top"/>
            <w:shd w:fill="F7F9FA"/>
          </w:tcPr>
          <w:p>
            <w:pPr>
              <w:spacing w:after="0"/>
            </w:pPr>
            <w:r/>
            <w:r>
              <w:rPr>
                <w:rFonts w:ascii="Aptos" w:hAnsi="Aptos"/>
                <w:b/>
                <w:sz w:val="16"/>
              </w:rPr>
              <w:t>Explicit and Implicit Bias</w:t>
            </w:r>
          </w:p>
        </w:tc>
        <w:tc>
          <w:tcPr>
            <w:tcW w:type="dxa" w:w="5256"/>
            <w:vAlign w:val="top"/>
            <w:shd w:fill="F7F9FA"/>
          </w:tcPr>
          <w:p>
            <w:pPr>
              <w:spacing w:after="0"/>
            </w:pPr>
            <w:r/>
            <w:r>
              <w:rPr>
                <w:rFonts w:ascii="Aptos" w:hAnsi="Aptos"/>
                <w:b w:val="0"/>
                <w:sz w:val="16"/>
              </w:rPr>
              <w:t>Explicit bias refers to a belief or attitude the clinician consciously recognizes. Implicit bias involves automatic associations or reactions that may operate without immediate awareness. Both forms of bias can influence assessment, diagnosis, credibility judgments, risk evaluation, documentation, and treatment. The clinician remains responsible for examining their impact and using safeguards to prevent unfair or harmful professional decisions.</w:t>
            </w:r>
          </w:p>
        </w:tc>
        <w:tc>
          <w:tcPr>
            <w:tcW w:type="dxa" w:w="2520"/>
            <w:vAlign w:val="top"/>
            <w:shd w:fill="F7F9FA"/>
          </w:tcPr>
          <w:p>
            <w:pPr>
              <w:spacing w:after="0"/>
            </w:pPr>
            <w:r/>
            <w:r>
              <w:rPr>
                <w:rFonts w:ascii="Aptos" w:hAnsi="Aptos"/>
                <w:b w:val="0"/>
                <w:sz w:val="16"/>
              </w:rPr>
              <w:t>Do not equate: Unconscious = harmless The exam usually focuses on whether the bias affected a professional decision and whether the clinician responded responsibly.</w:t>
            </w:r>
          </w:p>
        </w:tc>
      </w:tr>
      <w:tr>
        <w:tc>
          <w:tcPr>
            <w:tcW w:type="dxa" w:w="2376"/>
            <w:vAlign w:val="top"/>
          </w:tcPr>
          <w:p>
            <w:pPr>
              <w:spacing w:after="0"/>
            </w:pPr>
            <w:r/>
            <w:r>
              <w:rPr>
                <w:rFonts w:ascii="Aptos" w:hAnsi="Aptos"/>
                <w:b/>
                <w:sz w:val="16"/>
              </w:rPr>
              <w:t>Fact vs. Interpretation</w:t>
            </w:r>
          </w:p>
        </w:tc>
        <w:tc>
          <w:tcPr>
            <w:tcW w:type="dxa" w:w="5256"/>
            <w:vAlign w:val="top"/>
          </w:tcPr>
          <w:p>
            <w:pPr>
              <w:spacing w:after="0"/>
            </w:pPr>
            <w:r/>
            <w:r>
              <w:rPr>
                <w:rFonts w:ascii="Aptos" w:hAnsi="Aptos"/>
                <w:b w:val="0"/>
                <w:sz w:val="16"/>
              </w:rPr>
              <w:t>The observable facts are that the client spoke loudly and used intense gestures. “Aggressive” and “dangerous” are interpretations that require supporting evidence and an appropriate assessment. The therapist should distinguish observations from conclusions, evaluate actual threats, intent, behavior, context, and other relevant risk factors, and revise inaccurate documentation when necessary.</w:t>
            </w:r>
          </w:p>
        </w:tc>
        <w:tc>
          <w:tcPr>
            <w:tcW w:type="dxa" w:w="2520"/>
            <w:vAlign w:val="top"/>
          </w:tcPr>
          <w:p>
            <w:pPr>
              <w:spacing w:after="0"/>
            </w:pPr>
            <w:r/>
            <w:r>
              <w:rPr>
                <w:rFonts w:ascii="Aptos" w:hAnsi="Aptos"/>
                <w:b w:val="0"/>
                <w:sz w:val="16"/>
              </w:rPr>
              <w:t>Ask: What was directly observed? What was inferred? What assessment supports the conclusion?</w:t>
            </w:r>
          </w:p>
        </w:tc>
      </w:tr>
      <w:tr>
        <w:tc>
          <w:tcPr>
            <w:tcW w:type="dxa" w:w="2376"/>
            <w:vAlign w:val="top"/>
            <w:shd w:fill="F7F9FA"/>
          </w:tcPr>
          <w:p>
            <w:pPr>
              <w:spacing w:after="0"/>
            </w:pPr>
            <w:r/>
            <w:r>
              <w:rPr>
                <w:rFonts w:ascii="Aptos" w:hAnsi="Aptos"/>
                <w:b/>
                <w:sz w:val="16"/>
              </w:rPr>
              <w:t>Consultation and Objectivity</w:t>
            </w:r>
          </w:p>
        </w:tc>
        <w:tc>
          <w:tcPr>
            <w:tcW w:type="dxa" w:w="5256"/>
            <w:vAlign w:val="top"/>
            <w:shd w:fill="F7F9FA"/>
          </w:tcPr>
          <w:p>
            <w:pPr>
              <w:spacing w:after="0"/>
            </w:pPr>
            <w:r/>
            <w:r>
              <w:rPr>
                <w:rFonts w:ascii="Aptos" w:hAnsi="Aptos"/>
                <w:b w:val="0"/>
                <w:sz w:val="16"/>
              </w:rPr>
              <w:t>Consultation should help identify blind spots, challenge assumptions, examine contradictory evidence, and consider alternative explanations. Presenting only confirming information turns consultation into validation rather than objective review. The therapist should describe the facts as accurately and completely as possible, including evidence that supports and challenges the original conclusion.</w:t>
            </w:r>
          </w:p>
        </w:tc>
        <w:tc>
          <w:tcPr>
            <w:tcW w:type="dxa" w:w="2520"/>
            <w:vAlign w:val="top"/>
            <w:shd w:fill="F7F9FA"/>
          </w:tcPr>
          <w:p>
            <w:pPr>
              <w:spacing w:after="0"/>
            </w:pPr>
            <w:r/>
            <w:r>
              <w:rPr>
                <w:rFonts w:ascii="Aptos" w:hAnsi="Aptos"/>
                <w:b w:val="0"/>
                <w:sz w:val="16"/>
              </w:rPr>
              <w:t>Good consultation asks: “What might I be missing?” Confirmation-seeking consultation asks: “Please tell me I am right.”</w:t>
            </w:r>
          </w:p>
        </w:tc>
      </w:tr>
      <w:tr>
        <w:tc>
          <w:tcPr>
            <w:tcW w:type="dxa" w:w="2376"/>
            <w:vAlign w:val="top"/>
          </w:tcPr>
          <w:p>
            <w:pPr>
              <w:spacing w:after="0"/>
            </w:pPr>
            <w:r/>
            <w:r>
              <w:rPr>
                <w:rFonts w:ascii="Aptos" w:hAnsi="Aptos"/>
                <w:b/>
                <w:sz w:val="16"/>
              </w:rPr>
              <w:t>Imposing Personal Values</w:t>
            </w:r>
          </w:p>
        </w:tc>
        <w:tc>
          <w:tcPr>
            <w:tcW w:type="dxa" w:w="5256"/>
            <w:vAlign w:val="top"/>
          </w:tcPr>
          <w:p>
            <w:pPr>
              <w:spacing w:after="0"/>
            </w:pPr>
            <w:r/>
            <w:r>
              <w:rPr>
                <w:rFonts w:ascii="Aptos" w:hAnsi="Aptos"/>
                <w:b w:val="0"/>
                <w:sz w:val="16"/>
              </w:rPr>
              <w:t>Therapists may hold personal values, but those values should not replace the client’s lawful goals or direct treatment toward the therapist’s moral approval. The therapist should focus on the client’s stated concern, explore the client’s own values and choices, and manage any personal reaction through self-reflection, supervision, or consultation.</w:t>
            </w:r>
          </w:p>
        </w:tc>
        <w:tc>
          <w:tcPr>
            <w:tcW w:type="dxa" w:w="2520"/>
            <w:vAlign w:val="top"/>
          </w:tcPr>
          <w:p>
            <w:pPr>
              <w:spacing w:after="0"/>
            </w:pPr>
            <w:r/>
            <w:r>
              <w:rPr>
                <w:rFonts w:ascii="Aptos" w:hAnsi="Aptos"/>
                <w:b w:val="0"/>
                <w:sz w:val="16"/>
              </w:rPr>
              <w:t>Look for the difference between: Exploring the client’s values, and Steering the client toward the therapist’s values</w:t>
            </w:r>
          </w:p>
        </w:tc>
      </w:tr>
      <w:tr>
        <w:tc>
          <w:tcPr>
            <w:tcW w:type="dxa" w:w="2376"/>
            <w:vAlign w:val="top"/>
            <w:shd w:fill="F7F9FA"/>
          </w:tcPr>
          <w:p>
            <w:pPr>
              <w:spacing w:after="0"/>
            </w:pPr>
            <w:r/>
            <w:r>
              <w:rPr>
                <w:rFonts w:ascii="Aptos" w:hAnsi="Aptos"/>
                <w:b/>
                <w:sz w:val="16"/>
              </w:rPr>
              <w:t>Repairing Bias-Affected Treatment</w:t>
            </w:r>
          </w:p>
        </w:tc>
        <w:tc>
          <w:tcPr>
            <w:tcW w:type="dxa" w:w="5256"/>
            <w:vAlign w:val="top"/>
            <w:shd w:fill="F7F9FA"/>
          </w:tcPr>
          <w:p>
            <w:pPr>
              <w:spacing w:after="0"/>
            </w:pPr>
            <w:r/>
            <w:r>
              <w:rPr>
                <w:rFonts w:ascii="Aptos" w:hAnsi="Aptos"/>
                <w:b w:val="0"/>
                <w:sz w:val="16"/>
              </w:rPr>
              <w:t>When bias or an assumption has affected care, the therapist should correct both the reasoning process and its consequences. This may involve reassessment, revision of the diagnosis or treatment plan, correction of inaccurate records, acknowledgment of the mistake, repair of the therapeutic relationship, and consultation or education. The therapist should also monitor for recurrence and determine whether fair and competent treatment can continue.</w:t>
            </w:r>
          </w:p>
        </w:tc>
        <w:tc>
          <w:tcPr>
            <w:tcW w:type="dxa" w:w="2520"/>
            <w:vAlign w:val="top"/>
            <w:shd w:fill="F7F9FA"/>
          </w:tcPr>
          <w:p>
            <w:pPr>
              <w:spacing w:after="0"/>
            </w:pPr>
            <w:r/>
            <w:r>
              <w:rPr>
                <w:rFonts w:ascii="Aptos" w:hAnsi="Aptos"/>
                <w:b w:val="0"/>
                <w:sz w:val="16"/>
              </w:rPr>
              <w:t>Use: Recognize → Assess impact → Correct → Repair → Learn → Monitor</w:t>
            </w:r>
          </w:p>
        </w:tc>
      </w:tr>
      <w:tr>
        <w:tc>
          <w:tcPr>
            <w:tcW w:type="dxa" w:w="2376"/>
            <w:vAlign w:val="top"/>
          </w:tcPr>
          <w:p>
            <w:pPr>
              <w:spacing w:after="0"/>
            </w:pPr>
            <w:r/>
            <w:r>
              <w:rPr>
                <w:rFonts w:ascii="Aptos" w:hAnsi="Aptos"/>
                <w:b/>
                <w:sz w:val="16"/>
              </w:rPr>
              <w:t>Confirmation Bias in Clinical Decision-Making</w:t>
            </w:r>
          </w:p>
        </w:tc>
        <w:tc>
          <w:tcPr>
            <w:tcW w:type="dxa" w:w="5256"/>
            <w:vAlign w:val="top"/>
          </w:tcPr>
          <w:p>
            <w:pPr>
              <w:spacing w:after="0"/>
            </w:pPr>
            <w:r/>
            <w:r>
              <w:rPr>
                <w:rFonts w:ascii="Aptos" w:hAnsi="Aptos"/>
                <w:b w:val="0"/>
                <w:sz w:val="16"/>
              </w:rPr>
              <w:t>The therapist appears to be selectively emphasizing facts that support the original label while discounting meaningful contradictory evidence. This is characteristic of confirmation bias. The therapist should separate observable facts from interpretation, examine the complete pattern, ask about barriers, and revise documentation and treatment decisions when the evidence does not support the original conclusion.</w:t>
            </w:r>
          </w:p>
        </w:tc>
        <w:tc>
          <w:tcPr>
            <w:tcW w:type="dxa" w:w="2520"/>
            <w:vAlign w:val="top"/>
          </w:tcPr>
          <w:p>
            <w:pPr>
              <w:spacing w:after="0"/>
            </w:pPr>
            <w:r/>
            <w:r>
              <w:rPr>
                <w:rFonts w:ascii="Aptos" w:hAnsi="Aptos"/>
                <w:b w:val="0"/>
                <w:sz w:val="16"/>
              </w:rPr>
              <w:t>Confirmation bias follows a common sequence: Early label → selective attention → contradictory evidence ignored → label feels increasingly certain Break the sequence by deliberately looking for evidence that challenges the initial belief.</w:t>
            </w:r>
          </w:p>
        </w:tc>
      </w:tr>
      <w:tr>
        <w:tc>
          <w:tcPr>
            <w:tcW w:type="dxa" w:w="2376"/>
            <w:vAlign w:val="top"/>
            <w:shd w:fill="F7F9FA"/>
          </w:tcPr>
          <w:p>
            <w:pPr>
              <w:spacing w:after="0"/>
            </w:pPr>
            <w:r/>
            <w:r>
              <w:rPr>
                <w:rFonts w:ascii="Aptos" w:hAnsi="Aptos"/>
                <w:b/>
                <w:sz w:val="16"/>
              </w:rPr>
              <w:t>Information Gathering vs. Immediate Safety</w:t>
            </w:r>
          </w:p>
        </w:tc>
        <w:tc>
          <w:tcPr>
            <w:tcW w:type="dxa" w:w="5256"/>
            <w:vAlign w:val="top"/>
            <w:shd w:fill="F7F9FA"/>
          </w:tcPr>
          <w:p>
            <w:pPr>
              <w:spacing w:after="0"/>
            </w:pPr>
            <w:r/>
            <w:r>
              <w:rPr>
                <w:rFonts w:ascii="Aptos" w:hAnsi="Aptos"/>
                <w:b w:val="0"/>
                <w:sz w:val="16"/>
              </w:rPr>
              <w:t>Clinicians should ordinarily gather information and avoid unsupported conclusions. However, the workbook emphasizes that more information is not always required before acting when an immediate safety concern is present. The therapist should assess and address the credible, imminent risk promptly. Cultural context remains important, but it should not be used to delay necessary protective action when the available facts indicate serious danger.</w:t>
            </w:r>
          </w:p>
        </w:tc>
        <w:tc>
          <w:tcPr>
            <w:tcW w:type="dxa" w:w="2520"/>
            <w:vAlign w:val="top"/>
            <w:shd w:fill="F7F9FA"/>
          </w:tcPr>
          <w:p>
            <w:pPr>
              <w:spacing w:after="0"/>
            </w:pPr>
            <w:r/>
            <w:r>
              <w:rPr>
                <w:rFonts w:ascii="Aptos" w:hAnsi="Aptos"/>
                <w:b w:val="0"/>
                <w:sz w:val="16"/>
              </w:rPr>
              <w:t>Use this priority rule: Immediate danger → Protect firstNo immediate danger → Gather information before concluding</w:t>
            </w:r>
          </w:p>
        </w:tc>
      </w:tr>
      <w:tr>
        <w:tc>
          <w:tcPr>
            <w:tcW w:type="dxa" w:w="2376"/>
            <w:vAlign w:val="top"/>
          </w:tcPr>
          <w:p>
            <w:pPr>
              <w:spacing w:after="0"/>
            </w:pPr>
            <w:r/>
            <w:r>
              <w:rPr>
                <w:rFonts w:ascii="Aptos" w:hAnsi="Aptos"/>
                <w:b/>
                <w:sz w:val="16"/>
              </w:rPr>
              <w:t>Assumptions</w:t>
            </w:r>
          </w:p>
        </w:tc>
        <w:tc>
          <w:tcPr>
            <w:tcW w:type="dxa" w:w="5256"/>
            <w:vAlign w:val="top"/>
          </w:tcPr>
          <w:p>
            <w:pPr>
              <w:spacing w:after="0"/>
            </w:pPr>
            <w:r/>
            <w:r>
              <w:rPr>
                <w:rFonts w:ascii="Aptos" w:hAnsi="Aptos"/>
                <w:b w:val="0"/>
                <w:sz w:val="16"/>
              </w:rPr>
              <w:t>An assumption is a conclusion reached before enough information has been gathered. Assumptions may feel reasonable, especially when they are based on prior experience, but they still require investigation. For example, concluding that a quiet client is resistant or that a client who misses appointments lacks motivation goes beyond the observable facts.</w:t>
            </w:r>
          </w:p>
        </w:tc>
        <w:tc>
          <w:tcPr>
            <w:tcW w:type="dxa" w:w="2520"/>
            <w:vAlign w:val="top"/>
          </w:tcPr>
          <w:p>
            <w:pPr>
              <w:spacing w:after="0"/>
            </w:pPr>
            <w:r/>
            <w:r>
              <w:rPr>
                <w:rFonts w:ascii="Aptos" w:hAnsi="Aptos"/>
                <w:b w:val="0"/>
                <w:sz w:val="16"/>
              </w:rPr>
              <w:t>Treat an assumption as: A question to investigate—not a fact to act upon.</w:t>
            </w:r>
          </w:p>
        </w:tc>
      </w:tr>
      <w:tr>
        <w:tc>
          <w:tcPr>
            <w:tcW w:type="dxa" w:w="2376"/>
            <w:vAlign w:val="top"/>
            <w:shd w:fill="F7F9FA"/>
          </w:tcPr>
          <w:p>
            <w:pPr>
              <w:spacing w:after="0"/>
            </w:pPr>
            <w:r/>
            <w:r>
              <w:rPr>
                <w:rFonts w:ascii="Aptos" w:hAnsi="Aptos"/>
                <w:b/>
                <w:sz w:val="16"/>
              </w:rPr>
              <w:t>Stereotyping</w:t>
            </w:r>
          </w:p>
        </w:tc>
        <w:tc>
          <w:tcPr>
            <w:tcW w:type="dxa" w:w="5256"/>
            <w:vAlign w:val="top"/>
            <w:shd w:fill="F7F9FA"/>
          </w:tcPr>
          <w:p>
            <w:pPr>
              <w:spacing w:after="0"/>
            </w:pPr>
            <w:r/>
            <w:r>
              <w:rPr>
                <w:rFonts w:ascii="Aptos" w:hAnsi="Aptos"/>
                <w:b w:val="0"/>
                <w:sz w:val="16"/>
              </w:rPr>
              <w:t>Stereotyping occurs when a clinician assumes that an individual client possesses particular beliefs, characteristics, abilities, or needs because of group membership. This may cause the clinician to overlook individual differences, ignore contradictory information, misinterpret behavior, or provide unequal treatment.</w:t>
            </w:r>
          </w:p>
        </w:tc>
        <w:tc>
          <w:tcPr>
            <w:tcW w:type="dxa" w:w="2520"/>
            <w:vAlign w:val="top"/>
            <w:shd w:fill="F7F9FA"/>
          </w:tcPr>
          <w:p>
            <w:pPr>
              <w:spacing w:after="0"/>
            </w:pPr>
            <w:r/>
            <w:r>
              <w:rPr>
                <w:rFonts w:ascii="Aptos" w:hAnsi="Aptos"/>
                <w:b w:val="0"/>
                <w:sz w:val="16"/>
              </w:rPr>
              <w:t>Use group knowledge to guide questions, never to determine the answer about an individual client.</w:t>
            </w:r>
          </w:p>
        </w:tc>
      </w:tr>
      <w:tr>
        <w:tc>
          <w:tcPr>
            <w:tcW w:type="dxa" w:w="2376"/>
            <w:vAlign w:val="top"/>
          </w:tcPr>
          <w:p>
            <w:pPr>
              <w:spacing w:after="0"/>
            </w:pPr>
            <w:r/>
            <w:r>
              <w:rPr>
                <w:rFonts w:ascii="Aptos" w:hAnsi="Aptos"/>
                <w:b/>
                <w:sz w:val="16"/>
              </w:rPr>
              <w:t>Bias and California Professional Discipline</w:t>
            </w:r>
          </w:p>
        </w:tc>
        <w:tc>
          <w:tcPr>
            <w:tcW w:type="dxa" w:w="5256"/>
            <w:vAlign w:val="top"/>
          </w:tcPr>
          <w:p>
            <w:pPr>
              <w:spacing w:after="0"/>
            </w:pPr>
            <w:r/>
            <w:r>
              <w:rPr>
                <w:rFonts w:ascii="Aptos" w:hAnsi="Aptos"/>
                <w:b w:val="0"/>
                <w:sz w:val="16"/>
              </w:rPr>
              <w:t>California does not classify every internal reaction, mistaken assumption, or unrecognized bias as a separate LPCC statutory violation. The legal and professional concern centers on the resulting conduct. Bias may become disciplinary when it contributes to grossly inadequate assessment, incompetent treatment, intentionally deceptive records, unequal access, or intentional or reckless harm to the client.</w:t>
            </w:r>
          </w:p>
        </w:tc>
        <w:tc>
          <w:tcPr>
            <w:tcW w:type="dxa" w:w="2520"/>
            <w:vAlign w:val="top"/>
          </w:tcPr>
          <w:p>
            <w:pPr>
              <w:spacing w:after="0"/>
            </w:pPr>
            <w:r/>
            <w:r>
              <w:rPr>
                <w:rFonts w:ascii="Aptos" w:hAnsi="Aptos"/>
                <w:b w:val="0"/>
                <w:sz w:val="16"/>
              </w:rPr>
              <w:t>Separate: Internal reaction: Recognize and manage. Professional conduct: Evaluate evidence, fairness, competence, and client impact.</w:t>
            </w:r>
          </w:p>
        </w:tc>
      </w:tr>
      <w:tr>
        <w:tc>
          <w:tcPr>
            <w:tcW w:type="dxa" w:w="2376"/>
            <w:vAlign w:val="top"/>
            <w:shd w:fill="F7F9FA"/>
          </w:tcPr>
          <w:p>
            <w:pPr>
              <w:spacing w:after="0"/>
            </w:pPr>
            <w:r/>
            <w:r>
              <w:rPr>
                <w:rFonts w:ascii="Aptos" w:hAnsi="Aptos"/>
                <w:b/>
                <w:sz w:val="16"/>
              </w:rPr>
              <w:t>Referral Based on Discomfort</w:t>
            </w:r>
          </w:p>
        </w:tc>
        <w:tc>
          <w:tcPr>
            <w:tcW w:type="dxa" w:w="5256"/>
            <w:vAlign w:val="top"/>
            <w:shd w:fill="F7F9FA"/>
          </w:tcPr>
          <w:p>
            <w:pPr>
              <w:spacing w:after="0"/>
            </w:pPr>
            <w:r/>
            <w:r>
              <w:rPr>
                <w:rFonts w:ascii="Aptos" w:hAnsi="Aptos"/>
                <w:b w:val="0"/>
                <w:sz w:val="16"/>
              </w:rPr>
              <w:t>Personal discomfort does not automatically establish lack of competence or justify transferring the client. The therapist should examine whether personal beliefs are affecting objectivity, behavior, treatment goals, or the quality of care. Consultation or supervision may help the therapist identify bias and maintain fair professional treatment. Referral becomes appropriate when the therapist cannot provide competent, nonjudgmental care despite reasonable corrective efforts.</w:t>
            </w:r>
          </w:p>
        </w:tc>
        <w:tc>
          <w:tcPr>
            <w:tcW w:type="dxa" w:w="2520"/>
            <w:vAlign w:val="top"/>
            <w:shd w:fill="F7F9FA"/>
          </w:tcPr>
          <w:p>
            <w:pPr>
              <w:spacing w:after="0"/>
            </w:pPr>
            <w:r/>
            <w:r>
              <w:rPr>
                <w:rFonts w:ascii="Aptos" w:hAnsi="Aptos"/>
                <w:b w:val="0"/>
                <w:sz w:val="16"/>
              </w:rPr>
              <w:t>Ask why referral is being considered: Client welfare and competence—or clinician discomfort and avoidance?</w:t>
            </w:r>
          </w:p>
        </w:tc>
      </w:tr>
      <w:tr>
        <w:tc>
          <w:tcPr>
            <w:tcW w:type="dxa" w:w="2376"/>
            <w:vAlign w:val="top"/>
          </w:tcPr>
          <w:p>
            <w:pPr>
              <w:spacing w:after="0"/>
            </w:pPr>
            <w:r/>
            <w:r>
              <w:rPr>
                <w:rFonts w:ascii="Aptos" w:hAnsi="Aptos"/>
                <w:b/>
                <w:sz w:val="16"/>
              </w:rPr>
              <w:t>Bias in Credibility Assessment</w:t>
            </w:r>
          </w:p>
        </w:tc>
        <w:tc>
          <w:tcPr>
            <w:tcW w:type="dxa" w:w="5256"/>
            <w:vAlign w:val="top"/>
          </w:tcPr>
          <w:p>
            <w:pPr>
              <w:spacing w:after="0"/>
            </w:pPr>
            <w:r/>
            <w:r>
              <w:rPr>
                <w:rFonts w:ascii="Aptos" w:hAnsi="Aptos"/>
                <w:b w:val="0"/>
                <w:sz w:val="16"/>
              </w:rPr>
              <w:t>The therapist has reached a credibility judgment without sufficient information. The appropriate response is neither automatic belief nor automatic disbelief. The therapist should ask respectful questions, assess the experiences and their emotional or functional impact, distinguish known facts from interpretations, and consider whether personal bias is influencing the client’s credibility assessment.</w:t>
            </w:r>
          </w:p>
        </w:tc>
        <w:tc>
          <w:tcPr>
            <w:tcW w:type="dxa" w:w="2520"/>
            <w:vAlign w:val="top"/>
          </w:tcPr>
          <w:p>
            <w:pPr>
              <w:spacing w:after="0"/>
            </w:pPr>
            <w:r/>
            <w:r>
              <w:rPr>
                <w:rFonts w:ascii="Aptos" w:hAnsi="Aptos"/>
                <w:b w:val="0"/>
                <w:sz w:val="16"/>
              </w:rPr>
              <w:t>Avoid two extremes: Automatically dismissing the report Treating every interpretation as proven fact The stronger response is respectful, evidence-based exploration.</w:t>
            </w:r>
          </w:p>
        </w:tc>
      </w:tr>
      <w:tr>
        <w:tc>
          <w:tcPr>
            <w:tcW w:type="dxa" w:w="2376"/>
            <w:vAlign w:val="top"/>
            <w:shd w:fill="F7F9FA"/>
          </w:tcPr>
          <w:p>
            <w:pPr>
              <w:spacing w:after="0"/>
            </w:pPr>
            <w:r/>
            <w:r>
              <w:rPr>
                <w:rFonts w:ascii="Aptos" w:hAnsi="Aptos"/>
                <w:b/>
                <w:sz w:val="16"/>
              </w:rPr>
              <w:t>Biased and Deceptive Documentation</w:t>
            </w:r>
          </w:p>
        </w:tc>
        <w:tc>
          <w:tcPr>
            <w:tcW w:type="dxa" w:w="5256"/>
            <w:vAlign w:val="top"/>
            <w:shd w:fill="F7F9FA"/>
          </w:tcPr>
          <w:p>
            <w:pPr>
              <w:spacing w:after="0"/>
            </w:pPr>
            <w:r/>
            <w:r>
              <w:rPr>
                <w:rFonts w:ascii="Aptos" w:hAnsi="Aptos"/>
                <w:b w:val="0"/>
                <w:sz w:val="16"/>
              </w:rPr>
              <w:t>The original unsupported conclusion may have begun as a judgment error. Once the therapist receives contradictory evidence and knowingly preserves inaccurate statements to protect personal credibility, the concern becomes more serious. False or misleading documentation can affect future treatment, risk decisions, access to services, legal matters, and how other professionals understand the client. The therapist should correct the record through appropriate procedures and accurately document the reassessment.</w:t>
            </w:r>
          </w:p>
        </w:tc>
        <w:tc>
          <w:tcPr>
            <w:tcW w:type="dxa" w:w="2520"/>
            <w:vAlign w:val="top"/>
            <w:shd w:fill="F7F9FA"/>
          </w:tcPr>
          <w:p>
            <w:pPr>
              <w:spacing w:after="0"/>
            </w:pPr>
            <w:r/>
            <w:r>
              <w:rPr>
                <w:rFonts w:ascii="Aptos" w:hAnsi="Aptos"/>
                <w:b w:val="0"/>
                <w:sz w:val="16"/>
              </w:rPr>
              <w:t>Recognize the escalation: Mistaken impression → contradictory evidence → knowing refusal to correct The final step may transform a correctable error into dishonest professional conduct.</w:t>
            </w:r>
          </w:p>
        </w:tc>
      </w:tr>
      <w:tr>
        <w:tc>
          <w:tcPr>
            <w:tcW w:type="dxa" w:w="2376"/>
            <w:vAlign w:val="top"/>
          </w:tcPr>
          <w:p>
            <w:pPr>
              <w:spacing w:after="0"/>
            </w:pPr>
            <w:r/>
            <w:r>
              <w:rPr>
                <w:rFonts w:ascii="Aptos" w:hAnsi="Aptos"/>
                <w:b/>
                <w:sz w:val="16"/>
              </w:rPr>
              <w:t>Bias-Informed Ethical Decision-Making</w:t>
            </w:r>
          </w:p>
        </w:tc>
        <w:tc>
          <w:tcPr>
            <w:tcW w:type="dxa" w:w="5256"/>
            <w:vAlign w:val="top"/>
          </w:tcPr>
          <w:p>
            <w:pPr>
              <w:spacing w:after="0"/>
            </w:pPr>
            <w:r/>
            <w:r>
              <w:rPr>
                <w:rFonts w:ascii="Aptos" w:hAnsi="Aptos"/>
                <w:b w:val="0"/>
                <w:sz w:val="16"/>
              </w:rPr>
              <w:t>The scenario reflects a pattern of premature judgment and confirmation bias. The therapist formed an early label, selectively noticed confirming information, ignored contradictory facts and access barriers, and allowed the assumption to influence documentation and continued access to treatment. The corrective response should address the entire process: Identify the original conclusion Separate observations from interpretations Explore practical barriers Review evidence supporting and challenging the conclusion Seek consultation that increases objectivity Correct inaccurate records Reevaluate treatment and discharge decisions Repair any harm to the therapeutic relationship Monitor for recurrence</w:t>
            </w:r>
          </w:p>
        </w:tc>
        <w:tc>
          <w:tcPr>
            <w:tcW w:type="dxa" w:w="2520"/>
            <w:vAlign w:val="top"/>
          </w:tcPr>
          <w:p>
            <w:pPr>
              <w:spacing w:after="0"/>
            </w:pPr>
            <w:r/>
            <w:r>
              <w:rPr>
                <w:rFonts w:ascii="Aptos" w:hAnsi="Aptos"/>
                <w:b w:val="0"/>
                <w:sz w:val="16"/>
              </w:rPr>
              <w:t>Use the chapter’s corrective sequence: Conclusion → Facts vs. interpretation → Evidence → Client perspective → Alternatives → Impact → Correction</w:t>
            </w:r>
          </w:p>
        </w:tc>
      </w:tr>
    </w:tbl>
    <w:p>
      <w:pPr>
        <w:pStyle w:val="Heading2"/>
      </w:pPr>
      <w:r>
        <w:t>Exam Reasoning Checklist</w:t>
      </w:r>
    </w:p>
    <w:p>
      <w:pPr>
        <w:pStyle w:val="ListBullet"/>
        <w:spacing w:after="30"/>
      </w:pPr>
      <w:r>
        <w:t>Remember: A thought requires awareness. A professional decision requires evidence.</w:t>
      </w:r>
    </w:p>
    <w:p>
      <w:pPr>
        <w:pStyle w:val="ListBullet"/>
        <w:spacing w:after="30"/>
      </w:pPr>
      <w:r>
        <w:t>When an early label appears, ask: What supports it? What contradicts it? What information has been ignored? What alternative explanations fit?</w:t>
      </w:r>
    </w:p>
    <w:p>
      <w:pPr>
        <w:pStyle w:val="ListBullet"/>
        <w:spacing w:after="30"/>
      </w:pPr>
      <w:r>
        <w:t>Separate the fact from the interpretation: Fact: The client missed several appointments. Assumption: The client does not value treatment. Before acting on the assumption, investigate possible barriers.</w:t>
      </w:r>
    </w:p>
    <w:p>
      <w:pPr>
        <w:pStyle w:val="ListBullet"/>
        <w:spacing w:after="30"/>
      </w:pPr>
      <w:r>
        <w:t>Do not equate: Unconscious = harmless The exam usually focuses on whether the bias affected a professional decision and whether the clinician responded responsibly.</w:t>
      </w:r>
    </w:p>
    <w:p>
      <w:pPr>
        <w:pStyle w:val="ListBullet"/>
        <w:spacing w:after="30"/>
      </w:pPr>
      <w:r>
        <w:t>Ask: What was directly observed? What was inferred? What assessment supports the conclusion?</w:t>
      </w:r>
    </w:p>
    <w:p>
      <w:pPr>
        <w:pStyle w:val="ListBullet"/>
        <w:spacing w:after="30"/>
      </w:pPr>
      <w:r>
        <w:t>Good consultation asks: “What might I be missing?” Confirmation-seeking consultation asks: “Please tell me I am right.”</w:t>
      </w:r>
    </w:p>
    <w:p>
      <w:pPr>
        <w:pStyle w:val="ListBullet"/>
        <w:spacing w:after="30"/>
      </w:pPr>
      <w:r>
        <w:t>Look for the difference between: Exploring the client’s values, and Steering the client toward the therapist’s values</w:t>
      </w:r>
    </w:p>
    <w:p>
      <w:pPr>
        <w:pStyle w:val="ListBullet"/>
        <w:spacing w:after="30"/>
      </w:pPr>
      <w:r>
        <w:t>Use: Recognize → Assess impact → Correct → Repair → Learn → Monitor</w:t>
      </w:r>
    </w:p>
    <w:p>
      <w:pPr>
        <w:pStyle w:val="Heading2"/>
      </w:pPr>
      <w:r>
        <w:t>Chapter Rapid Review</w:t>
      </w:r>
    </w:p>
    <w:p>
      <w:r>
        <w:rPr>
          <w:b/>
        </w:rPr>
        <w:t xml:space="preserve">Know these concepts: </w:t>
      </w:r>
      <w:r>
        <w:t>Bias and Professional Conduct; Confirmation Bias; Unsupported Assumptions and Access Barriers; Explicit and Implicit Bias; Fact vs. Interpretation; Consultation and Objectivity; Imposing Personal Values; Repairing Bias-Affected Treatment; Confirmation Bias in Clinical Decision-Making; Information Gathering vs. Immediate Safety; Assumptions; Stereotyping; Bias and California Professional Discipline; Referral Based on Discomfort; Bias in Credibility Assessment; Biased and Deceptive Documentation; Bias-Informed Ethical Decision-Making</w:t>
      </w:r>
    </w:p>
    <w:p>
      <w:r>
        <w:br w:type="page"/>
      </w:r>
    </w:p>
    <w:p>
      <w:pPr>
        <w:pStyle w:val="Heading2"/>
      </w:pPr>
      <w:r>
        <w:t>Chapter 3</w:t>
      </w:r>
    </w:p>
    <w:p>
      <w:pPr>
        <w:pStyle w:val="Heading1"/>
      </w:pPr>
      <w:r>
        <w:t>Working With Diverse Populations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Individualized care requires the therapist to understand how culture, identity, family, environment, resources, and lived experience affect the particular client receiving services. Group knowledge may provide useful context, but it cannot determine what an individual client believes, values, needs, or wants from treatment. The therapist should ask the client which identities and experiences are relevant rather than deciding for the client. Conversational fluency does not necessarily mean that a client understands complex clinical, financial, or legal information. The therapist must support meaningful participation by using understandable language, avoiding unnecessary jargon, checking comprehension, and arranging qualified language assistance when appropriate. A useful approach is to ask the client to explain the information in their own words rather than relying only on nodding, silence, or a signed form.</w:t>
            </w:r>
          </w:p>
        </w:tc>
      </w:tr>
    </w:tbl>
    <w:p>
      <w:pPr>
        <w:pStyle w:val="Heading2"/>
      </w:pPr>
      <w:r>
        <w:t>What to Learn</w:t>
      </w:r>
    </w:p>
    <w:p>
      <w:pPr>
        <w:pStyle w:val="ListBullet"/>
        <w:spacing w:after="30"/>
      </w:pPr>
      <w:r>
        <w:t>Explain and apply Individualized Care.</w:t>
      </w:r>
    </w:p>
    <w:p>
      <w:pPr>
        <w:pStyle w:val="ListBullet"/>
        <w:spacing w:after="30"/>
      </w:pPr>
      <w:r>
        <w:t>Explain and apply Language and Meaningful Understanding.</w:t>
      </w:r>
    </w:p>
    <w:p>
      <w:pPr>
        <w:pStyle w:val="ListBullet"/>
        <w:spacing w:after="30"/>
      </w:pPr>
      <w:r>
        <w:t>Explain and apply Qualified Language Assistance.</w:t>
      </w:r>
    </w:p>
    <w:p>
      <w:pPr>
        <w:pStyle w:val="ListBullet"/>
        <w:spacing w:after="30"/>
      </w:pPr>
      <w:r>
        <w:t>Explain and apply Disability and Client Autonomy.</w:t>
      </w:r>
    </w:p>
    <w:p>
      <w:pPr>
        <w:pStyle w:val="ListBullet"/>
        <w:spacing w:after="30"/>
      </w:pPr>
      <w:r>
        <w:t>Explain and apply Barriers to Care.</w:t>
      </w:r>
    </w:p>
    <w:p>
      <w:pPr>
        <w:pStyle w:val="ListBullet"/>
        <w:spacing w:after="30"/>
      </w:pPr>
      <w:r>
        <w:t>Explain and apply Intersecting Identities.</w:t>
      </w:r>
    </w:p>
    <w:p>
      <w:pPr>
        <w:pStyle w:val="ListBullet"/>
        <w:spacing w:after="30"/>
      </w:pPr>
      <w:r>
        <w:t>Explain and apply Family Participation and Confidentiality.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Individualized Care</w:t>
            </w:r>
          </w:p>
        </w:tc>
        <w:tc>
          <w:tcPr>
            <w:tcW w:type="dxa" w:w="5256"/>
            <w:vAlign w:val="top"/>
          </w:tcPr>
          <w:p>
            <w:pPr>
              <w:spacing w:after="0"/>
            </w:pPr>
            <w:r/>
            <w:r>
              <w:rPr>
                <w:rFonts w:ascii="Aptos" w:hAnsi="Aptos"/>
                <w:b w:val="0"/>
                <w:sz w:val="16"/>
              </w:rPr>
              <w:t>Individualized care requires the therapist to understand how culture, identity, family, environment, resources, and lived experience affect the particular client receiving services. Group knowledge may provide useful context, but it cannot determine what an individual client believes, values, needs, or wants from treatment. The therapist should ask the client which identities and experiences are relevant rather than deciding for the client.</w:t>
            </w:r>
          </w:p>
        </w:tc>
        <w:tc>
          <w:tcPr>
            <w:tcW w:type="dxa" w:w="2520"/>
            <w:vAlign w:val="top"/>
          </w:tcPr>
          <w:p>
            <w:pPr>
              <w:spacing w:after="0"/>
            </w:pPr>
            <w:r/>
            <w:r>
              <w:rPr>
                <w:rFonts w:ascii="Aptos" w:hAnsi="Aptos"/>
                <w:b w:val="0"/>
                <w:sz w:val="16"/>
              </w:rPr>
              <w:t>Look for the answer that asks: “What does this identity or experience mean to this client?” —not the answer that assumes group membership supplies the explanation.</w:t>
            </w:r>
          </w:p>
        </w:tc>
      </w:tr>
      <w:tr>
        <w:tc>
          <w:tcPr>
            <w:tcW w:type="dxa" w:w="2376"/>
            <w:vAlign w:val="top"/>
            <w:shd w:fill="F7F9FA"/>
          </w:tcPr>
          <w:p>
            <w:pPr>
              <w:spacing w:after="0"/>
            </w:pPr>
            <w:r/>
            <w:r>
              <w:rPr>
                <w:rFonts w:ascii="Aptos" w:hAnsi="Aptos"/>
                <w:b/>
                <w:sz w:val="16"/>
              </w:rPr>
              <w:t>Language and Meaningful Understanding</w:t>
            </w:r>
          </w:p>
        </w:tc>
        <w:tc>
          <w:tcPr>
            <w:tcW w:type="dxa" w:w="5256"/>
            <w:vAlign w:val="top"/>
            <w:shd w:fill="F7F9FA"/>
          </w:tcPr>
          <w:p>
            <w:pPr>
              <w:spacing w:after="0"/>
            </w:pPr>
            <w:r/>
            <w:r>
              <w:rPr>
                <w:rFonts w:ascii="Aptos" w:hAnsi="Aptos"/>
                <w:b w:val="0"/>
                <w:sz w:val="16"/>
              </w:rPr>
              <w:t>Conversational fluency does not necessarily mean that a client understands complex clinical, financial, or legal information. The therapist must support meaningful participation by using understandable language, avoiding unnecessary jargon, checking comprehension, and arranging qualified language assistance when appropriate. A useful approach is to ask the client to explain the information in their own words rather than relying only on nodding, silence, or a signed form.</w:t>
            </w:r>
          </w:p>
        </w:tc>
        <w:tc>
          <w:tcPr>
            <w:tcW w:type="dxa" w:w="2520"/>
            <w:vAlign w:val="top"/>
            <w:shd w:fill="F7F9FA"/>
          </w:tcPr>
          <w:p>
            <w:pPr>
              <w:spacing w:after="0"/>
            </w:pPr>
            <w:r/>
            <w:r>
              <w:rPr>
                <w:rFonts w:ascii="Aptos" w:hAnsi="Aptos"/>
                <w:b w:val="0"/>
                <w:sz w:val="16"/>
              </w:rPr>
              <w:t>Remember: Agreement is not proof of understanding. Look for plain language + comprehension check + qualified assistance when necessary.</w:t>
            </w:r>
          </w:p>
        </w:tc>
      </w:tr>
      <w:tr>
        <w:tc>
          <w:tcPr>
            <w:tcW w:type="dxa" w:w="2376"/>
            <w:vAlign w:val="top"/>
          </w:tcPr>
          <w:p>
            <w:pPr>
              <w:spacing w:after="0"/>
            </w:pPr>
            <w:r/>
            <w:r>
              <w:rPr>
                <w:rFonts w:ascii="Aptos" w:hAnsi="Aptos"/>
                <w:b/>
                <w:sz w:val="16"/>
              </w:rPr>
              <w:t>Qualified Language Assistance</w:t>
            </w:r>
          </w:p>
        </w:tc>
        <w:tc>
          <w:tcPr>
            <w:tcW w:type="dxa" w:w="5256"/>
            <w:vAlign w:val="top"/>
          </w:tcPr>
          <w:p>
            <w:pPr>
              <w:spacing w:after="0"/>
            </w:pPr>
            <w:r/>
            <w:r>
              <w:rPr>
                <w:rFonts w:ascii="Aptos" w:hAnsi="Aptos"/>
                <w:b w:val="0"/>
                <w:sz w:val="16"/>
              </w:rPr>
              <w:t>Using a minor child to interpret sensitive clinical information may expose the child to inappropriate content and create serious concerns involving accuracy, omitted information, confidentiality, family pressure, and reversal of family roles. In an urgent circumstance, available assistance may sometimes be used temporarily when necessary to protect safety. For complex, sensitive, or ongoing treatment, qualified language assistance is generally the safer and more professionally appropriate approach.</w:t>
            </w:r>
          </w:p>
        </w:tc>
        <w:tc>
          <w:tcPr>
            <w:tcW w:type="dxa" w:w="2520"/>
            <w:vAlign w:val="top"/>
          </w:tcPr>
          <w:p>
            <w:pPr>
              <w:spacing w:after="0"/>
            </w:pPr>
            <w:r/>
            <w:r>
              <w:rPr>
                <w:rFonts w:ascii="Aptos" w:hAnsi="Aptos"/>
                <w:b w:val="0"/>
                <w:sz w:val="16"/>
              </w:rPr>
              <w:t>When a family member or child is proposed as an interpreter, evaluate: Accuracy Confidentiality Pressure Omitted or altered information Exposure to sensitive material Role conflict Availability of qualified assistance</w:t>
            </w:r>
          </w:p>
        </w:tc>
      </w:tr>
      <w:tr>
        <w:tc>
          <w:tcPr>
            <w:tcW w:type="dxa" w:w="2376"/>
            <w:vAlign w:val="top"/>
            <w:shd w:fill="F7F9FA"/>
          </w:tcPr>
          <w:p>
            <w:pPr>
              <w:spacing w:after="0"/>
            </w:pPr>
            <w:r/>
            <w:r>
              <w:rPr>
                <w:rFonts w:ascii="Aptos" w:hAnsi="Aptos"/>
                <w:b/>
                <w:sz w:val="16"/>
              </w:rPr>
              <w:t>Disability and Client Autonomy</w:t>
            </w:r>
          </w:p>
        </w:tc>
        <w:tc>
          <w:tcPr>
            <w:tcW w:type="dxa" w:w="5256"/>
            <w:vAlign w:val="top"/>
            <w:shd w:fill="F7F9FA"/>
          </w:tcPr>
          <w:p>
            <w:pPr>
              <w:spacing w:after="0"/>
            </w:pPr>
            <w:r/>
            <w:r>
              <w:rPr>
                <w:rFonts w:ascii="Aptos" w:hAnsi="Aptos"/>
                <w:b w:val="0"/>
                <w:sz w:val="16"/>
              </w:rPr>
              <w:t>A physical disability does not automatically determine a client’s intelligence, decision-making ability, independence, capacity to consent, or treatment goals. The therapist must assess the client’s actual abilities, preferences, access needs, supports, and desired level of independence. Directing treatment toward family dependence without individualized assessment relies on a stereotype and may unnecessarily remove the client’s autonomy.</w:t>
            </w:r>
          </w:p>
        </w:tc>
        <w:tc>
          <w:tcPr>
            <w:tcW w:type="dxa" w:w="2520"/>
            <w:vAlign w:val="top"/>
            <w:shd w:fill="F7F9FA"/>
          </w:tcPr>
          <w:p>
            <w:pPr>
              <w:spacing w:after="0"/>
            </w:pPr>
            <w:r/>
            <w:r>
              <w:rPr>
                <w:rFonts w:ascii="Aptos" w:hAnsi="Aptos"/>
                <w:b w:val="0"/>
                <w:sz w:val="16"/>
              </w:rPr>
              <w:t>Remember: Support access without removing autonomy.</w:t>
            </w:r>
          </w:p>
        </w:tc>
      </w:tr>
      <w:tr>
        <w:tc>
          <w:tcPr>
            <w:tcW w:type="dxa" w:w="2376"/>
            <w:vAlign w:val="top"/>
          </w:tcPr>
          <w:p>
            <w:pPr>
              <w:spacing w:after="0"/>
            </w:pPr>
            <w:r/>
            <w:r>
              <w:rPr>
                <w:rFonts w:ascii="Aptos" w:hAnsi="Aptos"/>
                <w:b/>
                <w:sz w:val="16"/>
              </w:rPr>
              <w:t>Barriers to Care</w:t>
            </w:r>
          </w:p>
        </w:tc>
        <w:tc>
          <w:tcPr>
            <w:tcW w:type="dxa" w:w="5256"/>
            <w:vAlign w:val="top"/>
          </w:tcPr>
          <w:p>
            <w:pPr>
              <w:spacing w:after="0"/>
            </w:pPr>
            <w:r/>
            <w:r>
              <w:rPr>
                <w:rFonts w:ascii="Aptos" w:hAnsi="Aptos"/>
                <w:b w:val="0"/>
                <w:sz w:val="16"/>
              </w:rPr>
              <w:t>The client’s participation may be affected by practical barriers rather than lack of interest or motivation. The therapist should work collaboratively to identify whether scheduling changes, remote participation, adjusted pacing, community resources, or another reasonable access strategy could support treatment. Adaptation should preserve appropriate clinical goals and professional standards rather than simply lowering expectations.</w:t>
            </w:r>
          </w:p>
        </w:tc>
        <w:tc>
          <w:tcPr>
            <w:tcW w:type="dxa" w:w="2520"/>
            <w:vAlign w:val="top"/>
          </w:tcPr>
          <w:p>
            <w:pPr>
              <w:spacing w:after="0"/>
            </w:pPr>
            <w:r/>
            <w:r>
              <w:rPr>
                <w:rFonts w:ascii="Aptos" w:hAnsi="Aptos"/>
                <w:b w:val="0"/>
                <w:sz w:val="16"/>
              </w:rPr>
              <w:t>When participation is inconsistent, consider: Transportation + work + childcare + finances + disability + technology before labeling the client unmotivated.</w:t>
            </w:r>
          </w:p>
        </w:tc>
      </w:tr>
      <w:tr>
        <w:tc>
          <w:tcPr>
            <w:tcW w:type="dxa" w:w="2376"/>
            <w:vAlign w:val="top"/>
            <w:shd w:fill="F7F9FA"/>
          </w:tcPr>
          <w:p>
            <w:pPr>
              <w:spacing w:after="0"/>
            </w:pPr>
            <w:r/>
            <w:r>
              <w:rPr>
                <w:rFonts w:ascii="Aptos" w:hAnsi="Aptos"/>
                <w:b/>
                <w:sz w:val="16"/>
              </w:rPr>
              <w:t>Intersecting Identities</w:t>
            </w:r>
          </w:p>
        </w:tc>
        <w:tc>
          <w:tcPr>
            <w:tcW w:type="dxa" w:w="5256"/>
            <w:vAlign w:val="top"/>
            <w:shd w:fill="F7F9FA"/>
          </w:tcPr>
          <w:p>
            <w:pPr>
              <w:spacing w:after="0"/>
            </w:pPr>
            <w:r/>
            <w:r>
              <w:rPr>
                <w:rFonts w:ascii="Aptos" w:hAnsi="Aptos"/>
                <w:b w:val="0"/>
                <w:sz w:val="16"/>
              </w:rPr>
              <w:t>Clients often hold multiple identities that interact rather than operate independently. The therapist should not decide which identity is most important or assume that all identities influence the client in the same way. The client may experience disability, religion, age, immigration, discrimination, family expectations, and access barriers as interconnected. Individualized assessment should determine what matters to this client and this treatment concern.</w:t>
            </w:r>
          </w:p>
        </w:tc>
        <w:tc>
          <w:tcPr>
            <w:tcW w:type="dxa" w:w="2520"/>
            <w:vAlign w:val="top"/>
            <w:shd w:fill="F7F9FA"/>
          </w:tcPr>
          <w:p>
            <w:pPr>
              <w:spacing w:after="0"/>
            </w:pPr>
            <w:r/>
            <w:r>
              <w:rPr>
                <w:rFonts w:ascii="Aptos" w:hAnsi="Aptos"/>
                <w:b w:val="0"/>
                <w:sz w:val="16"/>
              </w:rPr>
              <w:t>Do not ask: “Which identity explains the client?” Ask: “Which identities and experiences matter here, and how do they interact?”</w:t>
            </w:r>
          </w:p>
        </w:tc>
      </w:tr>
      <w:tr>
        <w:tc>
          <w:tcPr>
            <w:tcW w:type="dxa" w:w="2376"/>
            <w:vAlign w:val="top"/>
          </w:tcPr>
          <w:p>
            <w:pPr>
              <w:spacing w:after="0"/>
            </w:pPr>
            <w:r/>
            <w:r>
              <w:rPr>
                <w:rFonts w:ascii="Aptos" w:hAnsi="Aptos"/>
                <w:b/>
                <w:sz w:val="16"/>
              </w:rPr>
              <w:t>Family Participation and Confidentiality</w:t>
            </w:r>
          </w:p>
        </w:tc>
        <w:tc>
          <w:tcPr>
            <w:tcW w:type="dxa" w:w="5256"/>
            <w:vAlign w:val="top"/>
          </w:tcPr>
          <w:p>
            <w:pPr>
              <w:spacing w:after="0"/>
            </w:pPr>
            <w:r/>
            <w:r>
              <w:rPr>
                <w:rFonts w:ascii="Aptos" w:hAnsi="Aptos"/>
                <w:b w:val="0"/>
                <w:sz w:val="16"/>
              </w:rPr>
              <w:t>Family involvement may support understanding, decision-making, access, and treatment participation. It should be structured according to the client’s preferences, informed permission, confidentiality, and clinical needs. The therapist should clarify what information may be discussed, whether the client can change the arrangement, and whether the sibling’s involvement creates pressure or interferes with autonomy.</w:t>
            </w:r>
          </w:p>
        </w:tc>
        <w:tc>
          <w:tcPr>
            <w:tcW w:type="dxa" w:w="2520"/>
            <w:vAlign w:val="top"/>
          </w:tcPr>
          <w:p>
            <w:pPr>
              <w:spacing w:after="0"/>
            </w:pPr>
            <w:r/>
            <w:r>
              <w:rPr>
                <w:rFonts w:ascii="Aptos" w:hAnsi="Aptos"/>
                <w:b w:val="0"/>
                <w:sz w:val="16"/>
              </w:rPr>
              <w:t>Family involvement requires: Preference → Permission → Defined role → Confidentiality → Monitoring</w:t>
            </w:r>
          </w:p>
        </w:tc>
      </w:tr>
      <w:tr>
        <w:tc>
          <w:tcPr>
            <w:tcW w:type="dxa" w:w="2376"/>
            <w:vAlign w:val="top"/>
            <w:shd w:fill="F7F9FA"/>
          </w:tcPr>
          <w:p>
            <w:pPr>
              <w:spacing w:after="0"/>
            </w:pPr>
            <w:r/>
            <w:r>
              <w:rPr>
                <w:rFonts w:ascii="Aptos" w:hAnsi="Aptos"/>
                <w:b/>
                <w:sz w:val="16"/>
              </w:rPr>
              <w:t>Adaptation Without Reducing Care</w:t>
            </w:r>
          </w:p>
        </w:tc>
        <w:tc>
          <w:tcPr>
            <w:tcW w:type="dxa" w:w="5256"/>
            <w:vAlign w:val="top"/>
            <w:shd w:fill="F7F9FA"/>
          </w:tcPr>
          <w:p>
            <w:pPr>
              <w:spacing w:after="0"/>
            </w:pPr>
            <w:r/>
            <w:r>
              <w:rPr>
                <w:rFonts w:ascii="Aptos" w:hAnsi="Aptos"/>
                <w:b w:val="0"/>
                <w:sz w:val="16"/>
              </w:rPr>
              <w:t>The therapist is changing how the client accesses and completes the material, not eliminating its clinical purpose. Accessible electronic materials and oral participation may allow the client to engage meaningfully without receiving inferior care. Culturally and disability-responsive practice may require changes in format, pacing, communication, or technology while maintaining assessment, informed consent, competence, confidentiality, and safety.</w:t>
            </w:r>
          </w:p>
        </w:tc>
        <w:tc>
          <w:tcPr>
            <w:tcW w:type="dxa" w:w="2520"/>
            <w:vAlign w:val="top"/>
            <w:shd w:fill="F7F9FA"/>
          </w:tcPr>
          <w:p>
            <w:pPr>
              <w:spacing w:after="0"/>
            </w:pPr>
            <w:r/>
            <w:r>
              <w:rPr>
                <w:rFonts w:ascii="Aptos" w:hAnsi="Aptos"/>
                <w:b w:val="0"/>
                <w:sz w:val="16"/>
              </w:rPr>
              <w:t>Remember: Accommodation changes access—not the professional standard.</w:t>
            </w:r>
          </w:p>
        </w:tc>
      </w:tr>
      <w:tr>
        <w:tc>
          <w:tcPr>
            <w:tcW w:type="dxa" w:w="2376"/>
            <w:vAlign w:val="top"/>
          </w:tcPr>
          <w:p>
            <w:pPr>
              <w:spacing w:after="0"/>
            </w:pPr>
            <w:r/>
            <w:r>
              <w:rPr>
                <w:rFonts w:ascii="Aptos" w:hAnsi="Aptos"/>
                <w:b/>
                <w:sz w:val="16"/>
              </w:rPr>
              <w:t>Technology and Access Barriers</w:t>
            </w:r>
          </w:p>
        </w:tc>
        <w:tc>
          <w:tcPr>
            <w:tcW w:type="dxa" w:w="5256"/>
            <w:vAlign w:val="top"/>
          </w:tcPr>
          <w:p>
            <w:pPr>
              <w:spacing w:after="0"/>
            </w:pPr>
            <w:r/>
            <w:r>
              <w:rPr>
                <w:rFonts w:ascii="Aptos" w:hAnsi="Aptos"/>
                <w:b w:val="0"/>
                <w:sz w:val="16"/>
              </w:rPr>
              <w:t>The therapist should distinguish unwillingness to participate from barriers involving housing instability, technology, privacy, finances, or geographic access. Possible alternatives may include another secure service method, use of a private community location, scheduling adjustments, resource coordination, or referral to a more accessible provider. The therapist must protect both access and confidentiality. Referral may become necessary when effective, private, and competent care cannot be provided, but discharge should not occur merely because the client’s circumstances do not fit the therapist’s standard model.</w:t>
            </w:r>
          </w:p>
        </w:tc>
        <w:tc>
          <w:tcPr>
            <w:tcW w:type="dxa" w:w="2520"/>
            <w:vAlign w:val="top"/>
          </w:tcPr>
          <w:p>
            <w:pPr>
              <w:spacing w:after="0"/>
            </w:pPr>
            <w:r/>
            <w:r>
              <w:rPr>
                <w:rFonts w:ascii="Aptos" w:hAnsi="Aptos"/>
                <w:b w:val="0"/>
                <w:sz w:val="16"/>
              </w:rPr>
              <w:t>For technology or telehealth barriers, balance: Access + comprehension + privacy + clinical effectiveness</w:t>
            </w:r>
          </w:p>
        </w:tc>
      </w:tr>
      <w:tr>
        <w:tc>
          <w:tcPr>
            <w:tcW w:type="dxa" w:w="2376"/>
            <w:vAlign w:val="top"/>
            <w:shd w:fill="F7F9FA"/>
          </w:tcPr>
          <w:p>
            <w:pPr>
              <w:spacing w:after="0"/>
            </w:pPr>
            <w:r/>
            <w:r>
              <w:rPr>
                <w:rFonts w:ascii="Aptos" w:hAnsi="Aptos"/>
                <w:b/>
                <w:sz w:val="16"/>
              </w:rPr>
              <w:t>Communication Barriers and Referral</w:t>
            </w:r>
          </w:p>
        </w:tc>
        <w:tc>
          <w:tcPr>
            <w:tcW w:type="dxa" w:w="5256"/>
            <w:vAlign w:val="top"/>
            <w:shd w:fill="F7F9FA"/>
          </w:tcPr>
          <w:p>
            <w:pPr>
              <w:spacing w:after="0"/>
            </w:pPr>
            <w:r/>
            <w:r>
              <w:rPr>
                <w:rFonts w:ascii="Aptos" w:hAnsi="Aptos"/>
                <w:b w:val="0"/>
                <w:sz w:val="16"/>
              </w:rPr>
              <w:t>Referral is appropriate when communication barriers cannot be adequately addressed and the clinician cannot provide safe, effective, and competent treatment. The therapist has attempted appropriate support, but the barrier continues to affect assessment and client safety. The transition should be discussed respectfully, suitable options should be provided, and continuity of care should be protected. The referral is based on the inability to meet the client’s clinical and communication needs—not merely on difference or discomfort.</w:t>
            </w:r>
          </w:p>
        </w:tc>
        <w:tc>
          <w:tcPr>
            <w:tcW w:type="dxa" w:w="2520"/>
            <w:vAlign w:val="top"/>
            <w:shd w:fill="F7F9FA"/>
          </w:tcPr>
          <w:p>
            <w:pPr>
              <w:spacing w:after="0"/>
            </w:pPr>
            <w:r/>
            <w:r>
              <w:rPr>
                <w:rFonts w:ascii="Aptos" w:hAnsi="Aptos"/>
                <w:b w:val="0"/>
                <w:sz w:val="16"/>
              </w:rPr>
              <w:t>Use the referral sequence: Identify the barrier. Attempt appropriate support or adaptation. Assess whether care is now effective and safe. Refer when the need still cannot be met. Protect continuity of care.</w:t>
            </w:r>
          </w:p>
        </w:tc>
      </w:tr>
      <w:tr>
        <w:tc>
          <w:tcPr>
            <w:tcW w:type="dxa" w:w="2376"/>
            <w:vAlign w:val="top"/>
          </w:tcPr>
          <w:p>
            <w:pPr>
              <w:spacing w:after="0"/>
            </w:pPr>
            <w:r/>
            <w:r>
              <w:rPr>
                <w:rFonts w:ascii="Aptos" w:hAnsi="Aptos"/>
                <w:b/>
                <w:sz w:val="16"/>
              </w:rPr>
              <w:t>Respect and Client Dignity</w:t>
            </w:r>
          </w:p>
        </w:tc>
        <w:tc>
          <w:tcPr>
            <w:tcW w:type="dxa" w:w="5256"/>
            <w:vAlign w:val="top"/>
          </w:tcPr>
          <w:p>
            <w:pPr>
              <w:spacing w:after="0"/>
            </w:pPr>
            <w:r/>
            <w:r>
              <w:rPr>
                <w:rFonts w:ascii="Aptos" w:hAnsi="Aptos"/>
                <w:b w:val="0"/>
                <w:sz w:val="16"/>
              </w:rPr>
              <w:t>Respectful care includes using the client’s stated name and preferred form of address. The therapist should clarify what the client wants, use that information consistently, and update clinical or administrative records through appropriate procedures. Correcting the information supports dignity, trust, accurate communication, and meaningful participation in treatment.</w:t>
            </w:r>
          </w:p>
        </w:tc>
        <w:tc>
          <w:tcPr>
            <w:tcW w:type="dxa" w:w="2520"/>
            <w:vAlign w:val="top"/>
          </w:tcPr>
          <w:p>
            <w:pPr>
              <w:spacing w:after="0"/>
            </w:pPr>
            <w:r/>
            <w:r>
              <w:rPr>
                <w:rFonts w:ascii="Aptos" w:hAnsi="Aptos"/>
                <w:b w:val="0"/>
                <w:sz w:val="16"/>
              </w:rPr>
              <w:t>Respectful care often begins with a simple principle: Listen to how the client identifies and address the client accordingly.</w:t>
            </w:r>
          </w:p>
        </w:tc>
      </w:tr>
      <w:tr>
        <w:tc>
          <w:tcPr>
            <w:tcW w:type="dxa" w:w="2376"/>
            <w:vAlign w:val="top"/>
            <w:shd w:fill="F7F9FA"/>
          </w:tcPr>
          <w:p>
            <w:pPr>
              <w:spacing w:after="0"/>
            </w:pPr>
            <w:r/>
            <w:r>
              <w:rPr>
                <w:rFonts w:ascii="Aptos" w:hAnsi="Aptos"/>
                <w:b/>
                <w:sz w:val="16"/>
              </w:rPr>
              <w:t>Clinician–Client Identity Differences</w:t>
            </w:r>
          </w:p>
        </w:tc>
        <w:tc>
          <w:tcPr>
            <w:tcW w:type="dxa" w:w="5256"/>
            <w:vAlign w:val="top"/>
            <w:shd w:fill="F7F9FA"/>
          </w:tcPr>
          <w:p>
            <w:pPr>
              <w:spacing w:after="0"/>
            </w:pPr>
            <w:r/>
            <w:r>
              <w:rPr>
                <w:rFonts w:ascii="Aptos" w:hAnsi="Aptos"/>
                <w:b w:val="0"/>
                <w:sz w:val="16"/>
              </w:rPr>
              <w:t>A clinician does not need to share a client’s cultural, racial, religious, gender, disability, or other identity to provide effective care. Competence depends on the clinician’s knowledge, skills, judgment, openness, and ability to understand the individual client. The therapist should remain aware of limitations, ask respectful questions, seek consultation or education when needed, and refer only when necessary competence cannot be developed safely and promptly.</w:t>
            </w:r>
          </w:p>
        </w:tc>
        <w:tc>
          <w:tcPr>
            <w:tcW w:type="dxa" w:w="2520"/>
            <w:vAlign w:val="top"/>
            <w:shd w:fill="F7F9FA"/>
          </w:tcPr>
          <w:p>
            <w:pPr>
              <w:spacing w:after="0"/>
            </w:pPr>
            <w:r/>
            <w:r>
              <w:rPr>
                <w:rFonts w:ascii="Aptos" w:hAnsi="Aptos"/>
                <w:b w:val="0"/>
                <w:sz w:val="16"/>
              </w:rPr>
              <w:t>Remember: Shared identity does not guarantee competence. Different identity does not prove incompetence.</w:t>
            </w:r>
          </w:p>
        </w:tc>
      </w:tr>
      <w:tr>
        <w:tc>
          <w:tcPr>
            <w:tcW w:type="dxa" w:w="2376"/>
            <w:vAlign w:val="top"/>
          </w:tcPr>
          <w:p>
            <w:pPr>
              <w:spacing w:after="0"/>
            </w:pPr>
            <w:r/>
            <w:r>
              <w:rPr>
                <w:rFonts w:ascii="Aptos" w:hAnsi="Aptos"/>
                <w:b/>
                <w:sz w:val="16"/>
              </w:rPr>
              <w:t>Disability and Decision-Making Capacity</w:t>
            </w:r>
          </w:p>
        </w:tc>
        <w:tc>
          <w:tcPr>
            <w:tcW w:type="dxa" w:w="5256"/>
            <w:vAlign w:val="top"/>
          </w:tcPr>
          <w:p>
            <w:pPr>
              <w:spacing w:after="0"/>
            </w:pPr>
            <w:r/>
            <w:r>
              <w:rPr>
                <w:rFonts w:ascii="Aptos" w:hAnsi="Aptos"/>
                <w:b w:val="0"/>
                <w:sz w:val="16"/>
              </w:rPr>
              <w:t>A disability does not automatically determine intelligence, judgment, capacity, independence, or the ability to consent. The therapist should assess the client as an individual and identify what accommodations or supports may improve access. The appropriate goal is to support participation without unnecessarily removing autonomy.</w:t>
            </w:r>
          </w:p>
        </w:tc>
        <w:tc>
          <w:tcPr>
            <w:tcW w:type="dxa" w:w="2520"/>
            <w:vAlign w:val="top"/>
          </w:tcPr>
          <w:p>
            <w:pPr>
              <w:spacing w:after="0"/>
            </w:pPr>
            <w:r/>
            <w:r>
              <w:rPr>
                <w:rFonts w:ascii="Aptos" w:hAnsi="Aptos"/>
                <w:b w:val="0"/>
                <w:sz w:val="16"/>
              </w:rPr>
              <w:t>Use the workbook’s rule: Support access without removing autonomy.</w:t>
            </w:r>
          </w:p>
        </w:tc>
      </w:tr>
      <w:tr>
        <w:tc>
          <w:tcPr>
            <w:tcW w:type="dxa" w:w="2376"/>
            <w:vAlign w:val="top"/>
            <w:shd w:fill="F7F9FA"/>
          </w:tcPr>
          <w:p>
            <w:pPr>
              <w:spacing w:after="0"/>
            </w:pPr>
            <w:r/>
            <w:r>
              <w:rPr>
                <w:rFonts w:ascii="Aptos" w:hAnsi="Aptos"/>
                <w:b/>
                <w:sz w:val="16"/>
              </w:rPr>
              <w:t>Family Interpreters and Sensitive Information</w:t>
            </w:r>
          </w:p>
        </w:tc>
        <w:tc>
          <w:tcPr>
            <w:tcW w:type="dxa" w:w="5256"/>
            <w:vAlign w:val="top"/>
            <w:shd w:fill="F7F9FA"/>
          </w:tcPr>
          <w:p>
            <w:pPr>
              <w:spacing w:after="0"/>
            </w:pPr>
            <w:r/>
            <w:r>
              <w:rPr>
                <w:rFonts w:ascii="Aptos" w:hAnsi="Aptos"/>
                <w:b w:val="0"/>
                <w:sz w:val="16"/>
              </w:rPr>
              <w:t>The client’s hesitation suggests that the relative’s presence may interfere with disclosure, confidentiality, or the client’s ability to communicate freely. The therapist should explore the client’s preferences privately and consider qualified language assistance for sensitive or ongoing treatment. A qualified interpreter is more likely to provide neutrality, accuracy, and clearer professional boundaries.</w:t>
            </w:r>
          </w:p>
        </w:tc>
        <w:tc>
          <w:tcPr>
            <w:tcW w:type="dxa" w:w="2520"/>
            <w:vAlign w:val="top"/>
            <w:shd w:fill="F7F9FA"/>
          </w:tcPr>
          <w:p>
            <w:pPr>
              <w:spacing w:after="0"/>
            </w:pPr>
            <w:r/>
            <w:r>
              <w:rPr>
                <w:rFonts w:ascii="Aptos" w:hAnsi="Aptos"/>
                <w:b w:val="0"/>
                <w:sz w:val="16"/>
              </w:rPr>
              <w:t>A family member may be convenient, but convenience does not resolve concerns involving: Accuracy Confidentiality Family pressure Omitted information Role conflict</w:t>
            </w:r>
          </w:p>
        </w:tc>
      </w:tr>
      <w:tr>
        <w:tc>
          <w:tcPr>
            <w:tcW w:type="dxa" w:w="2376"/>
            <w:vAlign w:val="top"/>
          </w:tcPr>
          <w:p>
            <w:pPr>
              <w:spacing w:after="0"/>
            </w:pPr>
            <w:r/>
            <w:r>
              <w:rPr>
                <w:rFonts w:ascii="Aptos" w:hAnsi="Aptos"/>
                <w:b/>
                <w:sz w:val="16"/>
              </w:rPr>
              <w:t>Diversity-Related Error vs. Professional Misconduct</w:t>
            </w:r>
          </w:p>
        </w:tc>
        <w:tc>
          <w:tcPr>
            <w:tcW w:type="dxa" w:w="5256"/>
            <w:vAlign w:val="top"/>
          </w:tcPr>
          <w:p>
            <w:pPr>
              <w:spacing w:after="0"/>
            </w:pPr>
            <w:r/>
            <w:r>
              <w:rPr>
                <w:rFonts w:ascii="Aptos" w:hAnsi="Aptos"/>
                <w:b w:val="0"/>
                <w:sz w:val="16"/>
              </w:rPr>
              <w:t>California does not treat every diversity-related misunderstanding or access error as an automatic statutory violation. A correctable mistake may be addressed through acknowledgment, reassessment, qualified assistance, repair, and improved procedures. The concern becomes more serious when a clinician knowingly ignores a communication need, repeatedly provides ineffective care, fails to protect informed participation, or causes serious or reckless harm.</w:t>
            </w:r>
          </w:p>
        </w:tc>
        <w:tc>
          <w:tcPr>
            <w:tcW w:type="dxa" w:w="2520"/>
            <w:vAlign w:val="top"/>
          </w:tcPr>
          <w:p>
            <w:pPr>
              <w:spacing w:after="0"/>
            </w:pPr>
            <w:r/>
            <w:r>
              <w:rPr>
                <w:rFonts w:ascii="Aptos" w:hAnsi="Aptos"/>
                <w:b w:val="0"/>
                <w:sz w:val="16"/>
              </w:rPr>
              <w:t>Distinguish between: Error recognized and repaired Need repeatedly ignored despite risk or harm</w:t>
            </w:r>
          </w:p>
        </w:tc>
      </w:tr>
      <w:tr>
        <w:tc>
          <w:tcPr>
            <w:tcW w:type="dxa" w:w="2376"/>
            <w:vAlign w:val="top"/>
            <w:shd w:fill="F7F9FA"/>
          </w:tcPr>
          <w:p>
            <w:pPr>
              <w:spacing w:after="0"/>
            </w:pPr>
            <w:r/>
            <w:r>
              <w:rPr>
                <w:rFonts w:ascii="Aptos" w:hAnsi="Aptos"/>
                <w:b/>
                <w:sz w:val="16"/>
              </w:rPr>
              <w:t>Referral Based on Competence and Access</w:t>
            </w:r>
          </w:p>
        </w:tc>
        <w:tc>
          <w:tcPr>
            <w:tcW w:type="dxa" w:w="5256"/>
            <w:vAlign w:val="top"/>
            <w:shd w:fill="F7F9FA"/>
          </w:tcPr>
          <w:p>
            <w:pPr>
              <w:spacing w:after="0"/>
            </w:pPr>
            <w:r/>
            <w:r>
              <w:rPr>
                <w:rFonts w:ascii="Aptos" w:hAnsi="Aptos"/>
                <w:b w:val="0"/>
                <w:sz w:val="16"/>
              </w:rPr>
              <w:t>Discomfort or unfamiliarity alone does not establish that the therapist lacks competence. The therapist should examine whether anxiety or assumptions are influencing judgment and use consultation, supervision, education, and direct client communication to strengthen care. Referral becomes appropriate when necessary competence cannot be developed, communication cannot be made effective, objectivity cannot be maintained, or continued treatment may harm the client.</w:t>
            </w:r>
          </w:p>
        </w:tc>
        <w:tc>
          <w:tcPr>
            <w:tcW w:type="dxa" w:w="2520"/>
            <w:vAlign w:val="top"/>
            <w:shd w:fill="F7F9FA"/>
          </w:tcPr>
          <w:p>
            <w:pPr>
              <w:spacing w:after="0"/>
            </w:pPr>
            <w:r/>
            <w:r>
              <w:rPr>
                <w:rFonts w:ascii="Aptos" w:hAnsi="Aptos"/>
                <w:b w:val="0"/>
                <w:sz w:val="16"/>
              </w:rPr>
              <w:t>Before selecting referral, ask: Is the problem actual lack of competence—or clinician discomfort that can be responsibly managed?</w:t>
            </w:r>
          </w:p>
        </w:tc>
      </w:tr>
      <w:tr>
        <w:tc>
          <w:tcPr>
            <w:tcW w:type="dxa" w:w="2376"/>
            <w:vAlign w:val="top"/>
          </w:tcPr>
          <w:p>
            <w:pPr>
              <w:spacing w:after="0"/>
            </w:pPr>
            <w:r/>
            <w:r>
              <w:rPr>
                <w:rFonts w:ascii="Aptos" w:hAnsi="Aptos"/>
                <w:b/>
                <w:sz w:val="16"/>
              </w:rPr>
              <w:t>Individualized Diversity-Responsive Care — Part 1 of 2</w:t>
            </w:r>
          </w:p>
        </w:tc>
        <w:tc>
          <w:tcPr>
            <w:tcW w:type="dxa" w:w="5256"/>
            <w:vAlign w:val="top"/>
          </w:tcPr>
          <w:p>
            <w:pPr>
              <w:spacing w:after="0"/>
            </w:pPr>
            <w:r/>
            <w:r>
              <w:rPr>
                <w:rFonts w:ascii="Aptos" w:hAnsi="Aptos"/>
                <w:b w:val="0"/>
                <w:sz w:val="16"/>
              </w:rPr>
              <w:t>The therapist has combined several different concerns into unsupported conclusions. Each issue requires its own assessment: Disability: Does not automatically establish incapacity. Conversational English: Does not prove understanding of complex information. Missed appointments: May reflect transportation barriers rather than poor motivation. Family involvement: Should be clarified through the client’s wishes, permission, role limits, and confidentiality. Access needs: May be addressed through communication support, scheduling changes, transportation resources, accessible materials, or other reasonable adaptations. The therapist should determine whether effective and competent treatment can continue after appropriate supports are established.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Individualized Diversity-Responsive Care — Part 2 of 2</w:t>
            </w:r>
          </w:p>
        </w:tc>
        <w:tc>
          <w:tcPr>
            <w:tcW w:type="dxa" w:w="5256"/>
            <w:vAlign w:val="top"/>
            <w:shd w:fill="F7F9FA"/>
          </w:tcPr>
          <w:p>
            <w:pPr>
              <w:spacing w:after="0"/>
            </w:pPr>
            <w:r/>
            <w:r>
              <w:rPr>
                <w:rFonts w:ascii="Aptos" w:hAnsi="Aptos"/>
                <w:b w:val="0"/>
                <w:sz w:val="16"/>
              </w:rPr>
              <w:t>Referral or transfer becomes appropriate only if the client’s needs cannot be met safely and competently.</w:t>
            </w:r>
          </w:p>
        </w:tc>
        <w:tc>
          <w:tcPr>
            <w:tcW w:type="dxa" w:w="2520"/>
            <w:vAlign w:val="top"/>
            <w:shd w:fill="F7F9FA"/>
          </w:tcPr>
          <w:p>
            <w:pPr>
              <w:spacing w:after="0"/>
            </w:pPr>
            <w:r/>
            <w:r>
              <w:rPr>
                <w:rFonts w:ascii="Aptos" w:hAnsi="Aptos"/>
                <w:b w:val="0"/>
                <w:sz w:val="16"/>
              </w:rPr>
              <w:t>For complex diversity questions, separate the issues rather than applying one label to the client: INDIVIDUAL → ASSUMPTION → ACCESS → COMPETENCE → RESPONSE</w:t>
            </w:r>
          </w:p>
        </w:tc>
      </w:tr>
    </w:tbl>
    <w:p>
      <w:pPr>
        <w:pStyle w:val="Heading2"/>
      </w:pPr>
      <w:r>
        <w:t>Exam Reasoning Checklist</w:t>
      </w:r>
    </w:p>
    <w:p>
      <w:pPr>
        <w:pStyle w:val="ListBullet"/>
        <w:spacing w:after="30"/>
      </w:pPr>
      <w:r>
        <w:t>Look for the answer that asks: “What does this identity or experience mean to this client?” —not the answer that assumes group membership supplies the explanation.</w:t>
      </w:r>
    </w:p>
    <w:p>
      <w:pPr>
        <w:pStyle w:val="ListBullet"/>
        <w:spacing w:after="30"/>
      </w:pPr>
      <w:r>
        <w:t>Remember: Agreement is not proof of understanding. Look for plain language + comprehension check + qualified assistance when necessary.</w:t>
      </w:r>
    </w:p>
    <w:p>
      <w:pPr>
        <w:pStyle w:val="ListBullet"/>
        <w:spacing w:after="30"/>
      </w:pPr>
      <w:r>
        <w:t>When a family member or child is proposed as an interpreter, evaluate: Accuracy Confidentiality Pressure Omitted or altered information Exposure to sensitive material Role conflict Availability of qualified assistance</w:t>
      </w:r>
    </w:p>
    <w:p>
      <w:pPr>
        <w:pStyle w:val="ListBullet"/>
        <w:spacing w:after="30"/>
      </w:pPr>
      <w:r>
        <w:t>Remember: Support access without removing autonomy.</w:t>
      </w:r>
    </w:p>
    <w:p>
      <w:pPr>
        <w:pStyle w:val="ListBullet"/>
        <w:spacing w:after="30"/>
      </w:pPr>
      <w:r>
        <w:t>When participation is inconsistent, consider: Transportation + work + childcare + finances + disability + technology before labeling the client unmotivated.</w:t>
      </w:r>
    </w:p>
    <w:p>
      <w:pPr>
        <w:pStyle w:val="ListBullet"/>
        <w:spacing w:after="30"/>
      </w:pPr>
      <w:r>
        <w:t>Do not ask: “Which identity explains the client?” Ask: “Which identities and experiences matter here, and how do they interact?”</w:t>
      </w:r>
    </w:p>
    <w:p>
      <w:pPr>
        <w:pStyle w:val="ListBullet"/>
        <w:spacing w:after="30"/>
      </w:pPr>
      <w:r>
        <w:t>Family involvement requires: Preference → Permission → Defined role → Confidentiality → Monitoring</w:t>
      </w:r>
    </w:p>
    <w:p>
      <w:pPr>
        <w:pStyle w:val="ListBullet"/>
        <w:spacing w:after="30"/>
      </w:pPr>
      <w:r>
        <w:t>Remember: Accommodation changes access—not the professional standard.</w:t>
      </w:r>
    </w:p>
    <w:p>
      <w:pPr>
        <w:pStyle w:val="Heading2"/>
      </w:pPr>
      <w:r>
        <w:t>Chapter Rapid Review</w:t>
      </w:r>
    </w:p>
    <w:p>
      <w:r>
        <w:rPr>
          <w:b/>
        </w:rPr>
        <w:t xml:space="preserve">Know these concepts: </w:t>
      </w:r>
      <w:r>
        <w:t>Individualized Care; Language and Meaningful Understanding; Qualified Language Assistance; Disability and Client Autonomy; Barriers to Care; Intersecting Identities; Family Participation and Confidentiality; Adaptation Without Reducing Care; Technology and Access Barriers; Communication Barriers and Referral; Respect and Client Dignity; Clinician–Client Identity Differences; Disability and Decision-Making Capacity; Family Interpreters and Sensitive Information; Diversity-Related Error vs. Professional Misconduct; Referral Based on Competence and Access; Individualized Diversity-Responsive Care — Part 1 of 2; Individualized Diversity-Responsive Care — Part 2 of 2</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7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7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