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743200" cy="1886857"/>
            <wp:docPr id="1" name="Picture 1"/>
            <wp:cNvGraphicFramePr>
              <a:graphicFrameLocks noChangeAspect="1"/>
            </wp:cNvGraphicFramePr>
            <a:graphic>
              <a:graphicData uri="http://schemas.openxmlformats.org/drawingml/2006/picture">
                <pic:pic>
                  <pic:nvPicPr>
                    <pic:cNvPr id="0" name="Primary Horizontal Logo.png"/>
                    <pic:cNvPicPr/>
                  </pic:nvPicPr>
                  <pic:blipFill>
                    <a:blip r:embed="rId9"/>
                    <a:stretch>
                      <a:fillRect/>
                    </a:stretch>
                  </pic:blipFill>
                  <pic:spPr>
                    <a:xfrm>
                      <a:off x="0" y="0"/>
                      <a:ext cx="2743200" cy="1886857"/>
                    </a:xfrm>
                    <a:prstGeom prst="rect"/>
                  </pic:spPr>
                </pic:pic>
              </a:graphicData>
            </a:graphic>
          </wp:inline>
        </w:drawing>
      </w:r>
    </w:p>
    <w:p>
      <w:pPr>
        <w:pStyle w:val="Title"/>
        <w:jc w:val="center"/>
      </w:pPr>
      <w:r>
        <w:t>LPCC Law &amp; Ethics Study Guide</w:t>
      </w:r>
    </w:p>
    <w:p>
      <w:pPr>
        <w:jc w:val="center"/>
      </w:pPr>
      <w:r>
        <w:rPr>
          <w:b/>
          <w:color w:val="179B95"/>
          <w:sz w:val="26"/>
        </w:rPr>
        <w:t>Workbook 8: Confidentiality and Information Sharing | LPCC Candidate Edition</w:t>
      </w:r>
    </w:p>
    <w:p>
      <w:pPr>
        <w:jc w:val="center"/>
      </w:pPr>
      <w:r>
        <w:rPr>
          <w:color w:val="5F5F5F"/>
          <w:sz w:val="18"/>
        </w:rPr>
        <w:t>CTA-EP-003 | Version 1.0 | August 7, 2026</w:t>
      </w:r>
    </w:p>
    <w:tbl>
      <w:tblPr>
        <w:tblStyle w:val="TableGrid"/>
        <w:tblW w:type="auto" w:w="0"/>
        <w:jc w:val="center"/>
        <w:tblLook w:firstColumn="1" w:firstRow="1" w:lastColumn="0" w:lastRow="0" w:noHBand="0" w:noVBand="1" w:val="04A0"/>
      </w:tblPr>
      <w:tblGrid>
        <w:gridCol w:w="10368"/>
      </w:tblGrid>
      <w:tr>
        <w:tc>
          <w:tcPr>
            <w:tcW w:type="dxa" w:w="10368"/>
            <w:shd w:fill="FFF4D6"/>
            <w:vAlign w:val="top"/>
          </w:tcPr>
          <w:p>
            <w:pPr>
              <w:spacing w:after="0"/>
            </w:pPr>
            <w:r/>
            <w:r>
              <w:rPr>
                <w:rFonts w:ascii="Aptos" w:hAnsi="Aptos"/>
                <w:b/>
                <w:sz w:val="18"/>
              </w:rPr>
              <w:t>EXAM PREPARATION ONLY. No CE credit or certificate. Educational material - not legal advice, an eligibility decision, or a guarantee of examination success.</w:t>
            </w:r>
          </w:p>
        </w:tc>
      </w:tr>
    </w:tbl>
    <w:p>
      <w:pPr>
        <w:pStyle w:val="Heading1"/>
      </w:pPr>
      <w:r>
        <w:t>Publication Notice</w:t>
      </w:r>
    </w:p>
    <w:p>
      <w:r>
        <w:t>This LPCC Candidate Edition is a final learner-facing reconstruction built from the approved LPCC/APCC Study Center and completed LPCC production controls. It is profession-specific to the California LPCC Law and Ethics Examination. The guide teaches study principles and reasoning frameworks; candidates should consult current official BBS and examination materials for current administrative requirements.</w:t>
      </w:r>
    </w:p>
    <w:p>
      <w:r>
        <w:t>CTA is independent and is not affiliated with, sponsored by, or endorsed by the California Board of Behavioral Sciences, Pearson VUE, ACA, NBCC, or CCE.</w:t>
      </w:r>
    </w:p>
    <w:p>
      <w:pPr>
        <w:pStyle w:val="Heading1"/>
      </w:pPr>
      <w:r>
        <w:t>How to Use This Workbook</w:t>
      </w:r>
    </w:p>
    <w:p>
      <w:pPr>
        <w:pStyle w:val="ListBullet"/>
        <w:spacing w:after="30"/>
      </w:pPr>
      <w:r>
        <w:t>Study each core chapter in order or use the chapters selectively for remediation.</w:t>
      </w:r>
    </w:p>
    <w:p>
      <w:pPr>
        <w:pStyle w:val="ListBullet"/>
        <w:spacing w:after="30"/>
      </w:pPr>
      <w:r>
        <w:t>For each concept, learn the controlling rule first, then use the memory cue to recognize common exam distinctions.</w:t>
      </w:r>
    </w:p>
    <w:p>
      <w:pPr>
        <w:pStyle w:val="ListBullet"/>
        <w:spacing w:after="30"/>
      </w:pPr>
      <w:r>
        <w:t>Complete the corresponding online chapter test after study; chapter tests are separate from this learner guide.</w:t>
      </w:r>
    </w:p>
    <w:p>
      <w:pPr>
        <w:pStyle w:val="ListBullet"/>
        <w:spacing w:after="30"/>
      </w:pPr>
      <w:r>
        <w:t>Use the 807-card Study Center for spaced review and targeted remediation.</w:t>
      </w:r>
    </w:p>
    <w:p>
      <w:pPr>
        <w:pStyle w:val="ListBullet"/>
        <w:spacing w:after="30"/>
      </w:pPr>
      <w:r>
        <w:t>When a current legal, regulatory, or ethics source changes, follow CTA's posted update notice.</w:t>
      </w:r>
    </w:p>
    <w:p>
      <w:pPr>
        <w:pStyle w:val="Heading1"/>
      </w:pPr>
      <w:r>
        <w:t>Chapter Map</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1007"/>
            <w:vAlign w:val="top"/>
            <w:shd w:fill="17365D"/>
          </w:tcPr>
          <w:p>
            <w:pPr>
              <w:spacing w:after="0"/>
            </w:pPr>
            <w:r/>
            <w:r>
              <w:rPr>
                <w:rFonts w:ascii="Aptos" w:hAnsi="Aptos"/>
                <w:b/>
                <w:color w:val="FFFFFF"/>
                <w:sz w:val="18"/>
              </w:rPr>
              <w:t>Chapter</w:t>
            </w:r>
          </w:p>
        </w:tc>
        <w:tc>
          <w:tcPr>
            <w:tcW w:type="dxa" w:w="8063"/>
            <w:vAlign w:val="top"/>
            <w:shd w:fill="17365D"/>
          </w:tcPr>
          <w:p>
            <w:pPr>
              <w:spacing w:after="0"/>
            </w:pPr>
            <w:r/>
            <w:r>
              <w:rPr>
                <w:rFonts w:ascii="Aptos" w:hAnsi="Aptos"/>
                <w:b/>
                <w:color w:val="FFFFFF"/>
                <w:sz w:val="18"/>
              </w:rPr>
              <w:t>Title</w:t>
            </w:r>
          </w:p>
        </w:tc>
        <w:tc>
          <w:tcPr>
            <w:tcW w:type="dxa" w:w="1296"/>
            <w:vAlign w:val="top"/>
            <w:shd w:fill="17365D"/>
          </w:tcPr>
          <w:p>
            <w:pPr>
              <w:spacing w:after="0"/>
            </w:pPr>
            <w:r/>
            <w:r>
              <w:rPr>
                <w:rFonts w:ascii="Aptos" w:hAnsi="Aptos"/>
                <w:b/>
                <w:color w:val="FFFFFF"/>
                <w:sz w:val="18"/>
              </w:rPr>
              <w:t>Study Cards</w:t>
            </w:r>
          </w:p>
        </w:tc>
      </w:tr>
      <w:tr>
        <w:tc>
          <w:tcPr>
            <w:tcW w:type="dxa" w:w="1007"/>
            <w:vAlign w:val="top"/>
          </w:tcPr>
          <w:p>
            <w:pPr>
              <w:spacing w:after="0"/>
            </w:pPr>
            <w:r/>
            <w:r>
              <w:rPr>
                <w:rFonts w:ascii="Aptos" w:hAnsi="Aptos"/>
                <w:b w:val="0"/>
                <w:sz w:val="17"/>
              </w:rPr>
              <w:t>1</w:t>
            </w:r>
          </w:p>
        </w:tc>
        <w:tc>
          <w:tcPr>
            <w:tcW w:type="dxa" w:w="8063"/>
            <w:vAlign w:val="top"/>
          </w:tcPr>
          <w:p>
            <w:pPr>
              <w:spacing w:after="0"/>
            </w:pPr>
            <w:r/>
            <w:r>
              <w:rPr>
                <w:rFonts w:ascii="Aptos" w:hAnsi="Aptos"/>
                <w:b w:val="0"/>
                <w:sz w:val="17"/>
              </w:rPr>
              <w:t>Confidentiality in Individual, Couple, Family, and Group Treatment</w:t>
            </w:r>
          </w:p>
        </w:tc>
        <w:tc>
          <w:tcPr>
            <w:tcW w:type="dxa" w:w="1296"/>
            <w:vAlign w:val="top"/>
          </w:tcPr>
          <w:p>
            <w:pPr>
              <w:spacing w:after="0"/>
            </w:pPr>
            <w:r/>
            <w:r>
              <w:rPr>
                <w:rFonts w:ascii="Aptos" w:hAnsi="Aptos"/>
                <w:b w:val="0"/>
                <w:sz w:val="17"/>
              </w:rPr>
              <w:t>18</w:t>
            </w:r>
          </w:p>
        </w:tc>
      </w:tr>
      <w:tr>
        <w:tc>
          <w:tcPr>
            <w:tcW w:type="dxa" w:w="1007"/>
            <w:vAlign w:val="top"/>
            <w:shd w:fill="F2F4F7"/>
          </w:tcPr>
          <w:p>
            <w:pPr>
              <w:spacing w:after="0"/>
            </w:pPr>
            <w:r/>
            <w:r>
              <w:rPr>
                <w:rFonts w:ascii="Aptos" w:hAnsi="Aptos"/>
                <w:b w:val="0"/>
                <w:sz w:val="17"/>
              </w:rPr>
              <w:t>2</w:t>
            </w:r>
          </w:p>
        </w:tc>
        <w:tc>
          <w:tcPr>
            <w:tcW w:type="dxa" w:w="8063"/>
            <w:vAlign w:val="top"/>
            <w:shd w:fill="F2F4F7"/>
          </w:tcPr>
          <w:p>
            <w:pPr>
              <w:spacing w:after="0"/>
            </w:pPr>
            <w:r/>
            <w:r>
              <w:rPr>
                <w:rFonts w:ascii="Aptos" w:hAnsi="Aptos"/>
                <w:b w:val="0"/>
                <w:sz w:val="17"/>
              </w:rPr>
              <w:t>Authorizations, Releases of Information, and Limits on Disclosure</w:t>
            </w:r>
          </w:p>
        </w:tc>
        <w:tc>
          <w:tcPr>
            <w:tcW w:type="dxa" w:w="1296"/>
            <w:vAlign w:val="top"/>
            <w:shd w:fill="F2F4F7"/>
          </w:tcPr>
          <w:p>
            <w:pPr>
              <w:spacing w:after="0"/>
            </w:pPr>
            <w:r/>
            <w:r>
              <w:rPr>
                <w:rFonts w:ascii="Aptos" w:hAnsi="Aptos"/>
                <w:b w:val="0"/>
                <w:sz w:val="17"/>
              </w:rPr>
              <w:t>16</w:t>
            </w:r>
          </w:p>
        </w:tc>
      </w:tr>
      <w:tr>
        <w:tc>
          <w:tcPr>
            <w:tcW w:type="dxa" w:w="1007"/>
            <w:vAlign w:val="top"/>
          </w:tcPr>
          <w:p>
            <w:pPr>
              <w:spacing w:after="0"/>
            </w:pPr>
            <w:r/>
            <w:r>
              <w:rPr>
                <w:rFonts w:ascii="Aptos" w:hAnsi="Aptos"/>
                <w:b w:val="0"/>
                <w:sz w:val="17"/>
              </w:rPr>
              <w:t>3</w:t>
            </w:r>
          </w:p>
        </w:tc>
        <w:tc>
          <w:tcPr>
            <w:tcW w:type="dxa" w:w="8063"/>
            <w:vAlign w:val="top"/>
          </w:tcPr>
          <w:p>
            <w:pPr>
              <w:spacing w:after="0"/>
            </w:pPr>
            <w:r/>
            <w:r>
              <w:rPr>
                <w:rFonts w:ascii="Aptos" w:hAnsi="Aptos"/>
                <w:b w:val="0"/>
                <w:sz w:val="17"/>
              </w:rPr>
              <w:t>Privacy, Protected Health Information, and HIPAA</w:t>
            </w:r>
          </w:p>
        </w:tc>
        <w:tc>
          <w:tcPr>
            <w:tcW w:type="dxa" w:w="1296"/>
            <w:vAlign w:val="top"/>
          </w:tcPr>
          <w:p>
            <w:pPr>
              <w:spacing w:after="0"/>
            </w:pPr>
            <w:r/>
            <w:r>
              <w:rPr>
                <w:rFonts w:ascii="Aptos" w:hAnsi="Aptos"/>
                <w:b w:val="0"/>
                <w:sz w:val="17"/>
              </w:rPr>
              <w:t>18</w:t>
            </w:r>
          </w:p>
        </w:tc>
      </w:tr>
      <w:tr>
        <w:tc>
          <w:tcPr>
            <w:tcW w:type="dxa" w:w="1007"/>
            <w:vAlign w:val="top"/>
            <w:shd w:fill="F2F4F7"/>
          </w:tcPr>
          <w:p>
            <w:pPr>
              <w:spacing w:after="0"/>
            </w:pPr>
            <w:r/>
            <w:r>
              <w:rPr>
                <w:rFonts w:ascii="Aptos" w:hAnsi="Aptos"/>
                <w:b w:val="0"/>
                <w:sz w:val="17"/>
              </w:rPr>
              <w:t>4</w:t>
            </w:r>
          </w:p>
        </w:tc>
        <w:tc>
          <w:tcPr>
            <w:tcW w:type="dxa" w:w="8063"/>
            <w:vAlign w:val="top"/>
            <w:shd w:fill="F2F4F7"/>
          </w:tcPr>
          <w:p>
            <w:pPr>
              <w:spacing w:after="0"/>
            </w:pPr>
            <w:r/>
            <w:r>
              <w:rPr>
                <w:rFonts w:ascii="Aptos" w:hAnsi="Aptos"/>
                <w:b w:val="0"/>
                <w:sz w:val="17"/>
              </w:rPr>
              <w:t>Client Access to Records and Responding to Record Requests</w:t>
            </w:r>
          </w:p>
        </w:tc>
        <w:tc>
          <w:tcPr>
            <w:tcW w:type="dxa" w:w="1296"/>
            <w:vAlign w:val="top"/>
            <w:shd w:fill="F2F4F7"/>
          </w:tcPr>
          <w:p>
            <w:pPr>
              <w:spacing w:after="0"/>
            </w:pPr>
            <w:r/>
            <w:r>
              <w:rPr>
                <w:rFonts w:ascii="Aptos" w:hAnsi="Aptos"/>
                <w:b w:val="0"/>
                <w:sz w:val="17"/>
              </w:rPr>
              <w:t>18</w:t>
            </w:r>
          </w:p>
        </w:tc>
      </w:tr>
    </w:tbl>
    <w:p>
      <w:r>
        <w:br w:type="page"/>
      </w:r>
    </w:p>
    <w:p>
      <w:pPr>
        <w:pStyle w:val="Heading2"/>
      </w:pPr>
      <w:r>
        <w:t>Chapter 1</w:t>
      </w:r>
    </w:p>
    <w:p>
      <w:pPr>
        <w:pStyle w:val="Heading1"/>
      </w:pPr>
      <w:r>
        <w:t>Confidentiality in Individual, Couple, Family, and Group Treatment</w:t>
      </w:r>
    </w:p>
    <w:tbl>
      <w:tblPr>
        <w:tblStyle w:val="TableGrid"/>
        <w:tblW w:type="auto" w:w="0"/>
        <w:jc w:val="center"/>
        <w:tblLook w:firstColumn="1" w:firstRow="1" w:lastColumn="0" w:lastRow="0" w:noHBand="0" w:noVBand="1" w:val="04A0"/>
      </w:tblPr>
      <w:tblGrid>
        <w:gridCol w:w="10368"/>
      </w:tblGrid>
      <w:tr>
        <w:tc>
          <w:tcPr>
            <w:tcW w:type="dxa" w:w="10368"/>
            <w:shd w:fill="E9F7F6"/>
            <w:vAlign w:val="top"/>
          </w:tcPr>
          <w:p>
            <w:pPr>
              <w:spacing w:after="0"/>
            </w:pPr>
            <w:r/>
            <w:r>
              <w:rPr>
                <w:rFonts w:ascii="Aptos" w:hAnsi="Aptos"/>
                <w:b/>
                <w:sz w:val="18"/>
              </w:rPr>
              <w:t>BIG IDEA | A person may attend a session, provide information, or support treatment without becoming a client. The therapist must determine what role was established and explained during informed consent. Because the spouse participated in one individual session, the spouse does not automatically gain access to the client’s treatment information, progress, or records. Disclosure still requires valid authorization or another lawful basis. Even confirming that a person attends therapy may reveal confidential information. The therapist should first determine whether the client authorized communication with the sister or whether another lawful basis permits disclosure. The sister’s concern may be sincere, but concern and family status do not create authority to receive treatment information.</w:t>
            </w:r>
          </w:p>
        </w:tc>
      </w:tr>
    </w:tbl>
    <w:p>
      <w:pPr>
        <w:pStyle w:val="Heading2"/>
      </w:pPr>
      <w:r>
        <w:t>What to Learn</w:t>
      </w:r>
    </w:p>
    <w:p>
      <w:pPr>
        <w:pStyle w:val="ListBullet"/>
        <w:spacing w:after="30"/>
      </w:pPr>
      <w:r>
        <w:t>Explain and apply Client Status vs. Participation.</w:t>
      </w:r>
    </w:p>
    <w:p>
      <w:pPr>
        <w:pStyle w:val="ListBullet"/>
        <w:spacing w:after="30"/>
      </w:pPr>
      <w:r>
        <w:t>Explain and apply Confirming Treatment Participation.</w:t>
      </w:r>
    </w:p>
    <w:p>
      <w:pPr>
        <w:pStyle w:val="ListBullet"/>
        <w:spacing w:after="30"/>
      </w:pPr>
      <w:r>
        <w:t>Explain and apply Secrets Policies in Couple Therapy.</w:t>
      </w:r>
    </w:p>
    <w:p>
      <w:pPr>
        <w:pStyle w:val="ListBullet"/>
        <w:spacing w:after="30"/>
      </w:pPr>
      <w:r>
        <w:t>Explain and apply Information From Collateral Contacts.</w:t>
      </w:r>
    </w:p>
    <w:p>
      <w:pPr>
        <w:pStyle w:val="ListBullet"/>
        <w:spacing w:after="30"/>
      </w:pPr>
      <w:r>
        <w:t>Explain and apply Family-Treatment Roles.</w:t>
      </w:r>
    </w:p>
    <w:p>
      <w:pPr>
        <w:pStyle w:val="ListBullet"/>
        <w:spacing w:after="30"/>
      </w:pPr>
      <w:r>
        <w:t>Explain and apply Limits of Group Confidentiality.</w:t>
      </w:r>
    </w:p>
    <w:p>
      <w:pPr>
        <w:pStyle w:val="ListBullet"/>
        <w:spacing w:after="30"/>
      </w:pPr>
      <w:r>
        <w:t>Explain and apply Multi-Person Treatment Records.</w:t>
      </w:r>
    </w:p>
    <w:p>
      <w:pPr>
        <w:pStyle w:val="Heading2"/>
      </w:pPr>
      <w:r>
        <w:t>Core Study Rules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376"/>
            <w:vAlign w:val="top"/>
            <w:shd w:fill="17365D"/>
          </w:tcPr>
          <w:p>
            <w:pPr>
              <w:spacing w:after="0"/>
            </w:pPr>
            <w:r/>
            <w:r>
              <w:rPr>
                <w:rFonts w:ascii="Aptos" w:hAnsi="Aptos"/>
                <w:b/>
                <w:color w:val="FFFFFF"/>
                <w:sz w:val="17"/>
              </w:rPr>
              <w:t>Concept</w:t>
            </w:r>
          </w:p>
        </w:tc>
        <w:tc>
          <w:tcPr>
            <w:tcW w:type="dxa" w:w="5256"/>
            <w:vAlign w:val="top"/>
            <w:shd w:fill="17365D"/>
          </w:tcPr>
          <w:p>
            <w:pPr>
              <w:spacing w:after="0"/>
            </w:pPr>
            <w:r/>
            <w:r>
              <w:rPr>
                <w:rFonts w:ascii="Aptos" w:hAnsi="Aptos"/>
                <w:b/>
                <w:color w:val="FFFFFF"/>
                <w:sz w:val="17"/>
              </w:rPr>
              <w:t>Controlling Study Rule</w:t>
            </w:r>
          </w:p>
        </w:tc>
        <w:tc>
          <w:tcPr>
            <w:tcW w:type="dxa" w:w="2520"/>
            <w:vAlign w:val="top"/>
            <w:shd w:fill="17365D"/>
          </w:tcPr>
          <w:p>
            <w:pPr>
              <w:spacing w:after="0"/>
            </w:pPr>
            <w:r/>
            <w:r>
              <w:rPr>
                <w:rFonts w:ascii="Aptos" w:hAnsi="Aptos"/>
                <w:b/>
                <w:color w:val="FFFFFF"/>
                <w:sz w:val="17"/>
              </w:rPr>
              <w:t>Memory Cue</w:t>
            </w:r>
          </w:p>
        </w:tc>
      </w:tr>
      <w:tr>
        <w:tc>
          <w:tcPr>
            <w:tcW w:type="dxa" w:w="2376"/>
            <w:vAlign w:val="top"/>
          </w:tcPr>
          <w:p>
            <w:pPr>
              <w:spacing w:after="0"/>
            </w:pPr>
            <w:r/>
            <w:r>
              <w:rPr>
                <w:rFonts w:ascii="Aptos" w:hAnsi="Aptos"/>
                <w:b/>
                <w:sz w:val="16"/>
              </w:rPr>
              <w:t>Client Status vs. Participation</w:t>
            </w:r>
          </w:p>
        </w:tc>
        <w:tc>
          <w:tcPr>
            <w:tcW w:type="dxa" w:w="5256"/>
            <w:vAlign w:val="top"/>
          </w:tcPr>
          <w:p>
            <w:pPr>
              <w:spacing w:after="0"/>
            </w:pPr>
            <w:r/>
            <w:r>
              <w:rPr>
                <w:rFonts w:ascii="Aptos" w:hAnsi="Aptos"/>
                <w:b w:val="0"/>
                <w:sz w:val="16"/>
              </w:rPr>
              <w:t>A person may attend a session, provide information, or support treatment without becoming a client. The therapist must determine what role was established and explained during informed consent. Because the spouse participated in one individual session, the spouse does not automatically gain access to the client’s treatment information, progress, or records. Disclosure still requires valid authorization or another lawful basis.</w:t>
            </w:r>
          </w:p>
        </w:tc>
        <w:tc>
          <w:tcPr>
            <w:tcW w:type="dxa" w:w="2520"/>
            <w:vAlign w:val="top"/>
          </w:tcPr>
          <w:p>
            <w:pPr>
              <w:spacing w:after="0"/>
            </w:pPr>
            <w:r/>
            <w:r>
              <w:rPr>
                <w:rFonts w:ascii="Aptos" w:hAnsi="Aptos"/>
                <w:b w:val="0"/>
                <w:sz w:val="16"/>
              </w:rPr>
              <w:t>Do not assume: Present in the room = client First identify whether the person is a: Client Joint client Participant Collateral contact Personal representative Third party</w:t>
            </w:r>
          </w:p>
        </w:tc>
      </w:tr>
      <w:tr>
        <w:tc>
          <w:tcPr>
            <w:tcW w:type="dxa" w:w="2376"/>
            <w:vAlign w:val="top"/>
            <w:shd w:fill="F7F9FA"/>
          </w:tcPr>
          <w:p>
            <w:pPr>
              <w:spacing w:after="0"/>
            </w:pPr>
            <w:r/>
            <w:r>
              <w:rPr>
                <w:rFonts w:ascii="Aptos" w:hAnsi="Aptos"/>
                <w:b/>
                <w:sz w:val="16"/>
              </w:rPr>
              <w:t>Confirming Treatment Participation</w:t>
            </w:r>
          </w:p>
        </w:tc>
        <w:tc>
          <w:tcPr>
            <w:tcW w:type="dxa" w:w="5256"/>
            <w:vAlign w:val="top"/>
            <w:shd w:fill="F7F9FA"/>
          </w:tcPr>
          <w:p>
            <w:pPr>
              <w:spacing w:after="0"/>
            </w:pPr>
            <w:r/>
            <w:r>
              <w:rPr>
                <w:rFonts w:ascii="Aptos" w:hAnsi="Aptos"/>
                <w:b w:val="0"/>
                <w:sz w:val="16"/>
              </w:rPr>
              <w:t>Even confirming that a person attends therapy may reveal confidential information. The therapist should first determine whether the client authorized communication with the sister or whether another lawful basis permits disclosure. The sister’s concern may be sincere, but concern and family status do not create authority to receive treatment information.</w:t>
            </w:r>
          </w:p>
        </w:tc>
        <w:tc>
          <w:tcPr>
            <w:tcW w:type="dxa" w:w="2520"/>
            <w:vAlign w:val="top"/>
            <w:shd w:fill="F7F9FA"/>
          </w:tcPr>
          <w:p>
            <w:pPr>
              <w:spacing w:after="0"/>
            </w:pPr>
            <w:r/>
            <w:r>
              <w:rPr>
                <w:rFonts w:ascii="Aptos" w:hAnsi="Aptos"/>
                <w:b w:val="0"/>
                <w:sz w:val="16"/>
              </w:rPr>
              <w:t>Watch for answers that say: “Only confirm attendance.” That may still disclose the existence of a treatment relationship.</w:t>
            </w:r>
          </w:p>
        </w:tc>
      </w:tr>
      <w:tr>
        <w:tc>
          <w:tcPr>
            <w:tcW w:type="dxa" w:w="2376"/>
            <w:vAlign w:val="top"/>
          </w:tcPr>
          <w:p>
            <w:pPr>
              <w:spacing w:after="0"/>
            </w:pPr>
            <w:r/>
            <w:r>
              <w:rPr>
                <w:rFonts w:ascii="Aptos" w:hAnsi="Aptos"/>
                <w:b/>
                <w:sz w:val="16"/>
              </w:rPr>
              <w:t>Secrets Policies in Couple Therapy</w:t>
            </w:r>
          </w:p>
        </w:tc>
        <w:tc>
          <w:tcPr>
            <w:tcW w:type="dxa" w:w="5256"/>
            <w:vAlign w:val="top"/>
          </w:tcPr>
          <w:p>
            <w:pPr>
              <w:spacing w:after="0"/>
            </w:pPr>
            <w:r/>
            <w:r>
              <w:rPr>
                <w:rFonts w:ascii="Aptos" w:hAnsi="Aptos"/>
                <w:b w:val="0"/>
                <w:sz w:val="16"/>
              </w:rPr>
              <w:t>Separate communications in couple therapy can create divided loyalties and interfere with informed participation. The therapist should first review the policy established before treatment regarding individual contacts, private disclosures, and secrets. The policy may indicate that clinically relevant information cannot be kept indefinitely, may allow temporary confidentiality while disclosure is addressed, or may require case-by-case analysis. The therapist should apply the established policy consistently rather than improvise after the conflict arises.</w:t>
            </w:r>
          </w:p>
        </w:tc>
        <w:tc>
          <w:tcPr>
            <w:tcW w:type="dxa" w:w="2520"/>
            <w:vAlign w:val="top"/>
          </w:tcPr>
          <w:p>
            <w:pPr>
              <w:spacing w:after="0"/>
            </w:pPr>
            <w:r/>
            <w:r>
              <w:rPr>
                <w:rFonts w:ascii="Aptos" w:hAnsi="Aptos"/>
                <w:b w:val="0"/>
                <w:sz w:val="16"/>
              </w:rPr>
              <w:t>When one partner reveals a secret, use: Review the policy before promising, disclosing, or terminating. A strong sequence is: Review the established secrets policy Assess how the information affects treatment Explain the consequences of continued secrecy Encourage appropriate disclosure Consult, pause, or transfer treatment when necessary</w:t>
            </w:r>
          </w:p>
        </w:tc>
      </w:tr>
      <w:tr>
        <w:tc>
          <w:tcPr>
            <w:tcW w:type="dxa" w:w="2376"/>
            <w:vAlign w:val="top"/>
            <w:shd w:fill="F7F9FA"/>
          </w:tcPr>
          <w:p>
            <w:pPr>
              <w:spacing w:after="0"/>
            </w:pPr>
            <w:r/>
            <w:r>
              <w:rPr>
                <w:rFonts w:ascii="Aptos" w:hAnsi="Aptos"/>
                <w:b/>
                <w:sz w:val="16"/>
              </w:rPr>
              <w:t>Information From Collateral Contacts</w:t>
            </w:r>
          </w:p>
        </w:tc>
        <w:tc>
          <w:tcPr>
            <w:tcW w:type="dxa" w:w="5256"/>
            <w:vAlign w:val="top"/>
            <w:shd w:fill="F7F9FA"/>
          </w:tcPr>
          <w:p>
            <w:pPr>
              <w:spacing w:after="0"/>
            </w:pPr>
            <w:r/>
            <w:r>
              <w:rPr>
                <w:rFonts w:ascii="Aptos" w:hAnsi="Aptos"/>
                <w:b w:val="0"/>
                <w:sz w:val="16"/>
              </w:rPr>
              <w:t>A therapist may sometimes receive clinically relevant information from a collateral contact without disclosing confidential information in return. However, the therapist should not automatically promise to conceal the communication from the client. The therapist should consider: Whether the information is relevant to treatment Whether it should be documented Whether the client should be informed Whether continued collateral contact could create confusion or divided loyalties Whether the information raises an immediate safety concern The therapist should clarify these limits before agreeing to receive extensive information.</w:t>
            </w:r>
          </w:p>
        </w:tc>
        <w:tc>
          <w:tcPr>
            <w:tcW w:type="dxa" w:w="2520"/>
            <w:vAlign w:val="top"/>
            <w:shd w:fill="F7F9FA"/>
          </w:tcPr>
          <w:p>
            <w:pPr>
              <w:spacing w:after="0"/>
            </w:pPr>
            <w:r/>
            <w:r>
              <w:rPr>
                <w:rFonts w:ascii="Aptos" w:hAnsi="Aptos"/>
                <w:b w:val="0"/>
                <w:sz w:val="16"/>
              </w:rPr>
              <w:t>When someone says: “I need to tell you something, but you cannot tell the client,” do not promise secrecy automatically. First evaluate the information’s clinical relevance, documentation impact, and effect on treatment.</w:t>
            </w:r>
          </w:p>
        </w:tc>
      </w:tr>
      <w:tr>
        <w:tc>
          <w:tcPr>
            <w:tcW w:type="dxa" w:w="2376"/>
            <w:vAlign w:val="top"/>
          </w:tcPr>
          <w:p>
            <w:pPr>
              <w:spacing w:after="0"/>
            </w:pPr>
            <w:r/>
            <w:r>
              <w:rPr>
                <w:rFonts w:ascii="Aptos" w:hAnsi="Aptos"/>
                <w:b/>
                <w:sz w:val="16"/>
              </w:rPr>
              <w:t>Family-Treatment Roles</w:t>
            </w:r>
          </w:p>
        </w:tc>
        <w:tc>
          <w:tcPr>
            <w:tcW w:type="dxa" w:w="5256"/>
            <w:vAlign w:val="top"/>
          </w:tcPr>
          <w:p>
            <w:pPr>
              <w:spacing w:after="0"/>
            </w:pPr>
            <w:r/>
            <w:r>
              <w:rPr>
                <w:rFonts w:ascii="Aptos" w:hAnsi="Aptos"/>
                <w:b w:val="0"/>
                <w:sz w:val="16"/>
              </w:rPr>
              <w:t>Attendance, payment, transportation, and close family involvement do not automatically create client status or authority to receive confidential information. The therapist must determine the grandmother’s actual role and whether the client authorized disclosure. If the grandmother claims legal authority, the therapist should verify that authority and its scope before sharing information.</w:t>
            </w:r>
          </w:p>
        </w:tc>
        <w:tc>
          <w:tcPr>
            <w:tcW w:type="dxa" w:w="2520"/>
            <w:vAlign w:val="top"/>
          </w:tcPr>
          <w:p>
            <w:pPr>
              <w:spacing w:after="0"/>
            </w:pPr>
            <w:r/>
            <w:r>
              <w:rPr>
                <w:rFonts w:ascii="Aptos" w:hAnsi="Aptos"/>
                <w:b w:val="0"/>
                <w:sz w:val="16"/>
              </w:rPr>
              <w:t>The following do not automatically create access: Paying Providing transportation Attending sessions Being closely related Expressing concern</w:t>
            </w:r>
          </w:p>
        </w:tc>
      </w:tr>
      <w:tr>
        <w:tc>
          <w:tcPr>
            <w:tcW w:type="dxa" w:w="2376"/>
            <w:vAlign w:val="top"/>
            <w:shd w:fill="F7F9FA"/>
          </w:tcPr>
          <w:p>
            <w:pPr>
              <w:spacing w:after="0"/>
            </w:pPr>
            <w:r/>
            <w:r>
              <w:rPr>
                <w:rFonts w:ascii="Aptos" w:hAnsi="Aptos"/>
                <w:b/>
                <w:sz w:val="16"/>
              </w:rPr>
              <w:t>Limits of Group Confidentiality</w:t>
            </w:r>
          </w:p>
        </w:tc>
        <w:tc>
          <w:tcPr>
            <w:tcW w:type="dxa" w:w="5256"/>
            <w:vAlign w:val="top"/>
            <w:shd w:fill="F7F9FA"/>
          </w:tcPr>
          <w:p>
            <w:pPr>
              <w:spacing w:after="0"/>
            </w:pPr>
            <w:r/>
            <w:r>
              <w:rPr>
                <w:rFonts w:ascii="Aptos" w:hAnsi="Aptos"/>
                <w:b w:val="0"/>
                <w:sz w:val="16"/>
              </w:rPr>
              <w:t>The therapist is responsible for maintaining professional confidentiality, explaining group expectations, reinforcing those expectations, and addressing violations. However, the therapist cannot fully control what individual members disclose after leaving the group. Prospective members should understand this limitation before agreeing to participate.</w:t>
            </w:r>
          </w:p>
        </w:tc>
        <w:tc>
          <w:tcPr>
            <w:tcW w:type="dxa" w:w="2520"/>
            <w:vAlign w:val="top"/>
            <w:shd w:fill="F7F9FA"/>
          </w:tcPr>
          <w:p>
            <w:pPr>
              <w:spacing w:after="0"/>
            </w:pPr>
            <w:r/>
            <w:r>
              <w:rPr>
                <w:rFonts w:ascii="Aptos" w:hAnsi="Aptos"/>
                <w:b w:val="0"/>
                <w:sz w:val="16"/>
              </w:rPr>
              <w:t>Remember: Group confidentiality may be expected and reinforced—but not guaranteed.</w:t>
            </w:r>
          </w:p>
        </w:tc>
      </w:tr>
      <w:tr>
        <w:tc>
          <w:tcPr>
            <w:tcW w:type="dxa" w:w="2376"/>
            <w:vAlign w:val="top"/>
          </w:tcPr>
          <w:p>
            <w:pPr>
              <w:spacing w:after="0"/>
            </w:pPr>
            <w:r/>
            <w:r>
              <w:rPr>
                <w:rFonts w:ascii="Aptos" w:hAnsi="Aptos"/>
                <w:b/>
                <w:sz w:val="16"/>
              </w:rPr>
              <w:t>Multi-Person Treatment Records</w:t>
            </w:r>
          </w:p>
        </w:tc>
        <w:tc>
          <w:tcPr>
            <w:tcW w:type="dxa" w:w="5256"/>
            <w:vAlign w:val="top"/>
          </w:tcPr>
          <w:p>
            <w:pPr>
              <w:spacing w:after="0"/>
            </w:pPr>
            <w:r/>
            <w:r>
              <w:rPr>
                <w:rFonts w:ascii="Aptos" w:hAnsi="Aptos"/>
                <w:b w:val="0"/>
                <w:sz w:val="16"/>
              </w:rPr>
              <w:t>A multi-person record may contain protected information about more than one client or participant. One partner’s signature does not automatically resolve the other partner’s confidentiality interests. The therapist should evaluate: Who holds client status How the record was structured What policies governed separate communications Whether the authorization covers the proposed disclosure Whether the signer may authorize release of the entire record Whether information can be separated or disclosed more narrowly</w:t>
            </w:r>
          </w:p>
        </w:tc>
        <w:tc>
          <w:tcPr>
            <w:tcW w:type="dxa" w:w="2520"/>
            <w:vAlign w:val="top"/>
          </w:tcPr>
          <w:p>
            <w:pPr>
              <w:spacing w:after="0"/>
            </w:pPr>
            <w:r/>
            <w:r>
              <w:rPr>
                <w:rFonts w:ascii="Aptos" w:hAnsi="Aptos"/>
                <w:b w:val="0"/>
                <w:sz w:val="16"/>
              </w:rPr>
              <w:t>For joint records, ask: Who signed—and whose information would actually be released?</w:t>
            </w:r>
          </w:p>
        </w:tc>
      </w:tr>
      <w:tr>
        <w:tc>
          <w:tcPr>
            <w:tcW w:type="dxa" w:w="2376"/>
            <w:vAlign w:val="top"/>
            <w:shd w:fill="F7F9FA"/>
          </w:tcPr>
          <w:p>
            <w:pPr>
              <w:spacing w:after="0"/>
            </w:pPr>
            <w:r/>
            <w:r>
              <w:rPr>
                <w:rFonts w:ascii="Aptos" w:hAnsi="Aptos"/>
                <w:b/>
                <w:sz w:val="16"/>
              </w:rPr>
              <w:t>Individual Treatment With Family Participation</w:t>
            </w:r>
          </w:p>
        </w:tc>
        <w:tc>
          <w:tcPr>
            <w:tcW w:type="dxa" w:w="5256"/>
            <w:vAlign w:val="top"/>
            <w:shd w:fill="F7F9FA"/>
          </w:tcPr>
          <w:p>
            <w:pPr>
              <w:spacing w:after="0"/>
            </w:pPr>
            <w:r/>
            <w:r>
              <w:rPr>
                <w:rFonts w:ascii="Aptos" w:hAnsi="Aptos"/>
                <w:b w:val="0"/>
                <w:sz w:val="16"/>
              </w:rPr>
              <w:t>A person may participate in treatment without becoming a client or joint client. The therapist must look at how the treatment relationship was established, who is receiving services, who consented, and what applicable minor-consent and parental-access rules permit. Occasional participation for support or coordination does not automatically transform individual treatment into family therapy or create unrestricted access to the teenager’s communications.</w:t>
            </w:r>
          </w:p>
        </w:tc>
        <w:tc>
          <w:tcPr>
            <w:tcW w:type="dxa" w:w="2520"/>
            <w:vAlign w:val="top"/>
            <w:shd w:fill="F7F9FA"/>
          </w:tcPr>
          <w:p>
            <w:pPr>
              <w:spacing w:after="0"/>
            </w:pPr>
            <w:r/>
            <w:r>
              <w:rPr>
                <w:rFonts w:ascii="Aptos" w:hAnsi="Aptos"/>
                <w:b w:val="0"/>
                <w:sz w:val="16"/>
              </w:rPr>
              <w:t>Separate: Who participates Who receives treatment Who has legal authority Who may receive information These are not always the same person.</w:t>
            </w:r>
          </w:p>
        </w:tc>
      </w:tr>
      <w:tr>
        <w:tc>
          <w:tcPr>
            <w:tcW w:type="dxa" w:w="2376"/>
            <w:vAlign w:val="top"/>
          </w:tcPr>
          <w:p>
            <w:pPr>
              <w:spacing w:after="0"/>
            </w:pPr>
            <w:r/>
            <w:r>
              <w:rPr>
                <w:rFonts w:ascii="Aptos" w:hAnsi="Aptos"/>
                <w:b/>
                <w:sz w:val="16"/>
              </w:rPr>
              <w:t>Secret That Disrupts Couple Treatment</w:t>
            </w:r>
          </w:p>
        </w:tc>
        <w:tc>
          <w:tcPr>
            <w:tcW w:type="dxa" w:w="5256"/>
            <w:vAlign w:val="top"/>
          </w:tcPr>
          <w:p>
            <w:pPr>
              <w:spacing w:after="0"/>
            </w:pPr>
            <w:r/>
            <w:r>
              <w:rPr>
                <w:rFonts w:ascii="Aptos" w:hAnsi="Aptos"/>
                <w:b w:val="0"/>
                <w:sz w:val="16"/>
              </w:rPr>
              <w:t>The therapist should apply the policy established during informed consent and explain how the secret affects the integrity of couple treatment. The therapist may encourage the partner to disclose the information, support a plan for disclosure, and clarify that treatment cannot continue normally if the therapist must mislead the other joint client. Consultation, pausing treatment, or arranging transfer may be appropriate when the role becomes unworkable.</w:t>
            </w:r>
          </w:p>
        </w:tc>
        <w:tc>
          <w:tcPr>
            <w:tcW w:type="dxa" w:w="2520"/>
            <w:vAlign w:val="top"/>
          </w:tcPr>
          <w:p>
            <w:pPr>
              <w:spacing w:after="0"/>
            </w:pPr>
            <w:r/>
            <w:r>
              <w:rPr>
                <w:rFonts w:ascii="Aptos" w:hAnsi="Aptos"/>
                <w:b w:val="0"/>
                <w:sz w:val="16"/>
              </w:rPr>
              <w:t>A no-secrets policy does not mean: “The therapist immediately reveals everything.” It means the therapist should not agree to preserve treatment-disrupting secrets indefinitely and may need to reconsider whether joint treatment can continue.</w:t>
            </w:r>
          </w:p>
        </w:tc>
      </w:tr>
      <w:tr>
        <w:tc>
          <w:tcPr>
            <w:tcW w:type="dxa" w:w="2376"/>
            <w:vAlign w:val="top"/>
            <w:shd w:fill="F7F9FA"/>
          </w:tcPr>
          <w:p>
            <w:pPr>
              <w:spacing w:after="0"/>
            </w:pPr>
            <w:r/>
            <w:r>
              <w:rPr>
                <w:rFonts w:ascii="Aptos" w:hAnsi="Aptos"/>
                <w:b/>
                <w:sz w:val="16"/>
              </w:rPr>
              <w:t>Integrated Multi-Person Confidentiality Analysis</w:t>
            </w:r>
          </w:p>
        </w:tc>
        <w:tc>
          <w:tcPr>
            <w:tcW w:type="dxa" w:w="5256"/>
            <w:vAlign w:val="top"/>
            <w:shd w:fill="F7F9FA"/>
          </w:tcPr>
          <w:p>
            <w:pPr>
              <w:spacing w:after="0"/>
            </w:pPr>
            <w:r/>
            <w:r>
              <w:rPr>
                <w:rFonts w:ascii="Aptos" w:hAnsi="Aptos"/>
                <w:b w:val="0"/>
                <w:sz w:val="16"/>
              </w:rPr>
              <w:t>The therapist must slow down and analyze several separate issues: Who was identified as a client Whether the family or individual members were the treatment unit What policy governed separate emails Whose confidential information appears in the file Whether the parent has legal or client authority Whether the information can be separated Whether authorization or another lawful basis exists Payment and administrative involvement do not automatically determine access. The therapist must protect every affected client or participant from unnecessary disclosure.</w:t>
            </w:r>
          </w:p>
        </w:tc>
        <w:tc>
          <w:tcPr>
            <w:tcW w:type="dxa" w:w="2520"/>
            <w:vAlign w:val="top"/>
            <w:shd w:fill="F7F9FA"/>
          </w:tcPr>
          <w:p>
            <w:pPr>
              <w:spacing w:after="0"/>
            </w:pPr>
            <w:r/>
            <w:r>
              <w:rPr>
                <w:rFonts w:ascii="Aptos" w:hAnsi="Aptos"/>
                <w:b w:val="0"/>
                <w:sz w:val="16"/>
              </w:rPr>
              <w:t>For complex family-treatment questions, use this sequence: SETTING → CLIENTS → INFORMATION → POLICY → AUTHORITY → DISCLOSURE Do not begin with the requester’s relationship, payment, or level of involvement.</w:t>
            </w:r>
          </w:p>
        </w:tc>
      </w:tr>
      <w:tr>
        <w:tc>
          <w:tcPr>
            <w:tcW w:type="dxa" w:w="2376"/>
            <w:vAlign w:val="top"/>
          </w:tcPr>
          <w:p>
            <w:pPr>
              <w:spacing w:after="0"/>
            </w:pPr>
            <w:r/>
            <w:r>
              <w:rPr>
                <w:rFonts w:ascii="Aptos" w:hAnsi="Aptos"/>
                <w:b/>
                <w:sz w:val="16"/>
              </w:rPr>
              <w:t>Collateral Contacts</w:t>
            </w:r>
          </w:p>
        </w:tc>
        <w:tc>
          <w:tcPr>
            <w:tcW w:type="dxa" w:w="5256"/>
            <w:vAlign w:val="top"/>
          </w:tcPr>
          <w:p>
            <w:pPr>
              <w:spacing w:after="0"/>
            </w:pPr>
            <w:r/>
            <w:r>
              <w:rPr>
                <w:rFonts w:ascii="Aptos" w:hAnsi="Aptos"/>
                <w:b w:val="0"/>
                <w:sz w:val="16"/>
              </w:rPr>
              <w:t>A collateral contact provides information or support related to treatment without necessarily receiving therapy. The teacher’s contribution may be clinically useful, but it does not automatically create client status or a right to receive information in return. Before disclosing anything to the teacher, the therapist must identify a valid authorization or another lawful basis.</w:t>
            </w:r>
          </w:p>
        </w:tc>
        <w:tc>
          <w:tcPr>
            <w:tcW w:type="dxa" w:w="2520"/>
            <w:vAlign w:val="top"/>
          </w:tcPr>
          <w:p>
            <w:pPr>
              <w:spacing w:after="0"/>
            </w:pPr>
            <w:r/>
            <w:r>
              <w:rPr>
                <w:rFonts w:ascii="Aptos" w:hAnsi="Aptos"/>
                <w:b w:val="0"/>
                <w:sz w:val="16"/>
              </w:rPr>
              <w:t>Remember: Information may flow into treatment without automatically flowing back out.</w:t>
            </w:r>
          </w:p>
        </w:tc>
      </w:tr>
      <w:tr>
        <w:tc>
          <w:tcPr>
            <w:tcW w:type="dxa" w:w="2376"/>
            <w:vAlign w:val="top"/>
            <w:shd w:fill="F7F9FA"/>
          </w:tcPr>
          <w:p>
            <w:pPr>
              <w:spacing w:after="0"/>
            </w:pPr>
            <w:r/>
            <w:r>
              <w:rPr>
                <w:rFonts w:ascii="Aptos" w:hAnsi="Aptos"/>
                <w:b/>
                <w:sz w:val="16"/>
              </w:rPr>
              <w:t>Family Involvement and Confidentiality</w:t>
            </w:r>
          </w:p>
        </w:tc>
        <w:tc>
          <w:tcPr>
            <w:tcW w:type="dxa" w:w="5256"/>
            <w:vAlign w:val="top"/>
            <w:shd w:fill="F7F9FA"/>
          </w:tcPr>
          <w:p>
            <w:pPr>
              <w:spacing w:after="0"/>
            </w:pPr>
            <w:r/>
            <w:r>
              <w:rPr>
                <w:rFonts w:ascii="Aptos" w:hAnsi="Aptos"/>
                <w:b w:val="0"/>
                <w:sz w:val="16"/>
              </w:rPr>
              <w:t>Family treatment may involve joint clients, individual clients, participants, and collateral contacts. Those roles do not automatically carry identical confidentiality or access rights. The therapist must determine who is receiving professional services, what policies were established, whose information is involved, and whether authorization or another lawful basis supports disclosure.</w:t>
            </w:r>
          </w:p>
        </w:tc>
        <w:tc>
          <w:tcPr>
            <w:tcW w:type="dxa" w:w="2520"/>
            <w:vAlign w:val="top"/>
            <w:shd w:fill="F7F9FA"/>
          </w:tcPr>
          <w:p>
            <w:pPr>
              <w:spacing w:after="0"/>
            </w:pPr>
            <w:r/>
            <w:r>
              <w:rPr>
                <w:rFonts w:ascii="Aptos" w:hAnsi="Aptos"/>
                <w:b w:val="0"/>
                <w:sz w:val="16"/>
              </w:rPr>
              <w:t>Family participation does not erase confidentiality. Identify CLIENT STATUS → AGREEMENTS → AUTHORITY before sharing information.</w:t>
            </w:r>
          </w:p>
        </w:tc>
      </w:tr>
      <w:tr>
        <w:tc>
          <w:tcPr>
            <w:tcW w:type="dxa" w:w="2376"/>
            <w:vAlign w:val="top"/>
          </w:tcPr>
          <w:p>
            <w:pPr>
              <w:spacing w:after="0"/>
            </w:pPr>
            <w:r/>
            <w:r>
              <w:rPr>
                <w:rFonts w:ascii="Aptos" w:hAnsi="Aptos"/>
                <w:b/>
                <w:sz w:val="16"/>
              </w:rPr>
              <w:t>First Step in Multi-Person Treatment</w:t>
            </w:r>
          </w:p>
        </w:tc>
        <w:tc>
          <w:tcPr>
            <w:tcW w:type="dxa" w:w="5256"/>
            <w:vAlign w:val="top"/>
          </w:tcPr>
          <w:p>
            <w:pPr>
              <w:spacing w:after="0"/>
            </w:pPr>
            <w:r/>
            <w:r>
              <w:rPr>
                <w:rFonts w:ascii="Aptos" w:hAnsi="Aptos"/>
                <w:b w:val="0"/>
                <w:sz w:val="16"/>
              </w:rPr>
              <w:t>Client status determines whose rights, information, and professional interests may be involved. Before deciding whether information may be shared, the therapist must know whether treatment involves one client, joint clients, a family treatment unit, or a combination of clients and participants. Once client status is clear, the therapist can evaluate the treatment agreements, information involved, requester’s authority, and lawful basis for disclosure.</w:t>
            </w:r>
          </w:p>
        </w:tc>
        <w:tc>
          <w:tcPr>
            <w:tcW w:type="dxa" w:w="2520"/>
            <w:vAlign w:val="top"/>
          </w:tcPr>
          <w:p>
            <w:pPr>
              <w:spacing w:after="0"/>
            </w:pPr>
            <w:r/>
            <w:r>
              <w:rPr>
                <w:rFonts w:ascii="Aptos" w:hAnsi="Aptos"/>
                <w:b w:val="0"/>
                <w:sz w:val="16"/>
              </w:rPr>
              <w:t>In multi-person treatment, start with: Who is the client? Not: Who is the relative, payer, organizer, or most involved participant?</w:t>
            </w:r>
          </w:p>
        </w:tc>
      </w:tr>
      <w:tr>
        <w:tc>
          <w:tcPr>
            <w:tcW w:type="dxa" w:w="2376"/>
            <w:vAlign w:val="top"/>
            <w:shd w:fill="F7F9FA"/>
          </w:tcPr>
          <w:p>
            <w:pPr>
              <w:spacing w:after="0"/>
            </w:pPr>
            <w:r/>
            <w:r>
              <w:rPr>
                <w:rFonts w:ascii="Aptos" w:hAnsi="Aptos"/>
                <w:b/>
                <w:sz w:val="16"/>
              </w:rPr>
              <w:t>Group Confidentiality Breach</w:t>
            </w:r>
          </w:p>
        </w:tc>
        <w:tc>
          <w:tcPr>
            <w:tcW w:type="dxa" w:w="5256"/>
            <w:vAlign w:val="top"/>
            <w:shd w:fill="F7F9FA"/>
          </w:tcPr>
          <w:p>
            <w:pPr>
              <w:spacing w:after="0"/>
            </w:pPr>
            <w:r/>
            <w:r>
              <w:rPr>
                <w:rFonts w:ascii="Aptos" w:hAnsi="Aptos"/>
                <w:b w:val="0"/>
                <w:sz w:val="16"/>
              </w:rPr>
              <w:t>The therapist cannot undo the disclosure or guarantee another member’s future behavior. The therapist can investigate what occurred, address the violating conduct, reinforce group expectations, assess the impact on the affected member and the group, and consider corrective action. Depending on the seriousness and circumstances, the therapist may also need to modify participation, revisit informed consent, provide support, and document the incident.</w:t>
            </w:r>
          </w:p>
        </w:tc>
        <w:tc>
          <w:tcPr>
            <w:tcW w:type="dxa" w:w="2520"/>
            <w:vAlign w:val="top"/>
            <w:shd w:fill="F7F9FA"/>
          </w:tcPr>
          <w:p>
            <w:pPr>
              <w:spacing w:after="0"/>
            </w:pPr>
            <w:r/>
            <w:r>
              <w:rPr>
                <w:rFonts w:ascii="Aptos" w:hAnsi="Aptos"/>
                <w:b w:val="0"/>
                <w:sz w:val="16"/>
              </w:rPr>
              <w:t>After a group breach, use: Assess → Address → Reinforce → Evaluate impact → Correct → Document</w:t>
            </w:r>
          </w:p>
        </w:tc>
      </w:tr>
      <w:tr>
        <w:tc>
          <w:tcPr>
            <w:tcW w:type="dxa" w:w="2376"/>
            <w:vAlign w:val="top"/>
          </w:tcPr>
          <w:p>
            <w:pPr>
              <w:spacing w:after="0"/>
            </w:pPr>
            <w:r/>
            <w:r>
              <w:rPr>
                <w:rFonts w:ascii="Aptos" w:hAnsi="Aptos"/>
                <w:b/>
                <w:sz w:val="16"/>
              </w:rPr>
              <w:t>No Established Secrets Policy</w:t>
            </w:r>
          </w:p>
        </w:tc>
        <w:tc>
          <w:tcPr>
            <w:tcW w:type="dxa" w:w="5256"/>
            <w:vAlign w:val="top"/>
          </w:tcPr>
          <w:p>
            <w:pPr>
              <w:spacing w:after="0"/>
            </w:pPr>
            <w:r/>
            <w:r>
              <w:rPr>
                <w:rFonts w:ascii="Aptos" w:hAnsi="Aptos"/>
                <w:b w:val="0"/>
                <w:sz w:val="16"/>
              </w:rPr>
              <w:t>The therapist should not invent a retroactive policy and apply it as though both partners previously understood and accepted it. The therapist should also avoid promising secrecy that may make joint treatment deceptive or unworkable. The stronger response is to recognize the informed-consent gap, assess the information’s relevance to treatment, discuss the consequences of continued concealment with the disclosing partner, clarify how future communications will be handled, and obtain consultation when necessary. Joint treatment may need to be paused or transferred if the therapist cannot proceed without misleading another client.</w:t>
            </w:r>
          </w:p>
        </w:tc>
        <w:tc>
          <w:tcPr>
            <w:tcW w:type="dxa" w:w="2520"/>
            <w:vAlign w:val="top"/>
          </w:tcPr>
          <w:p>
            <w:pPr>
              <w:spacing w:after="0"/>
            </w:pPr>
            <w:r/>
            <w:r>
              <w:rPr>
                <w:rFonts w:ascii="Aptos" w:hAnsi="Aptos"/>
                <w:b w:val="0"/>
                <w:sz w:val="16"/>
              </w:rPr>
              <w:t>No established policy does not mean: Disclose automatically Promise secrecy automatically Ignore the secret It means the therapist must address the unclear expectations and determine whether treatment can continue ethically.</w:t>
            </w:r>
          </w:p>
        </w:tc>
      </w:tr>
      <w:tr>
        <w:tc>
          <w:tcPr>
            <w:tcW w:type="dxa" w:w="2376"/>
            <w:vAlign w:val="top"/>
            <w:shd w:fill="F7F9FA"/>
          </w:tcPr>
          <w:p>
            <w:pPr>
              <w:spacing w:after="0"/>
            </w:pPr>
            <w:r/>
            <w:r>
              <w:rPr>
                <w:rFonts w:ascii="Aptos" w:hAnsi="Aptos"/>
                <w:b/>
                <w:sz w:val="16"/>
              </w:rPr>
              <w:t>Conflicting Rights in a Family Record</w:t>
            </w:r>
          </w:p>
        </w:tc>
        <w:tc>
          <w:tcPr>
            <w:tcW w:type="dxa" w:w="5256"/>
            <w:vAlign w:val="top"/>
            <w:shd w:fill="F7F9FA"/>
          </w:tcPr>
          <w:p>
            <w:pPr>
              <w:spacing w:after="0"/>
            </w:pPr>
            <w:r/>
            <w:r>
              <w:rPr>
                <w:rFonts w:ascii="Aptos" w:hAnsi="Aptos"/>
                <w:b w:val="0"/>
                <w:sz w:val="16"/>
              </w:rPr>
              <w:t>The record may implicate several people’s confidentiality and access interests. The therapist must determine whether the requesting parent is a client, joint client, participant, or representative and whether that status creates access to some or all of the record. The therapist should also evaluate the adult child’s separate information, the collateral contact’s statements, the treatment agreements, and whether a narrower disclosure can protect affected individuals while honoring any lawful access right.</w:t>
            </w:r>
          </w:p>
        </w:tc>
        <w:tc>
          <w:tcPr>
            <w:tcW w:type="dxa" w:w="2520"/>
            <w:vAlign w:val="top"/>
            <w:shd w:fill="F7F9FA"/>
          </w:tcPr>
          <w:p>
            <w:pPr>
              <w:spacing w:after="0"/>
            </w:pPr>
            <w:r/>
            <w:r>
              <w:rPr>
                <w:rFonts w:ascii="Aptos" w:hAnsi="Aptos"/>
                <w:b w:val="0"/>
                <w:sz w:val="16"/>
              </w:rPr>
              <w:t>For multi-person records, review: Clients → Requester → Authority → Record structure → Other people’s information → Possible separation</w:t>
            </w:r>
          </w:p>
        </w:tc>
      </w:tr>
      <w:tr>
        <w:tc>
          <w:tcPr>
            <w:tcW w:type="dxa" w:w="2376"/>
            <w:vAlign w:val="top"/>
          </w:tcPr>
          <w:p>
            <w:pPr>
              <w:spacing w:after="0"/>
            </w:pPr>
            <w:r/>
            <w:r>
              <w:rPr>
                <w:rFonts w:ascii="Aptos" w:hAnsi="Aptos"/>
                <w:b/>
                <w:sz w:val="16"/>
              </w:rPr>
              <w:t>Couple-Therapy Confidentiality and Records — Part 1 of 2</w:t>
            </w:r>
          </w:p>
        </w:tc>
        <w:tc>
          <w:tcPr>
            <w:tcW w:type="dxa" w:w="5256"/>
            <w:vAlign w:val="top"/>
          </w:tcPr>
          <w:p>
            <w:pPr>
              <w:spacing w:after="0"/>
            </w:pPr>
            <w:r/>
            <w:r>
              <w:rPr>
                <w:rFonts w:ascii="Aptos" w:hAnsi="Aptos"/>
                <w:b w:val="0"/>
                <w:sz w:val="16"/>
              </w:rPr>
              <w:t>The scenario presents two related but distinct confidentiality problems. First, the therapist must apply the limited-secrets policy to the private disclosure. The therapist should explain why indefinite concealment may undermine joint treatment, encourage appropriate disclosure, and consider whether treatment can continue if the issue remains unresolved. Second, the record request requires its own analysis.</w:t>
            </w:r>
          </w:p>
        </w:tc>
        <w:tc>
          <w:tcPr>
            <w:tcW w:type="dxa" w:w="2520"/>
            <w:vAlign w:val="top"/>
          </w:tcPr>
          <w:p>
            <w:pPr>
              <w:spacing w:after="0"/>
            </w:pPr>
            <w:r/>
            <w:r>
              <w:rPr>
                <w:rFonts w:ascii="Aptos" w:hAnsi="Aptos"/>
                <w:b w:val="0"/>
                <w:sz w:val="16"/>
              </w:rPr>
            </w:r>
          </w:p>
        </w:tc>
      </w:tr>
      <w:tr>
        <w:tc>
          <w:tcPr>
            <w:tcW w:type="dxa" w:w="2376"/>
            <w:vAlign w:val="top"/>
            <w:shd w:fill="F7F9FA"/>
          </w:tcPr>
          <w:p>
            <w:pPr>
              <w:spacing w:after="0"/>
            </w:pPr>
            <w:r/>
            <w:r>
              <w:rPr>
                <w:rFonts w:ascii="Aptos" w:hAnsi="Aptos"/>
                <w:b/>
                <w:sz w:val="16"/>
              </w:rPr>
              <w:t>Couple-Therapy Confidentiality and Records — Part 2 of 2</w:t>
            </w:r>
          </w:p>
        </w:tc>
        <w:tc>
          <w:tcPr>
            <w:tcW w:type="dxa" w:w="5256"/>
            <w:vAlign w:val="top"/>
            <w:shd w:fill="F7F9FA"/>
          </w:tcPr>
          <w:p>
            <w:pPr>
              <w:spacing w:after="0"/>
            </w:pPr>
            <w:r/>
            <w:r>
              <w:rPr>
                <w:rFonts w:ascii="Aptos" w:hAnsi="Aptos"/>
                <w:b w:val="0"/>
                <w:sz w:val="16"/>
              </w:rPr>
              <w:t>The therapist must determine: Whether the requester seeks direct access or third-party disclosure What authorization or legal authority exists How the joint record was maintained Whether the file contains separate communications Whether releasing the entire record would expose the other partner’s protected information Whether a narrower or separated response is legally appropriate The request for records does not automatically resolve the secret, and the secret does not automatically eliminate applicable access rights.</w:t>
            </w:r>
          </w:p>
        </w:tc>
        <w:tc>
          <w:tcPr>
            <w:tcW w:type="dxa" w:w="2520"/>
            <w:vAlign w:val="top"/>
            <w:shd w:fill="F7F9FA"/>
          </w:tcPr>
          <w:p>
            <w:pPr>
              <w:spacing w:after="0"/>
            </w:pPr>
            <w:r/>
            <w:r>
              <w:rPr>
                <w:rFonts w:ascii="Aptos" w:hAnsi="Aptos"/>
                <w:b w:val="0"/>
                <w:sz w:val="16"/>
              </w:rPr>
              <w:t>When a question contains both a secret and a record request, separate the issues: Secret: Apply the treatment agreement and assess whether joint treatment remains workable. Record request: Identify access or disclosure rights, authority, scope, and other protected information.</w:t>
            </w:r>
          </w:p>
        </w:tc>
      </w:tr>
    </w:tbl>
    <w:p>
      <w:pPr>
        <w:pStyle w:val="Heading2"/>
      </w:pPr>
      <w:r>
        <w:t>Exam Reasoning Checklist</w:t>
      </w:r>
    </w:p>
    <w:p>
      <w:pPr>
        <w:pStyle w:val="ListBullet"/>
        <w:spacing w:after="30"/>
      </w:pPr>
      <w:r>
        <w:t>Do not assume: Present in the room = client First identify whether the person is a: Client Joint client Participant Collateral contact Personal representative Third party</w:t>
      </w:r>
    </w:p>
    <w:p>
      <w:pPr>
        <w:pStyle w:val="ListBullet"/>
        <w:spacing w:after="30"/>
      </w:pPr>
      <w:r>
        <w:t>Watch for answers that say: “Only confirm attendance.” That may still disclose the existence of a treatment relationship.</w:t>
      </w:r>
    </w:p>
    <w:p>
      <w:pPr>
        <w:pStyle w:val="ListBullet"/>
        <w:spacing w:after="30"/>
      </w:pPr>
      <w:r>
        <w:t>When one partner reveals a secret, use: Review the policy before promising, disclosing, or terminating. A strong sequence is: Review the established secrets policy Assess how the information affects treatment Explain the consequences of continued secrecy Encourage appropriate disclosure Consult, pause, or transfer treatment when necessary</w:t>
      </w:r>
    </w:p>
    <w:p>
      <w:pPr>
        <w:pStyle w:val="ListBullet"/>
        <w:spacing w:after="30"/>
      </w:pPr>
      <w:r>
        <w:t>When someone says: “I need to tell you something, but you cannot tell the client,” do not promise secrecy automatically. First evaluate the information’s clinical relevance, documentation impact, and effect on treatment.</w:t>
      </w:r>
    </w:p>
    <w:p>
      <w:pPr>
        <w:pStyle w:val="ListBullet"/>
        <w:spacing w:after="30"/>
      </w:pPr>
      <w:r>
        <w:t>The following do not automatically create access: Paying Providing transportation Attending sessions Being closely related Expressing concern</w:t>
      </w:r>
    </w:p>
    <w:p>
      <w:pPr>
        <w:pStyle w:val="ListBullet"/>
        <w:spacing w:after="30"/>
      </w:pPr>
      <w:r>
        <w:t>Remember: Group confidentiality may be expected and reinforced—but not guaranteed.</w:t>
      </w:r>
    </w:p>
    <w:p>
      <w:pPr>
        <w:pStyle w:val="ListBullet"/>
        <w:spacing w:after="30"/>
      </w:pPr>
      <w:r>
        <w:t>For joint records, ask: Who signed—and whose information would actually be released?</w:t>
      </w:r>
    </w:p>
    <w:p>
      <w:pPr>
        <w:pStyle w:val="ListBullet"/>
        <w:spacing w:after="30"/>
      </w:pPr>
      <w:r>
        <w:t>Separate: Who participates Who receives treatment Who has legal authority Who may receive information These are not always the same person.</w:t>
      </w:r>
    </w:p>
    <w:p>
      <w:pPr>
        <w:pStyle w:val="Heading2"/>
      </w:pPr>
      <w:r>
        <w:t>Chapter Rapid Review</w:t>
      </w:r>
    </w:p>
    <w:p>
      <w:r>
        <w:rPr>
          <w:b/>
        </w:rPr>
        <w:t xml:space="preserve">Know these concepts: </w:t>
      </w:r>
      <w:r>
        <w:t>Client Status vs. Participation; Confirming Treatment Participation; Secrets Policies in Couple Therapy; Information From Collateral Contacts; Family-Treatment Roles; Limits of Group Confidentiality; Multi-Person Treatment Records; Individual Treatment With Family Participation; Secret That Disrupts Couple Treatment; Integrated Multi-Person Confidentiality Analysis; Collateral Contacts; Family Involvement and Confidentiality; First Step in Multi-Person Treatment; Group Confidentiality Breach; No Established Secrets Policy; Conflicting Rights in a Family Record; Couple-Therapy Confidentiality and Records — Part 1 of 2; Couple-Therapy Confidentiality and Records — Part 2 of 2</w:t>
      </w:r>
    </w:p>
    <w:p>
      <w:r>
        <w:br w:type="page"/>
      </w:r>
    </w:p>
    <w:p>
      <w:pPr>
        <w:pStyle w:val="Heading2"/>
      </w:pPr>
      <w:r>
        <w:t>Chapter 2</w:t>
      </w:r>
    </w:p>
    <w:p>
      <w:pPr>
        <w:pStyle w:val="Heading1"/>
      </w:pPr>
      <w:r>
        <w:t>Authorizations, Releases of Information, and Limits on Disclosure</w:t>
      </w:r>
    </w:p>
    <w:tbl>
      <w:tblPr>
        <w:tblStyle w:val="TableGrid"/>
        <w:tblW w:type="auto" w:w="0"/>
        <w:jc w:val="center"/>
        <w:tblLook w:firstColumn="1" w:firstRow="1" w:lastColumn="0" w:lastRow="0" w:noHBand="0" w:noVBand="1" w:val="04A0"/>
      </w:tblPr>
      <w:tblGrid>
        <w:gridCol w:w="10368"/>
      </w:tblGrid>
      <w:tr>
        <w:tc>
          <w:tcPr>
            <w:tcW w:type="dxa" w:w="10368"/>
            <w:shd w:fill="E9F7F6"/>
            <w:vAlign w:val="top"/>
          </w:tcPr>
          <w:p>
            <w:pPr>
              <w:spacing w:after="0"/>
            </w:pPr>
            <w:r/>
            <w:r>
              <w:rPr>
                <w:rFonts w:ascii="Aptos" w:hAnsi="Aptos"/>
                <w:b/>
                <w:sz w:val="18"/>
              </w:rPr>
              <w:t>BIG IDEA | An authorization is the client’s or authorized representative’s permission for a defined use or disclosure of confidential information. It should identify what may be disclosed, who may disclose it, who may receive it, the purpose, and when the authorization expires. The authorization creates permission only within its stated scope. The therapist must still confirm that the form is valid and that the planned disclosure matches what the client actually authorized. A signature is only one element of a valid authorization. The intended recipient must be meaningfully identified so the therapist knows who is permitted to receive the information. The therapist should not fill this gap through assumption. The client should clarify or complete the document before any disclosure occurs.</w:t>
            </w:r>
          </w:p>
        </w:tc>
      </w:tr>
    </w:tbl>
    <w:p>
      <w:pPr>
        <w:pStyle w:val="Heading2"/>
      </w:pPr>
      <w:r>
        <w:t>What to Learn</w:t>
      </w:r>
    </w:p>
    <w:p>
      <w:pPr>
        <w:pStyle w:val="ListBullet"/>
        <w:spacing w:after="30"/>
      </w:pPr>
      <w:r>
        <w:t>Explain and apply Purpose of an Authorization.</w:t>
      </w:r>
    </w:p>
    <w:p>
      <w:pPr>
        <w:pStyle w:val="ListBullet"/>
        <w:spacing w:after="30"/>
      </w:pPr>
      <w:r>
        <w:t>Explain and apply Valid Authorization Elements.</w:t>
      </w:r>
    </w:p>
    <w:p>
      <w:pPr>
        <w:pStyle w:val="ListBullet"/>
        <w:spacing w:after="30"/>
      </w:pPr>
      <w:r>
        <w:t>Explain and apply Scope of Authorized Disclosure.</w:t>
      </w:r>
    </w:p>
    <w:p>
      <w:pPr>
        <w:pStyle w:val="ListBullet"/>
        <w:spacing w:after="30"/>
      </w:pPr>
      <w:r>
        <w:t>Explain and apply Signer Authority.</w:t>
      </w:r>
    </w:p>
    <w:p>
      <w:pPr>
        <w:pStyle w:val="ListBullet"/>
        <w:spacing w:after="30"/>
      </w:pPr>
      <w:r>
        <w:t>Explain and apply Expired Authorization.</w:t>
      </w:r>
    </w:p>
    <w:p>
      <w:pPr>
        <w:pStyle w:val="ListBullet"/>
        <w:spacing w:after="30"/>
      </w:pPr>
      <w:r>
        <w:t>Explain and apply Revocation.</w:t>
      </w:r>
    </w:p>
    <w:p>
      <w:pPr>
        <w:pStyle w:val="ListBullet"/>
        <w:spacing w:after="30"/>
      </w:pPr>
      <w:r>
        <w:t>Explain and apply Electronic and Copied Authorizations.</w:t>
      </w:r>
    </w:p>
    <w:p>
      <w:pPr>
        <w:pStyle w:val="Heading2"/>
      </w:pPr>
      <w:r>
        <w:t>Core Study Rules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376"/>
            <w:vAlign w:val="top"/>
            <w:shd w:fill="17365D"/>
          </w:tcPr>
          <w:p>
            <w:pPr>
              <w:spacing w:after="0"/>
            </w:pPr>
            <w:r/>
            <w:r>
              <w:rPr>
                <w:rFonts w:ascii="Aptos" w:hAnsi="Aptos"/>
                <w:b/>
                <w:color w:val="FFFFFF"/>
                <w:sz w:val="17"/>
              </w:rPr>
              <w:t>Concept</w:t>
            </w:r>
          </w:p>
        </w:tc>
        <w:tc>
          <w:tcPr>
            <w:tcW w:type="dxa" w:w="5256"/>
            <w:vAlign w:val="top"/>
            <w:shd w:fill="17365D"/>
          </w:tcPr>
          <w:p>
            <w:pPr>
              <w:spacing w:after="0"/>
            </w:pPr>
            <w:r/>
            <w:r>
              <w:rPr>
                <w:rFonts w:ascii="Aptos" w:hAnsi="Aptos"/>
                <w:b/>
                <w:color w:val="FFFFFF"/>
                <w:sz w:val="17"/>
              </w:rPr>
              <w:t>Controlling Study Rule</w:t>
            </w:r>
          </w:p>
        </w:tc>
        <w:tc>
          <w:tcPr>
            <w:tcW w:type="dxa" w:w="2520"/>
            <w:vAlign w:val="top"/>
            <w:shd w:fill="17365D"/>
          </w:tcPr>
          <w:p>
            <w:pPr>
              <w:spacing w:after="0"/>
            </w:pPr>
            <w:r/>
            <w:r>
              <w:rPr>
                <w:rFonts w:ascii="Aptos" w:hAnsi="Aptos"/>
                <w:b/>
                <w:color w:val="FFFFFF"/>
                <w:sz w:val="17"/>
              </w:rPr>
              <w:t>Memory Cue</w:t>
            </w:r>
          </w:p>
        </w:tc>
      </w:tr>
      <w:tr>
        <w:tc>
          <w:tcPr>
            <w:tcW w:type="dxa" w:w="2376"/>
            <w:vAlign w:val="top"/>
          </w:tcPr>
          <w:p>
            <w:pPr>
              <w:spacing w:after="0"/>
            </w:pPr>
            <w:r/>
            <w:r>
              <w:rPr>
                <w:rFonts w:ascii="Aptos" w:hAnsi="Aptos"/>
                <w:b/>
                <w:sz w:val="16"/>
              </w:rPr>
              <w:t>Purpose of an Authorization</w:t>
            </w:r>
          </w:p>
        </w:tc>
        <w:tc>
          <w:tcPr>
            <w:tcW w:type="dxa" w:w="5256"/>
            <w:vAlign w:val="top"/>
          </w:tcPr>
          <w:p>
            <w:pPr>
              <w:spacing w:after="0"/>
            </w:pPr>
            <w:r/>
            <w:r>
              <w:rPr>
                <w:rFonts w:ascii="Aptos" w:hAnsi="Aptos"/>
                <w:b w:val="0"/>
                <w:sz w:val="16"/>
              </w:rPr>
              <w:t>An authorization is the client’s or authorized representative’s permission for a defined use or disclosure of confidential information. It should identify what may be disclosed, who may disclose it, who may receive it, the purpose, and when the authorization expires. The authorization creates permission only within its stated scope. The therapist must still confirm that the form is valid and that the planned disclosure matches what the client actually authorized.</w:t>
            </w:r>
          </w:p>
        </w:tc>
        <w:tc>
          <w:tcPr>
            <w:tcW w:type="dxa" w:w="2520"/>
            <w:vAlign w:val="top"/>
          </w:tcPr>
          <w:p>
            <w:pPr>
              <w:spacing w:after="0"/>
            </w:pPr>
            <w:r/>
            <w:r>
              <w:rPr>
                <w:rFonts w:ascii="Aptos" w:hAnsi="Aptos"/>
                <w:b w:val="0"/>
                <w:sz w:val="16"/>
              </w:rPr>
              <w:t>Think: Authorization = specific permission, not unlimited access.</w:t>
            </w:r>
          </w:p>
        </w:tc>
      </w:tr>
      <w:tr>
        <w:tc>
          <w:tcPr>
            <w:tcW w:type="dxa" w:w="2376"/>
            <w:vAlign w:val="top"/>
            <w:shd w:fill="F7F9FA"/>
          </w:tcPr>
          <w:p>
            <w:pPr>
              <w:spacing w:after="0"/>
            </w:pPr>
            <w:r/>
            <w:r>
              <w:rPr>
                <w:rFonts w:ascii="Aptos" w:hAnsi="Aptos"/>
                <w:b/>
                <w:sz w:val="16"/>
              </w:rPr>
              <w:t>Valid Authorization Elements</w:t>
            </w:r>
          </w:p>
        </w:tc>
        <w:tc>
          <w:tcPr>
            <w:tcW w:type="dxa" w:w="5256"/>
            <w:vAlign w:val="top"/>
            <w:shd w:fill="F7F9FA"/>
          </w:tcPr>
          <w:p>
            <w:pPr>
              <w:spacing w:after="0"/>
            </w:pPr>
            <w:r/>
            <w:r>
              <w:rPr>
                <w:rFonts w:ascii="Aptos" w:hAnsi="Aptos"/>
                <w:b w:val="0"/>
                <w:sz w:val="16"/>
              </w:rPr>
              <w:t>A signature is only one element of a valid authorization. The intended recipient must be meaningfully identified so the therapist knows who is permitted to receive the information. The therapist should not fill this gap through assumption. The client should clarify or complete the document before any disclosure occurs.</w:t>
            </w:r>
          </w:p>
        </w:tc>
        <w:tc>
          <w:tcPr>
            <w:tcW w:type="dxa" w:w="2520"/>
            <w:vAlign w:val="top"/>
            <w:shd w:fill="F7F9FA"/>
          </w:tcPr>
          <w:p>
            <w:pPr>
              <w:spacing w:after="0"/>
            </w:pPr>
            <w:r/>
            <w:r>
              <w:rPr>
                <w:rFonts w:ascii="Aptos" w:hAnsi="Aptos"/>
                <w:b w:val="0"/>
                <w:sz w:val="16"/>
              </w:rPr>
              <w:t>When a question says, “The client signed the release,” keep reading. Check: Recipient Information Purpose Expiration Signer’s authority Revocation status</w:t>
            </w:r>
          </w:p>
        </w:tc>
      </w:tr>
      <w:tr>
        <w:tc>
          <w:tcPr>
            <w:tcW w:type="dxa" w:w="2376"/>
            <w:vAlign w:val="top"/>
          </w:tcPr>
          <w:p>
            <w:pPr>
              <w:spacing w:after="0"/>
            </w:pPr>
            <w:r/>
            <w:r>
              <w:rPr>
                <w:rFonts w:ascii="Aptos" w:hAnsi="Aptos"/>
                <w:b/>
                <w:sz w:val="16"/>
              </w:rPr>
              <w:t>Scope of Authorized Disclosure</w:t>
            </w:r>
          </w:p>
        </w:tc>
        <w:tc>
          <w:tcPr>
            <w:tcW w:type="dxa" w:w="5256"/>
            <w:vAlign w:val="top"/>
          </w:tcPr>
          <w:p>
            <w:pPr>
              <w:spacing w:after="0"/>
            </w:pPr>
            <w:r/>
            <w:r>
              <w:rPr>
                <w:rFonts w:ascii="Aptos" w:hAnsi="Aptos"/>
                <w:b w:val="0"/>
                <w:sz w:val="16"/>
              </w:rPr>
              <w:t>The authorization permits disclosure of appointment dates and attendance information. It does not authorize disclosure of the diagnosis, symptoms, treatment plan, or other clinical details. The therapist should match the disclosure precisely to the authorized scope. The employer’s request cannot expand the client’s permission.</w:t>
            </w:r>
          </w:p>
        </w:tc>
        <w:tc>
          <w:tcPr>
            <w:tcW w:type="dxa" w:w="2520"/>
            <w:vAlign w:val="top"/>
          </w:tcPr>
          <w:p>
            <w:pPr>
              <w:spacing w:after="0"/>
            </w:pPr>
            <w:r/>
            <w:r>
              <w:rPr>
                <w:rFonts w:ascii="Aptos" w:hAnsi="Aptos"/>
                <w:b w:val="0"/>
                <w:sz w:val="16"/>
              </w:rPr>
              <w:t>Use the scope-matching test: Information authorized = information released Do not expand the release merely because the requester asks for more.</w:t>
            </w:r>
          </w:p>
        </w:tc>
      </w:tr>
      <w:tr>
        <w:tc>
          <w:tcPr>
            <w:tcW w:type="dxa" w:w="2376"/>
            <w:vAlign w:val="top"/>
            <w:shd w:fill="F7F9FA"/>
          </w:tcPr>
          <w:p>
            <w:pPr>
              <w:spacing w:after="0"/>
            </w:pPr>
            <w:r/>
            <w:r>
              <w:rPr>
                <w:rFonts w:ascii="Aptos" w:hAnsi="Aptos"/>
                <w:b/>
                <w:sz w:val="16"/>
              </w:rPr>
              <w:t>Signer Authority</w:t>
            </w:r>
          </w:p>
        </w:tc>
        <w:tc>
          <w:tcPr>
            <w:tcW w:type="dxa" w:w="5256"/>
            <w:vAlign w:val="top"/>
            <w:shd w:fill="F7F9FA"/>
          </w:tcPr>
          <w:p>
            <w:pPr>
              <w:spacing w:after="0"/>
            </w:pPr>
            <w:r/>
            <w:r>
              <w:rPr>
                <w:rFonts w:ascii="Aptos" w:hAnsi="Aptos"/>
                <w:b w:val="0"/>
                <w:sz w:val="16"/>
              </w:rPr>
              <w:t>Being the client’s parent does not automatically give the mother authority to authorize disclosure for a competent adult. The therapist must determine whether she is a legally recognized personal representative and verify the scope of that authority. Possible authority might arise from a valid health-care decision-making document, conservatorship, court order, or another lawful arrangement. Without verified authority or the client’s authorization, the therapist should not release information.</w:t>
            </w:r>
          </w:p>
        </w:tc>
        <w:tc>
          <w:tcPr>
            <w:tcW w:type="dxa" w:w="2520"/>
            <w:vAlign w:val="top"/>
            <w:shd w:fill="F7F9FA"/>
          </w:tcPr>
          <w:p>
            <w:pPr>
              <w:spacing w:after="0"/>
            </w:pPr>
            <w:r/>
            <w:r>
              <w:rPr>
                <w:rFonts w:ascii="Aptos" w:hAnsi="Aptos"/>
                <w:b w:val="0"/>
                <w:sz w:val="16"/>
              </w:rPr>
              <w:t>Do not assume automatic authority based on titles such as: Parent Spouse Adult child Caregiver Close relative Look for verified personal-representative authority.</w:t>
            </w:r>
          </w:p>
        </w:tc>
      </w:tr>
      <w:tr>
        <w:tc>
          <w:tcPr>
            <w:tcW w:type="dxa" w:w="2376"/>
            <w:vAlign w:val="top"/>
          </w:tcPr>
          <w:p>
            <w:pPr>
              <w:spacing w:after="0"/>
            </w:pPr>
            <w:r/>
            <w:r>
              <w:rPr>
                <w:rFonts w:ascii="Aptos" w:hAnsi="Aptos"/>
                <w:b/>
                <w:sz w:val="16"/>
              </w:rPr>
              <w:t>Expired Authorization</w:t>
            </w:r>
          </w:p>
        </w:tc>
        <w:tc>
          <w:tcPr>
            <w:tcW w:type="dxa" w:w="5256"/>
            <w:vAlign w:val="top"/>
          </w:tcPr>
          <w:p>
            <w:pPr>
              <w:spacing w:after="0"/>
            </w:pPr>
            <w:r/>
            <w:r>
              <w:rPr>
                <w:rFonts w:ascii="Aptos" w:hAnsi="Aptos"/>
                <w:b w:val="0"/>
                <w:sz w:val="16"/>
              </w:rPr>
              <w:t>An expired authorization no longer supports a new disclosure. The fact that the school lawfully received information in the past does not extend the authorization beyond its stated expiration date or event. The therapist should obtain a new authorization containing the necessary elements before releasing the current progress summary, unless another lawful basis independently permits disclosure.</w:t>
            </w:r>
          </w:p>
        </w:tc>
        <w:tc>
          <w:tcPr>
            <w:tcW w:type="dxa" w:w="2520"/>
            <w:vAlign w:val="top"/>
          </w:tcPr>
          <w:p>
            <w:pPr>
              <w:spacing w:after="0"/>
            </w:pPr>
            <w:r/>
            <w:r>
              <w:rPr>
                <w:rFonts w:ascii="Aptos" w:hAnsi="Aptos"/>
                <w:b w:val="0"/>
                <w:sz w:val="16"/>
              </w:rPr>
              <w:t>Pay close attention to dates hidden in the stem. Previously authorized does not mean currently authorized.</w:t>
            </w:r>
          </w:p>
        </w:tc>
      </w:tr>
      <w:tr>
        <w:tc>
          <w:tcPr>
            <w:tcW w:type="dxa" w:w="2376"/>
            <w:vAlign w:val="top"/>
            <w:shd w:fill="F7F9FA"/>
          </w:tcPr>
          <w:p>
            <w:pPr>
              <w:spacing w:after="0"/>
            </w:pPr>
            <w:r/>
            <w:r>
              <w:rPr>
                <w:rFonts w:ascii="Aptos" w:hAnsi="Aptos"/>
                <w:b/>
                <w:sz w:val="16"/>
              </w:rPr>
              <w:t>Revocation</w:t>
            </w:r>
          </w:p>
        </w:tc>
        <w:tc>
          <w:tcPr>
            <w:tcW w:type="dxa" w:w="5256"/>
            <w:vAlign w:val="top"/>
            <w:shd w:fill="F7F9FA"/>
          </w:tcPr>
          <w:p>
            <w:pPr>
              <w:spacing w:after="0"/>
            </w:pPr>
            <w:r/>
            <w:r>
              <w:rPr>
                <w:rFonts w:ascii="Aptos" w:hAnsi="Aptos"/>
                <w:b w:val="0"/>
                <w:sz w:val="16"/>
              </w:rPr>
              <w:t>Revocation generally prevents future reliance on the authorization. The therapist should document the revocation, update the release-tracking process, notify relevant staff when necessary, and stop future disclosures covered by the revoked permission. The therapist should still consider whether another independent legal basis permits or requires disclosure, but the revoked authorization itself can no longer be used.</w:t>
            </w:r>
          </w:p>
        </w:tc>
        <w:tc>
          <w:tcPr>
            <w:tcW w:type="dxa" w:w="2520"/>
            <w:vAlign w:val="top"/>
            <w:shd w:fill="F7F9FA"/>
          </w:tcPr>
          <w:p>
            <w:pPr>
              <w:spacing w:after="0"/>
            </w:pPr>
            <w:r/>
            <w:r>
              <w:rPr>
                <w:rFonts w:ascii="Aptos" w:hAnsi="Aptos"/>
                <w:b w:val="0"/>
                <w:sz w:val="16"/>
              </w:rPr>
              <w:t>Remember the distinction: Expiration: Permission ends according to a date or event. Revocation: The client actively withdraws permission. Both generally stop future reliance.</w:t>
            </w:r>
          </w:p>
        </w:tc>
      </w:tr>
      <w:tr>
        <w:tc>
          <w:tcPr>
            <w:tcW w:type="dxa" w:w="2376"/>
            <w:vAlign w:val="top"/>
          </w:tcPr>
          <w:p>
            <w:pPr>
              <w:spacing w:after="0"/>
            </w:pPr>
            <w:r/>
            <w:r>
              <w:rPr>
                <w:rFonts w:ascii="Aptos" w:hAnsi="Aptos"/>
                <w:b/>
                <w:sz w:val="16"/>
              </w:rPr>
              <w:t>Electronic and Copied Authorizations</w:t>
            </w:r>
          </w:p>
        </w:tc>
        <w:tc>
          <w:tcPr>
            <w:tcW w:type="dxa" w:w="5256"/>
            <w:vAlign w:val="top"/>
          </w:tcPr>
          <w:p>
            <w:pPr>
              <w:spacing w:after="0"/>
            </w:pPr>
            <w:r/>
            <w:r>
              <w:rPr>
                <w:rFonts w:ascii="Aptos" w:hAnsi="Aptos"/>
                <w:b w:val="0"/>
                <w:sz w:val="16"/>
              </w:rPr>
              <w:t>Electronic or scanned authorizations may be valid when applicable requirements are satisfied, but the therapist must still review their completeness, legibility, authenticity, and apparent integrity. A reasonably suspected alteration should be clarified before information is released. The therapist should confirm the client’s intent and ensure that the identified recipient matches the client’s authorization.</w:t>
            </w:r>
          </w:p>
        </w:tc>
        <w:tc>
          <w:tcPr>
            <w:tcW w:type="dxa" w:w="2520"/>
            <w:vAlign w:val="top"/>
          </w:tcPr>
          <w:p>
            <w:pPr>
              <w:spacing w:after="0"/>
            </w:pPr>
            <w:r/>
            <w:r>
              <w:rPr>
                <w:rFonts w:ascii="Aptos" w:hAnsi="Aptos"/>
                <w:b w:val="0"/>
                <w:sz w:val="16"/>
              </w:rPr>
              <w:t>For electronic releases, check: Complete → Legible → Authentic → Unaltered → Correct recipient → Secure destination</w:t>
            </w:r>
          </w:p>
        </w:tc>
      </w:tr>
      <w:tr>
        <w:tc>
          <w:tcPr>
            <w:tcW w:type="dxa" w:w="2376"/>
            <w:vAlign w:val="top"/>
            <w:shd w:fill="F7F9FA"/>
          </w:tcPr>
          <w:p>
            <w:pPr>
              <w:spacing w:after="0"/>
            </w:pPr>
            <w:r/>
            <w:r>
              <w:rPr>
                <w:rFonts w:ascii="Aptos" w:hAnsi="Aptos"/>
                <w:b/>
                <w:sz w:val="16"/>
              </w:rPr>
              <w:t>Broad Authorization and Sensitive Information</w:t>
            </w:r>
          </w:p>
        </w:tc>
        <w:tc>
          <w:tcPr>
            <w:tcW w:type="dxa" w:w="5256"/>
            <w:vAlign w:val="top"/>
            <w:shd w:fill="F7F9FA"/>
          </w:tcPr>
          <w:p>
            <w:pPr>
              <w:spacing w:after="0"/>
            </w:pPr>
            <w:r/>
            <w:r>
              <w:rPr>
                <w:rFonts w:ascii="Aptos" w:hAnsi="Aptos"/>
                <w:b w:val="0"/>
                <w:sz w:val="16"/>
              </w:rPr>
              <w:t>A broad authorization should not be treated as an instruction to release every sensitive detail without review. The therapist should ensure that the client understands the scope, determine whether the requested information is appropriate for the stated disability purpose, and assess whether collateral or third-party information requires protection. Separately maintained psychotherapy notes require additional analysis and generally specific authorization. The therapist should also verify the recipient, expiration, revocation status, and secure destination before releasing anything.</w:t>
            </w:r>
          </w:p>
        </w:tc>
        <w:tc>
          <w:tcPr>
            <w:tcW w:type="dxa" w:w="2520"/>
            <w:vAlign w:val="top"/>
            <w:shd w:fill="F7F9FA"/>
          </w:tcPr>
          <w:p>
            <w:pPr>
              <w:spacing w:after="0"/>
            </w:pPr>
            <w:r/>
            <w:r>
              <w:rPr>
                <w:rFonts w:ascii="Aptos" w:hAnsi="Aptos"/>
                <w:b w:val="0"/>
                <w:sz w:val="16"/>
              </w:rPr>
              <w:t>A broad release creates an outer boundary, not an automatic command to disclose every page. Ask: What does the client understand? What serves the stated purpose? Are third parties affected? Are psychotherapy notes involved? Is a narrower disclosure appropriate?</w:t>
            </w:r>
          </w:p>
        </w:tc>
      </w:tr>
      <w:tr>
        <w:tc>
          <w:tcPr>
            <w:tcW w:type="dxa" w:w="2376"/>
            <w:vAlign w:val="top"/>
          </w:tcPr>
          <w:p>
            <w:pPr>
              <w:spacing w:after="0"/>
            </w:pPr>
            <w:r/>
            <w:r>
              <w:rPr>
                <w:rFonts w:ascii="Aptos" w:hAnsi="Aptos"/>
                <w:b/>
                <w:sz w:val="16"/>
              </w:rPr>
              <w:t>Authorization for a Multi-Person Record</w:t>
            </w:r>
          </w:p>
        </w:tc>
        <w:tc>
          <w:tcPr>
            <w:tcW w:type="dxa" w:w="5256"/>
            <w:vAlign w:val="top"/>
          </w:tcPr>
          <w:p>
            <w:pPr>
              <w:spacing w:after="0"/>
            </w:pPr>
            <w:r/>
            <w:r>
              <w:rPr>
                <w:rFonts w:ascii="Aptos" w:hAnsi="Aptos"/>
                <w:b w:val="0"/>
                <w:sz w:val="16"/>
              </w:rPr>
              <w:t>The authorization may be facially complete, but one partner’s signature does not automatically authorize disclosure of every other person’s information in a multi-person record. The therapist must examine: Joint-client status How the record was maintained Policies governing separate communications Whether the signer has authority over the entire file The other partner’s confidential information Information concerning the children Whether parts of the record can be separated Whether narrower disclosure or legal consultation is appropriate A valid signature is only one part of the analysis.</w:t>
            </w:r>
          </w:p>
        </w:tc>
        <w:tc>
          <w:tcPr>
            <w:tcW w:type="dxa" w:w="2520"/>
            <w:vAlign w:val="top"/>
          </w:tcPr>
          <w:p>
            <w:pPr>
              <w:spacing w:after="0"/>
            </w:pPr>
            <w:r/>
            <w:r>
              <w:rPr>
                <w:rFonts w:ascii="Aptos" w:hAnsi="Aptos"/>
                <w:b w:val="0"/>
                <w:sz w:val="16"/>
              </w:rPr>
              <w:t>For multi-person authorizations, ask: Who signed—and whose information would leave the file? Do not confuse a valid-looking form with valid authority over everyone’s information.</w:t>
            </w:r>
          </w:p>
        </w:tc>
      </w:tr>
      <w:tr>
        <w:tc>
          <w:tcPr>
            <w:tcW w:type="dxa" w:w="2376"/>
            <w:vAlign w:val="top"/>
            <w:shd w:fill="F7F9FA"/>
          </w:tcPr>
          <w:p>
            <w:pPr>
              <w:spacing w:after="0"/>
            </w:pPr>
            <w:r/>
            <w:r>
              <w:rPr>
                <w:rFonts w:ascii="Aptos" w:hAnsi="Aptos"/>
                <w:b/>
                <w:sz w:val="16"/>
              </w:rPr>
              <w:t>Authorization vs. Informed Consent</w:t>
            </w:r>
          </w:p>
        </w:tc>
        <w:tc>
          <w:tcPr>
            <w:tcW w:type="dxa" w:w="5256"/>
            <w:vAlign w:val="top"/>
            <w:shd w:fill="F7F9FA"/>
          </w:tcPr>
          <w:p>
            <w:pPr>
              <w:spacing w:after="0"/>
            </w:pPr>
            <w:r/>
            <w:r>
              <w:rPr>
                <w:rFonts w:ascii="Aptos" w:hAnsi="Aptos"/>
                <w:b w:val="0"/>
                <w:sz w:val="16"/>
              </w:rPr>
              <w:t>Informed consent explains the nature of treatment, relevant risks and benefits, policies, fees, confidentiality limits, and client choices. It supports the client’s decision to participate in services. An authorization serves a different purpose. It permits identified information to be used or disclosed to a particular recipient for a stated purpose and period.</w:t>
            </w:r>
          </w:p>
        </w:tc>
        <w:tc>
          <w:tcPr>
            <w:tcW w:type="dxa" w:w="2520"/>
            <w:vAlign w:val="top"/>
            <w:shd w:fill="F7F9FA"/>
          </w:tcPr>
          <w:p>
            <w:pPr>
              <w:spacing w:after="0"/>
            </w:pPr>
            <w:r/>
            <w:r>
              <w:rPr>
                <w:rFonts w:ascii="Aptos" w:hAnsi="Aptos"/>
                <w:b w:val="0"/>
                <w:sz w:val="16"/>
              </w:rPr>
              <w:t>Do not confuse: Consent to treatmentwithPermission to disclose information</w:t>
            </w:r>
          </w:p>
        </w:tc>
      </w:tr>
      <w:tr>
        <w:tc>
          <w:tcPr>
            <w:tcW w:type="dxa" w:w="2376"/>
            <w:vAlign w:val="top"/>
          </w:tcPr>
          <w:p>
            <w:pPr>
              <w:spacing w:after="0"/>
            </w:pPr>
            <w:r/>
            <w:r>
              <w:rPr>
                <w:rFonts w:ascii="Aptos" w:hAnsi="Aptos"/>
                <w:b/>
                <w:sz w:val="16"/>
              </w:rPr>
              <w:t>Attorney Requests</w:t>
            </w:r>
          </w:p>
        </w:tc>
        <w:tc>
          <w:tcPr>
            <w:tcW w:type="dxa" w:w="5256"/>
            <w:vAlign w:val="top"/>
          </w:tcPr>
          <w:p>
            <w:pPr>
              <w:spacing w:after="0"/>
            </w:pPr>
            <w:r/>
            <w:r>
              <w:rPr>
                <w:rFonts w:ascii="Aptos" w:hAnsi="Aptos"/>
                <w:b w:val="0"/>
                <w:sz w:val="16"/>
              </w:rPr>
              <w:t>An attorney’s letter is a request, not automatic authority to receive confidential information. The therapist should determine whether the client has provided a valid authorization or whether some other lawful process supports disclosure. The therapist must identify what legal document actually exists before deciding how to respond.</w:t>
            </w:r>
          </w:p>
        </w:tc>
        <w:tc>
          <w:tcPr>
            <w:tcW w:type="dxa" w:w="2520"/>
            <w:vAlign w:val="top"/>
          </w:tcPr>
          <w:p>
            <w:pPr>
              <w:spacing w:after="0"/>
            </w:pPr>
            <w:r/>
            <w:r>
              <w:rPr>
                <w:rFonts w:ascii="Aptos" w:hAnsi="Aptos"/>
                <w:b w:val="0"/>
                <w:sz w:val="16"/>
              </w:rPr>
              <w:t>Sort the document before acting: Attorney letter → request only Authorization → verify scope Subpoena → separate legal analysis Court order → review exact direction</w:t>
            </w:r>
          </w:p>
        </w:tc>
      </w:tr>
      <w:tr>
        <w:tc>
          <w:tcPr>
            <w:tcW w:type="dxa" w:w="2376"/>
            <w:vAlign w:val="top"/>
            <w:shd w:fill="F7F9FA"/>
          </w:tcPr>
          <w:p>
            <w:pPr>
              <w:spacing w:after="0"/>
            </w:pPr>
            <w:r/>
            <w:r>
              <w:rPr>
                <w:rFonts w:ascii="Aptos" w:hAnsi="Aptos"/>
                <w:b/>
                <w:sz w:val="16"/>
              </w:rPr>
              <w:t>Professional Requesters</w:t>
            </w:r>
          </w:p>
        </w:tc>
        <w:tc>
          <w:tcPr>
            <w:tcW w:type="dxa" w:w="5256"/>
            <w:vAlign w:val="top"/>
            <w:shd w:fill="F7F9FA"/>
          </w:tcPr>
          <w:p>
            <w:pPr>
              <w:spacing w:after="0"/>
            </w:pPr>
            <w:r/>
            <w:r>
              <w:rPr>
                <w:rFonts w:ascii="Aptos" w:hAnsi="Aptos"/>
                <w:b w:val="0"/>
                <w:sz w:val="16"/>
              </w:rPr>
              <w:t>Another provider’s involvement does not automatically create unrestricted access to the client’s entire record. The therapist should determine whether authorization is required, whether another legal basis applies, what information is clinically relevant, and whether specially protected material is involved. Care coordination may support disclosure in some circumstances, but it does not automatically justify sending the complete file.</w:t>
            </w:r>
          </w:p>
        </w:tc>
        <w:tc>
          <w:tcPr>
            <w:tcW w:type="dxa" w:w="2520"/>
            <w:vAlign w:val="top"/>
            <w:shd w:fill="F7F9FA"/>
          </w:tcPr>
          <w:p>
            <w:pPr>
              <w:spacing w:after="0"/>
            </w:pPr>
            <w:r/>
            <w:r>
              <w:rPr>
                <w:rFonts w:ascii="Aptos" w:hAnsi="Aptos"/>
                <w:b w:val="0"/>
                <w:sz w:val="16"/>
              </w:rPr>
              <w:t>Professional requester does not mean automatic access. Ask: What authority applies, and what information is actually needed?</w:t>
            </w:r>
          </w:p>
        </w:tc>
      </w:tr>
      <w:tr>
        <w:tc>
          <w:tcPr>
            <w:tcW w:type="dxa" w:w="2376"/>
            <w:vAlign w:val="top"/>
          </w:tcPr>
          <w:p>
            <w:pPr>
              <w:spacing w:after="0"/>
            </w:pPr>
            <w:r/>
            <w:r>
              <w:rPr>
                <w:rFonts w:ascii="Aptos" w:hAnsi="Aptos"/>
                <w:b/>
                <w:sz w:val="16"/>
              </w:rPr>
              <w:t>Verifying the Destination</w:t>
            </w:r>
          </w:p>
        </w:tc>
        <w:tc>
          <w:tcPr>
            <w:tcW w:type="dxa" w:w="5256"/>
            <w:vAlign w:val="top"/>
          </w:tcPr>
          <w:p>
            <w:pPr>
              <w:spacing w:after="0"/>
            </w:pPr>
            <w:r/>
            <w:r>
              <w:rPr>
                <w:rFonts w:ascii="Aptos" w:hAnsi="Aptos"/>
                <w:b w:val="0"/>
                <w:sz w:val="16"/>
              </w:rPr>
              <w:t>A valid authorization does not prevent a confidentiality breach caused by sending information to the wrong destination. The therapist should verify the recipient and delivery information before transmitting records. The therapist should also confirm that the correct client document is attached, use an appropriate secure method, and document the disclosure.</w:t>
            </w:r>
          </w:p>
        </w:tc>
        <w:tc>
          <w:tcPr>
            <w:tcW w:type="dxa" w:w="2520"/>
            <w:vAlign w:val="top"/>
          </w:tcPr>
          <w:p>
            <w:pPr>
              <w:spacing w:after="0"/>
            </w:pPr>
            <w:r/>
            <w:r>
              <w:rPr>
                <w:rFonts w:ascii="Aptos" w:hAnsi="Aptos"/>
                <w:b w:val="0"/>
                <w:sz w:val="16"/>
              </w:rPr>
              <w:t>Before sending, verify: Recipient → Address → Attachment → Secure method</w:t>
            </w:r>
          </w:p>
        </w:tc>
      </w:tr>
      <w:tr>
        <w:tc>
          <w:tcPr>
            <w:tcW w:type="dxa" w:w="2376"/>
            <w:vAlign w:val="top"/>
            <w:shd w:fill="F7F9FA"/>
          </w:tcPr>
          <w:p>
            <w:pPr>
              <w:spacing w:after="0"/>
            </w:pPr>
            <w:r/>
            <w:r>
              <w:rPr>
                <w:rFonts w:ascii="Aptos" w:hAnsi="Aptos"/>
                <w:b/>
                <w:sz w:val="16"/>
              </w:rPr>
              <w:t>Purpose Mismatch</w:t>
            </w:r>
          </w:p>
        </w:tc>
        <w:tc>
          <w:tcPr>
            <w:tcW w:type="dxa" w:w="5256"/>
            <w:vAlign w:val="top"/>
            <w:shd w:fill="F7F9FA"/>
          </w:tcPr>
          <w:p>
            <w:pPr>
              <w:spacing w:after="0"/>
            </w:pPr>
            <w:r/>
            <w:r>
              <w:rPr>
                <w:rFonts w:ascii="Aptos" w:hAnsi="Aptos"/>
                <w:b w:val="0"/>
                <w:sz w:val="16"/>
              </w:rPr>
              <w:t>A valid authorization is limited not only by the recipient and information described but also by its stated purpose. Permission to use records for workplace accommodation may not authorize their use in unrelated custody litigation. The therapist should review the exact language, clarify the client’s intent, and obtain a new or revised authorization when the new use falls outside the original scope.</w:t>
            </w:r>
          </w:p>
        </w:tc>
        <w:tc>
          <w:tcPr>
            <w:tcW w:type="dxa" w:w="2520"/>
            <w:vAlign w:val="top"/>
            <w:shd w:fill="F7F9FA"/>
          </w:tcPr>
          <w:p>
            <w:pPr>
              <w:spacing w:after="0"/>
            </w:pPr>
            <w:r/>
            <w:r>
              <w:rPr>
                <w:rFonts w:ascii="Aptos" w:hAnsi="Aptos"/>
                <w:b w:val="0"/>
                <w:sz w:val="16"/>
              </w:rPr>
              <w:t>Match all four: Recipient + Information + Purpose + Time period A match in only one or two areas is not enough.</w:t>
            </w:r>
          </w:p>
        </w:tc>
      </w:tr>
      <w:tr>
        <w:tc>
          <w:tcPr>
            <w:tcW w:type="dxa" w:w="2376"/>
            <w:vAlign w:val="top"/>
          </w:tcPr>
          <w:p>
            <w:pPr>
              <w:spacing w:after="0"/>
            </w:pPr>
            <w:r/>
            <w:r>
              <w:rPr>
                <w:rFonts w:ascii="Aptos" w:hAnsi="Aptos"/>
                <w:b/>
                <w:sz w:val="16"/>
              </w:rPr>
              <w:t>Employer Requests and Professional Role</w:t>
            </w:r>
          </w:p>
        </w:tc>
        <w:tc>
          <w:tcPr>
            <w:tcW w:type="dxa" w:w="5256"/>
            <w:vAlign w:val="top"/>
          </w:tcPr>
          <w:p>
            <w:pPr>
              <w:spacing w:after="0"/>
            </w:pPr>
            <w:r/>
            <w:r>
              <w:rPr>
                <w:rFonts w:ascii="Aptos" w:hAnsi="Aptos"/>
                <w:b w:val="0"/>
                <w:sz w:val="16"/>
              </w:rPr>
              <w:t>An authorization permits disclosure but does not require the therapist to provide opinions beyond the therapist’s role, competence, or available clinical basis. A treating therapist may not be positioned to make a comprehensive occupational fitness determination. The therapist should clarify what limited information was authorized, explain the limits of the treating role, and avoid unsupported conclusions. A separate qualified evaluator may be needed for a formal fitness-for-duty opinion.</w:t>
            </w:r>
          </w:p>
        </w:tc>
        <w:tc>
          <w:tcPr>
            <w:tcW w:type="dxa" w:w="2520"/>
            <w:vAlign w:val="top"/>
          </w:tcPr>
          <w:p>
            <w:pPr>
              <w:spacing w:after="0"/>
            </w:pPr>
            <w:r/>
            <w:r>
              <w:rPr>
                <w:rFonts w:ascii="Aptos" w:hAnsi="Aptos"/>
                <w:b w:val="0"/>
                <w:sz w:val="16"/>
              </w:rPr>
              <w:t>A release answers: “May information be disclosed?” It does not automatically answer: “Is the therapist qualified to give the requested opinion?”</w:t>
            </w:r>
          </w:p>
        </w:tc>
      </w:tr>
      <w:tr>
        <w:tc>
          <w:tcPr>
            <w:tcW w:type="dxa" w:w="2376"/>
            <w:vAlign w:val="top"/>
            <w:shd w:fill="F7F9FA"/>
          </w:tcPr>
          <w:p>
            <w:pPr>
              <w:spacing w:after="0"/>
            </w:pPr>
            <w:r/>
            <w:r>
              <w:rPr>
                <w:rFonts w:ascii="Aptos" w:hAnsi="Aptos"/>
                <w:b/>
                <w:sz w:val="16"/>
              </w:rPr>
              <w:t>Release-of-Information Analysis</w:t>
            </w:r>
          </w:p>
        </w:tc>
        <w:tc>
          <w:tcPr>
            <w:tcW w:type="dxa" w:w="5256"/>
            <w:vAlign w:val="top"/>
            <w:shd w:fill="F7F9FA"/>
          </w:tcPr>
          <w:p>
            <w:pPr>
              <w:spacing w:after="0"/>
            </w:pPr>
            <w:r/>
            <w:r>
              <w:rPr>
                <w:rFonts w:ascii="Aptos" w:hAnsi="Aptos"/>
                <w:b w:val="0"/>
                <w:sz w:val="16"/>
              </w:rPr>
              <w:t>The authorization cannot support the requested disclosure for several independent reasons: It has expired. It covered only attendance dates and a progress summary. It was signed by only one joint client. The requested file contains information about the other partner. It did not specifically address separately maintained psychotherapy notes. The therapist should not disclose based on the old form. The therapist must determine what current authorization or legal authority exists, examine whether both partners’ interests are affected, and separately evaluate the request for psychotherapy notes.</w:t>
            </w:r>
          </w:p>
        </w:tc>
        <w:tc>
          <w:tcPr>
            <w:tcW w:type="dxa" w:w="2520"/>
            <w:vAlign w:val="top"/>
            <w:shd w:fill="F7F9FA"/>
          </w:tcPr>
          <w:p>
            <w:pPr>
              <w:spacing w:after="0"/>
            </w:pPr>
            <w:r/>
            <w:r>
              <w:rPr>
                <w:rFonts w:ascii="Aptos" w:hAnsi="Aptos"/>
                <w:b w:val="0"/>
                <w:sz w:val="16"/>
              </w:rPr>
              <w:t>For complex release questions, use this sequence: Identify the requester. Identify whose information is involved. Verify the signer’s authority. Check every authorization element. Check expiration and revocation. Match recipient, information, purpose, and time. Identify special or multi-person records. Verify the destination. Release only what is lawfully permitted. Document the response.</w:t>
            </w:r>
          </w:p>
        </w:tc>
      </w:tr>
    </w:tbl>
    <w:p>
      <w:pPr>
        <w:pStyle w:val="Heading2"/>
      </w:pPr>
      <w:r>
        <w:t>Exam Reasoning Checklist</w:t>
      </w:r>
    </w:p>
    <w:p>
      <w:pPr>
        <w:pStyle w:val="ListBullet"/>
        <w:spacing w:after="30"/>
      </w:pPr>
      <w:r>
        <w:t>Think: Authorization = specific permission, not unlimited access.</w:t>
      </w:r>
    </w:p>
    <w:p>
      <w:pPr>
        <w:pStyle w:val="ListBullet"/>
        <w:spacing w:after="30"/>
      </w:pPr>
      <w:r>
        <w:t>When a question says, “The client signed the release,” keep reading. Check: Recipient Information Purpose Expiration Signer’s authority Revocation status</w:t>
      </w:r>
    </w:p>
    <w:p>
      <w:pPr>
        <w:pStyle w:val="ListBullet"/>
        <w:spacing w:after="30"/>
      </w:pPr>
      <w:r>
        <w:t>Use the scope-matching test: Information authorized = information released Do not expand the release merely because the requester asks for more.</w:t>
      </w:r>
    </w:p>
    <w:p>
      <w:pPr>
        <w:pStyle w:val="ListBullet"/>
        <w:spacing w:after="30"/>
      </w:pPr>
      <w:r>
        <w:t>Do not assume automatic authority based on titles such as: Parent Spouse Adult child Caregiver Close relative Look for verified personal-representative authority.</w:t>
      </w:r>
    </w:p>
    <w:p>
      <w:pPr>
        <w:pStyle w:val="ListBullet"/>
        <w:spacing w:after="30"/>
      </w:pPr>
      <w:r>
        <w:t>Pay close attention to dates hidden in the stem. Previously authorized does not mean currently authorized.</w:t>
      </w:r>
    </w:p>
    <w:p>
      <w:pPr>
        <w:pStyle w:val="ListBullet"/>
        <w:spacing w:after="30"/>
      </w:pPr>
      <w:r>
        <w:t>Remember the distinction: Expiration: Permission ends according to a date or event. Revocation: The client actively withdraws permission. Both generally stop future reliance.</w:t>
      </w:r>
    </w:p>
    <w:p>
      <w:pPr>
        <w:pStyle w:val="ListBullet"/>
        <w:spacing w:after="30"/>
      </w:pPr>
      <w:r>
        <w:t>For electronic releases, check: Complete → Legible → Authentic → Unaltered → Correct recipient → Secure destination</w:t>
      </w:r>
    </w:p>
    <w:p>
      <w:pPr>
        <w:pStyle w:val="ListBullet"/>
        <w:spacing w:after="30"/>
      </w:pPr>
      <w:r>
        <w:t>A broad release creates an outer boundary, not an automatic command to disclose every page. Ask: What does the client understand? What serves the stated purpose? Are third parties affected? Are psychotherapy notes involved? Is a narrower disclosure appropriate?</w:t>
      </w:r>
    </w:p>
    <w:p>
      <w:pPr>
        <w:pStyle w:val="Heading2"/>
      </w:pPr>
      <w:r>
        <w:t>Chapter Rapid Review</w:t>
      </w:r>
    </w:p>
    <w:p>
      <w:r>
        <w:rPr>
          <w:b/>
        </w:rPr>
        <w:t xml:space="preserve">Know these concepts: </w:t>
      </w:r>
      <w:r>
        <w:t>Purpose of an Authorization; Valid Authorization Elements; Scope of Authorized Disclosure; Signer Authority; Expired Authorization; Revocation; Electronic and Copied Authorizations; Broad Authorization and Sensitive Information; Authorization for a Multi-Person Record; Authorization vs. Informed Consent; Attorney Requests; Professional Requesters; Verifying the Destination; Purpose Mismatch; Employer Requests and Professional Role; Release-of-Information Analysis</w:t>
      </w:r>
    </w:p>
    <w:p>
      <w:r>
        <w:br w:type="page"/>
      </w:r>
    </w:p>
    <w:p>
      <w:pPr>
        <w:pStyle w:val="Heading2"/>
      </w:pPr>
      <w:r>
        <w:t>Chapter 3</w:t>
      </w:r>
    </w:p>
    <w:p>
      <w:pPr>
        <w:pStyle w:val="Heading1"/>
      </w:pPr>
      <w:r>
        <w:t>Privacy, Protected Health Information, and HIPAA</w:t>
      </w:r>
    </w:p>
    <w:tbl>
      <w:tblPr>
        <w:tblStyle w:val="TableGrid"/>
        <w:tblW w:type="auto" w:w="0"/>
        <w:jc w:val="center"/>
        <w:tblLook w:firstColumn="1" w:firstRow="1" w:lastColumn="0" w:lastRow="0" w:noHBand="0" w:noVBand="1" w:val="04A0"/>
      </w:tblPr>
      <w:tblGrid>
        <w:gridCol w:w="10368"/>
      </w:tblGrid>
      <w:tr>
        <w:tc>
          <w:tcPr>
            <w:tcW w:type="dxa" w:w="10368"/>
            <w:shd w:fill="E9F7F6"/>
            <w:vAlign w:val="top"/>
          </w:tcPr>
          <w:p>
            <w:pPr>
              <w:spacing w:after="0"/>
            </w:pPr>
            <w:r/>
            <w:r>
              <w:rPr>
                <w:rFonts w:ascii="Aptos" w:hAnsi="Aptos"/>
                <w:b/>
                <w:sz w:val="18"/>
              </w:rPr>
              <w:t>BIG IDEA | Psychotherapy notes are narrowly defined notes documenting or analyzing counseling-session conversations that are maintained separately from the general clinical record. Their separate content and storage give them special protection under HIPAA. Privacy concerns the client’s interest in controlling access to personal information. Confidentiality concerns the therapist’s duty to protect information learned through the professional relationship. Information security refers to the administrative, physical, and technical safeguards used to prevent unauthorized access, loss, alteration, or disclosure.</w:t>
            </w:r>
          </w:p>
        </w:tc>
      </w:tr>
    </w:tbl>
    <w:p>
      <w:pPr>
        <w:pStyle w:val="Heading2"/>
      </w:pPr>
      <w:r>
        <w:t>What to Learn</w:t>
      </w:r>
    </w:p>
    <w:p>
      <w:pPr>
        <w:pStyle w:val="ListBullet"/>
        <w:spacing w:after="30"/>
      </w:pPr>
      <w:r>
        <w:t>Explain and apply Psychotherapy Notes.</w:t>
      </w:r>
    </w:p>
    <w:p>
      <w:pPr>
        <w:pStyle w:val="ListBullet"/>
        <w:spacing w:after="30"/>
      </w:pPr>
      <w:r>
        <w:t>Explain and apply Privacy vs. Confidentiality vs. Security.</w:t>
      </w:r>
    </w:p>
    <w:p>
      <w:pPr>
        <w:pStyle w:val="ListBullet"/>
        <w:spacing w:after="30"/>
      </w:pPr>
      <w:r>
        <w:t>Explain and apply Identifiable Health Information.</w:t>
      </w:r>
    </w:p>
    <w:p>
      <w:pPr>
        <w:pStyle w:val="ListBullet"/>
        <w:spacing w:after="30"/>
      </w:pPr>
      <w:r>
        <w:t>Explain and apply HIPAA Applicability.</w:t>
      </w:r>
    </w:p>
    <w:p>
      <w:pPr>
        <w:pStyle w:val="ListBullet"/>
        <w:spacing w:after="30"/>
      </w:pPr>
      <w:r>
        <w:t>Explain and apply Business Associates and BAAs.</w:t>
      </w:r>
    </w:p>
    <w:p>
      <w:pPr>
        <w:pStyle w:val="ListBullet"/>
        <w:spacing w:after="30"/>
      </w:pPr>
      <w:r>
        <w:t>Explain and apply HIPAA Security Rule.</w:t>
      </w:r>
    </w:p>
    <w:p>
      <w:pPr>
        <w:pStyle w:val="ListBullet"/>
        <w:spacing w:after="30"/>
      </w:pPr>
      <w:r>
        <w:t>Explain and apply Minimum Necessary.</w:t>
      </w:r>
    </w:p>
    <w:p>
      <w:pPr>
        <w:pStyle w:val="Heading2"/>
      </w:pPr>
      <w:r>
        <w:t>Core Study Rules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376"/>
            <w:vAlign w:val="top"/>
            <w:shd w:fill="17365D"/>
          </w:tcPr>
          <w:p>
            <w:pPr>
              <w:spacing w:after="0"/>
            </w:pPr>
            <w:r/>
            <w:r>
              <w:rPr>
                <w:rFonts w:ascii="Aptos" w:hAnsi="Aptos"/>
                <w:b/>
                <w:color w:val="FFFFFF"/>
                <w:sz w:val="17"/>
              </w:rPr>
              <w:t>Concept</w:t>
            </w:r>
          </w:p>
        </w:tc>
        <w:tc>
          <w:tcPr>
            <w:tcW w:type="dxa" w:w="5256"/>
            <w:vAlign w:val="top"/>
            <w:shd w:fill="17365D"/>
          </w:tcPr>
          <w:p>
            <w:pPr>
              <w:spacing w:after="0"/>
            </w:pPr>
            <w:r/>
            <w:r>
              <w:rPr>
                <w:rFonts w:ascii="Aptos" w:hAnsi="Aptos"/>
                <w:b/>
                <w:color w:val="FFFFFF"/>
                <w:sz w:val="17"/>
              </w:rPr>
              <w:t>Controlling Study Rule</w:t>
            </w:r>
          </w:p>
        </w:tc>
        <w:tc>
          <w:tcPr>
            <w:tcW w:type="dxa" w:w="2520"/>
            <w:vAlign w:val="top"/>
            <w:shd w:fill="17365D"/>
          </w:tcPr>
          <w:p>
            <w:pPr>
              <w:spacing w:after="0"/>
            </w:pPr>
            <w:r/>
            <w:r>
              <w:rPr>
                <w:rFonts w:ascii="Aptos" w:hAnsi="Aptos"/>
                <w:b/>
                <w:color w:val="FFFFFF"/>
                <w:sz w:val="17"/>
              </w:rPr>
              <w:t>Memory Cue</w:t>
            </w:r>
          </w:p>
        </w:tc>
      </w:tr>
      <w:tr>
        <w:tc>
          <w:tcPr>
            <w:tcW w:type="dxa" w:w="2376"/>
            <w:vAlign w:val="top"/>
          </w:tcPr>
          <w:p>
            <w:pPr>
              <w:spacing w:after="0"/>
            </w:pPr>
            <w:r/>
            <w:r>
              <w:rPr>
                <w:rFonts w:ascii="Aptos" w:hAnsi="Aptos"/>
                <w:b/>
                <w:sz w:val="16"/>
              </w:rPr>
              <w:t>Psychotherapy Notes</w:t>
            </w:r>
          </w:p>
        </w:tc>
        <w:tc>
          <w:tcPr>
            <w:tcW w:type="dxa" w:w="5256"/>
            <w:vAlign w:val="top"/>
          </w:tcPr>
          <w:p>
            <w:pPr>
              <w:spacing w:after="0"/>
            </w:pPr>
            <w:r/>
            <w:r>
              <w:rPr>
                <w:rFonts w:ascii="Aptos" w:hAnsi="Aptos"/>
                <w:b w:val="0"/>
                <w:sz w:val="16"/>
              </w:rPr>
              <w:t>Psychotherapy notes are narrowly defined notes documenting or analyzing counseling-session conversations that are maintained separately from the general clinical record. Their separate content and storage give them special protection under HIPAA.</w:t>
            </w:r>
          </w:p>
        </w:tc>
        <w:tc>
          <w:tcPr>
            <w:tcW w:type="dxa" w:w="2520"/>
            <w:vAlign w:val="top"/>
          </w:tcPr>
          <w:p>
            <w:pPr>
              <w:spacing w:after="0"/>
            </w:pPr>
            <w:r/>
            <w:r>
              <w:rPr>
                <w:rFonts w:ascii="Aptos" w:hAnsi="Aptos"/>
                <w:b w:val="0"/>
                <w:sz w:val="16"/>
              </w:rPr>
              <w:t>Use the clue: Separate storage + session analysis</w:t>
            </w:r>
          </w:p>
        </w:tc>
      </w:tr>
      <w:tr>
        <w:tc>
          <w:tcPr>
            <w:tcW w:type="dxa" w:w="2376"/>
            <w:vAlign w:val="top"/>
            <w:shd w:fill="F7F9FA"/>
          </w:tcPr>
          <w:p>
            <w:pPr>
              <w:spacing w:after="0"/>
            </w:pPr>
            <w:r/>
            <w:r>
              <w:rPr>
                <w:rFonts w:ascii="Aptos" w:hAnsi="Aptos"/>
                <w:b/>
                <w:sz w:val="16"/>
              </w:rPr>
              <w:t>Privacy vs. Confidentiality vs. Security</w:t>
            </w:r>
          </w:p>
        </w:tc>
        <w:tc>
          <w:tcPr>
            <w:tcW w:type="dxa" w:w="5256"/>
            <w:vAlign w:val="top"/>
            <w:shd w:fill="F7F9FA"/>
          </w:tcPr>
          <w:p>
            <w:pPr>
              <w:spacing w:after="0"/>
            </w:pPr>
            <w:r/>
            <w:r>
              <w:rPr>
                <w:rFonts w:ascii="Aptos" w:hAnsi="Aptos"/>
                <w:b w:val="0"/>
                <w:sz w:val="16"/>
              </w:rPr>
              <w:t>Privacy concerns the client’s interest in controlling access to personal information. Confidentiality concerns the therapist’s duty to protect information learned through the professional relationship. Information security refers to the administrative, physical, and technical safeguards used to prevent unauthorized access, loss, alteration, or disclosure.</w:t>
            </w:r>
          </w:p>
        </w:tc>
        <w:tc>
          <w:tcPr>
            <w:tcW w:type="dxa" w:w="2520"/>
            <w:vAlign w:val="top"/>
            <w:shd w:fill="F7F9FA"/>
          </w:tcPr>
          <w:p>
            <w:pPr>
              <w:spacing w:after="0"/>
            </w:pPr>
            <w:r/>
            <w:r>
              <w:rPr>
                <w:rFonts w:ascii="Aptos" w:hAnsi="Aptos"/>
                <w:b w:val="0"/>
                <w:sz w:val="16"/>
              </w:rPr>
              <w:t>Use the three-question formula: Privacy: Who should have access? Confidentiality: What may the therapist reveal? Security: How is the information protected?</w:t>
            </w:r>
          </w:p>
        </w:tc>
      </w:tr>
      <w:tr>
        <w:tc>
          <w:tcPr>
            <w:tcW w:type="dxa" w:w="2376"/>
            <w:vAlign w:val="top"/>
          </w:tcPr>
          <w:p>
            <w:pPr>
              <w:spacing w:after="0"/>
            </w:pPr>
            <w:r/>
            <w:r>
              <w:rPr>
                <w:rFonts w:ascii="Aptos" w:hAnsi="Aptos"/>
                <w:b/>
                <w:sz w:val="16"/>
              </w:rPr>
              <w:t>Identifiable Health Information</w:t>
            </w:r>
          </w:p>
        </w:tc>
        <w:tc>
          <w:tcPr>
            <w:tcW w:type="dxa" w:w="5256"/>
            <w:vAlign w:val="top"/>
          </w:tcPr>
          <w:p>
            <w:pPr>
              <w:spacing w:after="0"/>
            </w:pPr>
            <w:r/>
            <w:r>
              <w:rPr>
                <w:rFonts w:ascii="Aptos" w:hAnsi="Aptos"/>
                <w:b w:val="0"/>
                <w:sz w:val="16"/>
              </w:rPr>
              <w:t>Protected health information is not limited to diagnoses, symptoms, or progress notes. A client’s name combined with appointment information and the identity of a health-care provider may reveal that the person is receiving services. The therapist should treat the incident as a possible unauthorized exposure and promptly begin the appropriate containment and assessment process.</w:t>
            </w:r>
          </w:p>
        </w:tc>
        <w:tc>
          <w:tcPr>
            <w:tcW w:type="dxa" w:w="2520"/>
            <w:vAlign w:val="top"/>
          </w:tcPr>
          <w:p>
            <w:pPr>
              <w:spacing w:after="0"/>
            </w:pPr>
            <w:r/>
            <w:r>
              <w:rPr>
                <w:rFonts w:ascii="Aptos" w:hAnsi="Aptos"/>
                <w:b w:val="0"/>
                <w:sz w:val="16"/>
              </w:rPr>
              <w:t>Remember: No diagnosis does not mean no protected information. Names, appointments, billing details, insurance information, and treatment participation may all reveal a health-care relationship.</w:t>
            </w:r>
          </w:p>
        </w:tc>
      </w:tr>
      <w:tr>
        <w:tc>
          <w:tcPr>
            <w:tcW w:type="dxa" w:w="2376"/>
            <w:vAlign w:val="top"/>
            <w:shd w:fill="F7F9FA"/>
          </w:tcPr>
          <w:p>
            <w:pPr>
              <w:spacing w:after="0"/>
            </w:pPr>
            <w:r/>
            <w:r>
              <w:rPr>
                <w:rFonts w:ascii="Aptos" w:hAnsi="Aptos"/>
                <w:b/>
                <w:sz w:val="16"/>
              </w:rPr>
              <w:t>HIPAA Applicability</w:t>
            </w:r>
          </w:p>
        </w:tc>
        <w:tc>
          <w:tcPr>
            <w:tcW w:type="dxa" w:w="5256"/>
            <w:vAlign w:val="top"/>
            <w:shd w:fill="F7F9FA"/>
          </w:tcPr>
          <w:p>
            <w:pPr>
              <w:spacing w:after="0"/>
            </w:pPr>
            <w:r/>
            <w:r>
              <w:rPr>
                <w:rFonts w:ascii="Aptos" w:hAnsi="Aptos"/>
                <w:b w:val="0"/>
                <w:sz w:val="16"/>
              </w:rPr>
              <w:t>HIPAA is not the source of every confidentiality obligation. A therapist who is not a HIPAA-covered entity may still be governed by California confidentiality and privacy laws, professional ethical standards, contractual duties, agency policies, and other specialized rules. The absence of HIPAA coverage does not make treatment information public or remove the therapist’s obligation to protect it.</w:t>
            </w:r>
          </w:p>
        </w:tc>
        <w:tc>
          <w:tcPr>
            <w:tcW w:type="dxa" w:w="2520"/>
            <w:vAlign w:val="top"/>
            <w:shd w:fill="F7F9FA"/>
          </w:tcPr>
          <w:p>
            <w:pPr>
              <w:spacing w:after="0"/>
            </w:pPr>
            <w:r/>
            <w:r>
              <w:rPr>
                <w:rFonts w:ascii="Aptos" w:hAnsi="Aptos"/>
                <w:b w:val="0"/>
                <w:sz w:val="16"/>
              </w:rPr>
              <w:t>Avoid this exam trap: “HIPAA does not apply, so confidentiality does not apply.” The correct sequence is: Determine whether HIPAA applies. Identify applicable California law. Consider ethical and contractual duties. Apply the most protective controlling requirement.</w:t>
            </w:r>
          </w:p>
        </w:tc>
      </w:tr>
      <w:tr>
        <w:tc>
          <w:tcPr>
            <w:tcW w:type="dxa" w:w="2376"/>
            <w:vAlign w:val="top"/>
          </w:tcPr>
          <w:p>
            <w:pPr>
              <w:spacing w:after="0"/>
            </w:pPr>
            <w:r/>
            <w:r>
              <w:rPr>
                <w:rFonts w:ascii="Aptos" w:hAnsi="Aptos"/>
                <w:b/>
                <w:sz w:val="16"/>
              </w:rPr>
              <w:t>Business Associates and BAAs</w:t>
            </w:r>
          </w:p>
        </w:tc>
        <w:tc>
          <w:tcPr>
            <w:tcW w:type="dxa" w:w="5256"/>
            <w:vAlign w:val="top"/>
          </w:tcPr>
          <w:p>
            <w:pPr>
              <w:spacing w:after="0"/>
            </w:pPr>
            <w:r/>
            <w:r>
              <w:rPr>
                <w:rFonts w:ascii="Aptos" w:hAnsi="Aptos"/>
                <w:b w:val="0"/>
                <w:sz w:val="16"/>
              </w:rPr>
              <w:t>A company that maintains electronic protected health information for a HIPAA-covered practice may qualify as a business associate. The practice should determine whether a Business Associate Agreement is required and evaluate the vendor’s safeguards, access practices, subcontractors, incident-reporting procedures, and data handling after the contract ends. A BAA generally identifies permitted uses and disclosures, required safeguards, reporting obligations, and responsibilities for protecting PHI.</w:t>
            </w:r>
          </w:p>
        </w:tc>
        <w:tc>
          <w:tcPr>
            <w:tcW w:type="dxa" w:w="2520"/>
            <w:vAlign w:val="top"/>
          </w:tcPr>
          <w:p>
            <w:pPr>
              <w:spacing w:after="0"/>
            </w:pPr>
            <w:r/>
            <w:r>
              <w:rPr>
                <w:rFonts w:ascii="Aptos" w:hAnsi="Aptos"/>
                <w:b w:val="0"/>
                <w:sz w:val="16"/>
              </w:rPr>
              <w:t>When a vendor handles client information, ask: Does the vendor create, receive, maintain, or transmit PHI? That question often triggers the business-associate and BAA analysis.</w:t>
            </w:r>
          </w:p>
        </w:tc>
      </w:tr>
      <w:tr>
        <w:tc>
          <w:tcPr>
            <w:tcW w:type="dxa" w:w="2376"/>
            <w:vAlign w:val="top"/>
            <w:shd w:fill="F7F9FA"/>
          </w:tcPr>
          <w:p>
            <w:pPr>
              <w:spacing w:after="0"/>
            </w:pPr>
            <w:r/>
            <w:r>
              <w:rPr>
                <w:rFonts w:ascii="Aptos" w:hAnsi="Aptos"/>
                <w:b/>
                <w:sz w:val="16"/>
              </w:rPr>
              <w:t>HIPAA Security Rule</w:t>
            </w:r>
          </w:p>
        </w:tc>
        <w:tc>
          <w:tcPr>
            <w:tcW w:type="dxa" w:w="5256"/>
            <w:vAlign w:val="top"/>
            <w:shd w:fill="F7F9FA"/>
          </w:tcPr>
          <w:p>
            <w:pPr>
              <w:spacing w:after="0"/>
            </w:pPr>
            <w:r/>
            <w:r>
              <w:rPr>
                <w:rFonts w:ascii="Aptos" w:hAnsi="Aptos"/>
                <w:b w:val="0"/>
                <w:sz w:val="16"/>
              </w:rPr>
              <w:t>The Security Rule applies to electronic protected health information. It requires covered entities and applicable business associates to use reasonable and appropriate safeguards addressing the confidentiality, integrity, and availability of ePHI. Examples include staff training, access controls, device protections, passwords, encryption, secure backups, risk analysis, and incident-response procedures.</w:t>
            </w:r>
          </w:p>
        </w:tc>
        <w:tc>
          <w:tcPr>
            <w:tcW w:type="dxa" w:w="2520"/>
            <w:vAlign w:val="top"/>
            <w:shd w:fill="F7F9FA"/>
          </w:tcPr>
          <w:p>
            <w:pPr>
              <w:spacing w:after="0"/>
            </w:pPr>
            <w:r/>
            <w:r>
              <w:rPr>
                <w:rFonts w:ascii="Aptos" w:hAnsi="Aptos"/>
                <w:b w:val="0"/>
                <w:sz w:val="16"/>
              </w:rPr>
              <w:t>Remember the three security goals: Confidentiality: No unauthorized access Integrity: No improper alteration or destruction Availability: Authorized users can access information when needed</w:t>
            </w:r>
          </w:p>
        </w:tc>
      </w:tr>
      <w:tr>
        <w:tc>
          <w:tcPr>
            <w:tcW w:type="dxa" w:w="2376"/>
            <w:vAlign w:val="top"/>
          </w:tcPr>
          <w:p>
            <w:pPr>
              <w:spacing w:after="0"/>
            </w:pPr>
            <w:r/>
            <w:r>
              <w:rPr>
                <w:rFonts w:ascii="Aptos" w:hAnsi="Aptos"/>
                <w:b/>
                <w:sz w:val="16"/>
              </w:rPr>
              <w:t>Minimum Necessary</w:t>
            </w:r>
          </w:p>
        </w:tc>
        <w:tc>
          <w:tcPr>
            <w:tcW w:type="dxa" w:w="5256"/>
            <w:vAlign w:val="top"/>
          </w:tcPr>
          <w:p>
            <w:pPr>
              <w:spacing w:after="0"/>
            </w:pPr>
            <w:r/>
            <w:r>
              <w:rPr>
                <w:rFonts w:ascii="Aptos" w:hAnsi="Aptos"/>
                <w:b w:val="0"/>
                <w:sz w:val="16"/>
              </w:rPr>
              <w:t>The minimum necessary standard does not operate identically in every disclosure context. When disclosure is made under a valid authorization, the therapist should follow the actual scope of that authorization. Here, the client authorized a specified progress summary. The therapist should disclose that summary—not less merely because of minimum necessary and not more merely because a signature exists.</w:t>
            </w:r>
          </w:p>
        </w:tc>
        <w:tc>
          <w:tcPr>
            <w:tcW w:type="dxa" w:w="2520"/>
            <w:vAlign w:val="top"/>
          </w:tcPr>
          <w:p>
            <w:pPr>
              <w:spacing w:after="0"/>
            </w:pPr>
            <w:r/>
            <w:r>
              <w:rPr>
                <w:rFonts w:ascii="Aptos" w:hAnsi="Aptos"/>
                <w:b w:val="0"/>
                <w:sz w:val="16"/>
              </w:rPr>
              <w:t>Separate these questions: Authorization: What did the client permit?Minimum necessary: Is the information appropriately limited for this purpose? Do not assume minimum necessary applies identically to every disclosure.</w:t>
            </w:r>
          </w:p>
        </w:tc>
      </w:tr>
      <w:tr>
        <w:tc>
          <w:tcPr>
            <w:tcW w:type="dxa" w:w="2376"/>
            <w:vAlign w:val="top"/>
            <w:shd w:fill="F7F9FA"/>
          </w:tcPr>
          <w:p>
            <w:pPr>
              <w:spacing w:after="0"/>
            </w:pPr>
            <w:r/>
            <w:r>
              <w:rPr>
                <w:rFonts w:ascii="Aptos" w:hAnsi="Aptos"/>
                <w:b/>
                <w:sz w:val="16"/>
              </w:rPr>
              <w:t>Indirect Identification</w:t>
            </w:r>
          </w:p>
        </w:tc>
        <w:tc>
          <w:tcPr>
            <w:tcW w:type="dxa" w:w="5256"/>
            <w:vAlign w:val="top"/>
            <w:shd w:fill="F7F9FA"/>
          </w:tcPr>
          <w:p>
            <w:pPr>
              <w:spacing w:after="0"/>
            </w:pPr>
            <w:r/>
            <w:r>
              <w:rPr>
                <w:rFonts w:ascii="Aptos" w:hAnsi="Aptos"/>
                <w:b w:val="0"/>
                <w:sz w:val="16"/>
              </w:rPr>
              <w:t>Removing a name does not necessarily de-identify information. A rare diagnosis, small location, occupation, family structure, public event, photograph, voice, or combination of demographic and clinical facts may allow someone to connect the information to a particular person. The therapist should determine whether the details could reasonably identify the client and remove or alter enough information to protect privacy.</w:t>
            </w:r>
          </w:p>
        </w:tc>
        <w:tc>
          <w:tcPr>
            <w:tcW w:type="dxa" w:w="2520"/>
            <w:vAlign w:val="top"/>
            <w:shd w:fill="F7F9FA"/>
          </w:tcPr>
          <w:p>
            <w:pPr>
              <w:spacing w:after="0"/>
            </w:pPr>
            <w:r/>
            <w:r>
              <w:rPr>
                <w:rFonts w:ascii="Aptos" w:hAnsi="Aptos"/>
                <w:b w:val="0"/>
                <w:sz w:val="16"/>
              </w:rPr>
              <w:t>Ask: Could someone familiar with the client reasonably connect these details to that person?</w:t>
            </w:r>
          </w:p>
        </w:tc>
      </w:tr>
      <w:tr>
        <w:tc>
          <w:tcPr>
            <w:tcW w:type="dxa" w:w="2376"/>
            <w:vAlign w:val="top"/>
          </w:tcPr>
          <w:p>
            <w:pPr>
              <w:spacing w:after="0"/>
            </w:pPr>
            <w:r/>
            <w:r>
              <w:rPr>
                <w:rFonts w:ascii="Aptos" w:hAnsi="Aptos"/>
                <w:b/>
                <w:sz w:val="16"/>
              </w:rPr>
              <w:t>Confidential Communications</w:t>
            </w:r>
          </w:p>
        </w:tc>
        <w:tc>
          <w:tcPr>
            <w:tcW w:type="dxa" w:w="5256"/>
            <w:vAlign w:val="top"/>
          </w:tcPr>
          <w:p>
            <w:pPr>
              <w:spacing w:after="0"/>
            </w:pPr>
            <w:r/>
            <w:r>
              <w:rPr>
                <w:rFonts w:ascii="Aptos" w:hAnsi="Aptos"/>
                <w:b w:val="0"/>
                <w:sz w:val="16"/>
              </w:rPr>
              <w:t>Clients may have legitimate privacy needs concerning where and how a practice contacts them. The therapist should discuss the preferred method, document it, apply it consistently, and update the instructions when circumstances change. A neutral message and private number may reduce the risk of revealing the treatment relationship or sensitive information to unauthorized people.</w:t>
            </w:r>
          </w:p>
        </w:tc>
        <w:tc>
          <w:tcPr>
            <w:tcW w:type="dxa" w:w="2520"/>
            <w:vAlign w:val="top"/>
          </w:tcPr>
          <w:p>
            <w:pPr>
              <w:spacing w:after="0"/>
            </w:pPr>
            <w:r/>
            <w:r>
              <w:rPr>
                <w:rFonts w:ascii="Aptos" w:hAnsi="Aptos"/>
                <w:b w:val="0"/>
                <w:sz w:val="16"/>
              </w:rPr>
              <w:t>Communication preferences may involve: Alternative telephone numbers Neutral voicemail language Alternative mailing addresses Specific email accounts No contact at work</w:t>
            </w:r>
          </w:p>
        </w:tc>
      </w:tr>
      <w:tr>
        <w:tc>
          <w:tcPr>
            <w:tcW w:type="dxa" w:w="2376"/>
            <w:vAlign w:val="top"/>
            <w:shd w:fill="F7F9FA"/>
          </w:tcPr>
          <w:p>
            <w:pPr>
              <w:spacing w:after="0"/>
            </w:pPr>
            <w:r/>
            <w:r>
              <w:rPr>
                <w:rFonts w:ascii="Aptos" w:hAnsi="Aptos"/>
                <w:b/>
                <w:sz w:val="16"/>
              </w:rPr>
              <w:t>Privacy-Incident Response</w:t>
            </w:r>
          </w:p>
        </w:tc>
        <w:tc>
          <w:tcPr>
            <w:tcW w:type="dxa" w:w="5256"/>
            <w:vAlign w:val="top"/>
            <w:shd w:fill="F7F9FA"/>
          </w:tcPr>
          <w:p>
            <w:pPr>
              <w:spacing w:after="0"/>
            </w:pPr>
            <w:r/>
            <w:r>
              <w:rPr>
                <w:rFonts w:ascii="Aptos" w:hAnsi="Aptos"/>
                <w:b w:val="0"/>
                <w:sz w:val="16"/>
              </w:rPr>
              <w:t>Every suspected exposure requires prompt evaluation, although not every incident automatically becomes a legally reportable breach. The therapist should act quickly to contain the risk, report through the proper practice or compliance channel, identify the information and clients involved, assess possible access or acquisition, and evaluate federal and California notification duties. Immediate action may include remotely disabling or wiping the device, changing access credentials, preserving evidence, contacting appropriate leadership, obtaining privacy or legal consultation, and documenting the response.</w:t>
            </w:r>
          </w:p>
        </w:tc>
        <w:tc>
          <w:tcPr>
            <w:tcW w:type="dxa" w:w="2520"/>
            <w:vAlign w:val="top"/>
            <w:shd w:fill="F7F9FA"/>
          </w:tcPr>
          <w:p>
            <w:pPr>
              <w:spacing w:after="0"/>
            </w:pPr>
            <w:r/>
            <w:r>
              <w:rPr>
                <w:rFonts w:ascii="Aptos" w:hAnsi="Aptos"/>
                <w:b w:val="0"/>
                <w:sz w:val="16"/>
              </w:rPr>
              <w:t>Use the incident sequence: Contain → Identify → Assess → Report → Correct → Document Do not wait for confirmed harm.</w:t>
            </w:r>
          </w:p>
        </w:tc>
      </w:tr>
      <w:tr>
        <w:tc>
          <w:tcPr>
            <w:tcW w:type="dxa" w:w="2376"/>
            <w:vAlign w:val="top"/>
          </w:tcPr>
          <w:p>
            <w:pPr>
              <w:spacing w:after="0"/>
            </w:pPr>
            <w:r/>
            <w:r>
              <w:rPr>
                <w:rFonts w:ascii="Aptos" w:hAnsi="Aptos"/>
                <w:b/>
                <w:sz w:val="16"/>
              </w:rPr>
              <w:t>Integrated Electronic Privacy and Vendor Risk</w:t>
            </w:r>
          </w:p>
        </w:tc>
        <w:tc>
          <w:tcPr>
            <w:tcW w:type="dxa" w:w="5256"/>
            <w:vAlign w:val="top"/>
          </w:tcPr>
          <w:p>
            <w:pPr>
              <w:spacing w:after="0"/>
            </w:pPr>
            <w:r/>
            <w:r>
              <w:rPr>
                <w:rFonts w:ascii="Aptos" w:hAnsi="Aptos"/>
                <w:b w:val="0"/>
                <w:sz w:val="16"/>
              </w:rPr>
              <w:t>A BAA does not make the entire practice compliant. Privacy and security also depend on how systems are configured, who has access, whether credentials are shared, whether former workers are removed, whether devices are protected, and whether staff follow established procedures. The practice should promptly disable access, preserve evidence, determine which records were viewed, report the event, assess notification requirements, and correct the underlying failures. Corrective action may include unique credentials, role-based access, automatic account termination, device controls, encryption, workforce training, and improved monitoring.</w:t>
            </w:r>
          </w:p>
        </w:tc>
        <w:tc>
          <w:tcPr>
            <w:tcW w:type="dxa" w:w="2520"/>
            <w:vAlign w:val="top"/>
          </w:tcPr>
          <w:p>
            <w:pPr>
              <w:spacing w:after="0"/>
            </w:pPr>
            <w:r/>
            <w:r>
              <w:rPr>
                <w:rFonts w:ascii="Aptos" w:hAnsi="Aptos"/>
                <w:b w:val="0"/>
                <w:sz w:val="16"/>
              </w:rPr>
              <w:t>“HIPAA-compliant software” or a signed BAA is never the entire answer. Evaluate: Vendor contract + system configuration + workforce access + device safeguards + incident response</w:t>
            </w:r>
          </w:p>
        </w:tc>
      </w:tr>
      <w:tr>
        <w:tc>
          <w:tcPr>
            <w:tcW w:type="dxa" w:w="2376"/>
            <w:vAlign w:val="top"/>
            <w:shd w:fill="F7F9FA"/>
          </w:tcPr>
          <w:p>
            <w:pPr>
              <w:spacing w:after="0"/>
            </w:pPr>
            <w:r/>
            <w:r>
              <w:rPr>
                <w:rFonts w:ascii="Aptos" w:hAnsi="Aptos"/>
                <w:b/>
                <w:sz w:val="16"/>
              </w:rPr>
              <w:t>HIPAA Privacy Rule</w:t>
            </w:r>
          </w:p>
        </w:tc>
        <w:tc>
          <w:tcPr>
            <w:tcW w:type="dxa" w:w="5256"/>
            <w:vAlign w:val="top"/>
            <w:shd w:fill="F7F9FA"/>
          </w:tcPr>
          <w:p>
            <w:pPr>
              <w:spacing w:after="0"/>
            </w:pPr>
            <w:r/>
            <w:r>
              <w:rPr>
                <w:rFonts w:ascii="Aptos" w:hAnsi="Aptos"/>
                <w:b w:val="0"/>
                <w:sz w:val="16"/>
              </w:rPr>
              <w:t>The HIPAA Privacy Rule addresses how protected health information may be used or disclosed and provides individuals with certain rights concerning their information. It includes subjects such as authorizations, access rights, confidential communications, personal representatives, treatment and payment disclosures, minimum necessary, and notices of privacy practices.</w:t>
            </w:r>
          </w:p>
        </w:tc>
        <w:tc>
          <w:tcPr>
            <w:tcW w:type="dxa" w:w="2520"/>
            <w:vAlign w:val="top"/>
            <w:shd w:fill="F7F9FA"/>
          </w:tcPr>
          <w:p>
            <w:pPr>
              <w:spacing w:after="0"/>
            </w:pPr>
            <w:r/>
            <w:r>
              <w:rPr>
                <w:rFonts w:ascii="Aptos" w:hAnsi="Aptos"/>
                <w:b w:val="0"/>
                <w:sz w:val="16"/>
              </w:rPr>
              <w:t>Remember: Privacy Rule = uses, disclosures, and client rights</w:t>
            </w:r>
          </w:p>
        </w:tc>
      </w:tr>
      <w:tr>
        <w:tc>
          <w:tcPr>
            <w:tcW w:type="dxa" w:w="2376"/>
            <w:vAlign w:val="top"/>
          </w:tcPr>
          <w:p>
            <w:pPr>
              <w:spacing w:after="0"/>
            </w:pPr>
            <w:r/>
            <w:r>
              <w:rPr>
                <w:rFonts w:ascii="Aptos" w:hAnsi="Aptos"/>
                <w:b/>
                <w:sz w:val="16"/>
              </w:rPr>
              <w:t>Electronic Protected Health Information</w:t>
            </w:r>
          </w:p>
        </w:tc>
        <w:tc>
          <w:tcPr>
            <w:tcW w:type="dxa" w:w="5256"/>
            <w:vAlign w:val="top"/>
          </w:tcPr>
          <w:p>
            <w:pPr>
              <w:spacing w:after="0"/>
            </w:pPr>
            <w:r/>
            <w:r>
              <w:rPr>
                <w:rFonts w:ascii="Aptos" w:hAnsi="Aptos"/>
                <w:b w:val="0"/>
                <w:sz w:val="16"/>
              </w:rPr>
              <w:t>Electronic protected health information, commonly called ePHI, is identifiable health information that is created, received, maintained, or transmitted electronically within HIPAA’s regulated structure. A record containing the client’s name, diagnosis, and treatment plan directly connects identifiable information with health care.</w:t>
            </w:r>
          </w:p>
        </w:tc>
        <w:tc>
          <w:tcPr>
            <w:tcW w:type="dxa" w:w="2520"/>
            <w:vAlign w:val="top"/>
          </w:tcPr>
          <w:p>
            <w:pPr>
              <w:spacing w:after="0"/>
            </w:pPr>
            <w:r/>
            <w:r>
              <w:rPr>
                <w:rFonts w:ascii="Aptos" w:hAnsi="Aptos"/>
                <w:b w:val="0"/>
                <w:sz w:val="16"/>
              </w:rPr>
              <w:t>Look for both: Health-care information + identifiable client</w:t>
            </w:r>
          </w:p>
        </w:tc>
      </w:tr>
      <w:tr>
        <w:tc>
          <w:tcPr>
            <w:tcW w:type="dxa" w:w="2376"/>
            <w:vAlign w:val="top"/>
            <w:shd w:fill="F7F9FA"/>
          </w:tcPr>
          <w:p>
            <w:pPr>
              <w:spacing w:after="0"/>
            </w:pPr>
            <w:r/>
            <w:r>
              <w:rPr>
                <w:rFonts w:ascii="Aptos" w:hAnsi="Aptos"/>
                <w:b/>
                <w:sz w:val="16"/>
              </w:rPr>
              <w:t>HIPAA and California Law</w:t>
            </w:r>
          </w:p>
        </w:tc>
        <w:tc>
          <w:tcPr>
            <w:tcW w:type="dxa" w:w="5256"/>
            <w:vAlign w:val="top"/>
            <w:shd w:fill="F7F9FA"/>
          </w:tcPr>
          <w:p>
            <w:pPr>
              <w:spacing w:after="0"/>
            </w:pPr>
            <w:r/>
            <w:r>
              <w:rPr>
                <w:rFonts w:ascii="Aptos" w:hAnsi="Aptos"/>
                <w:b w:val="0"/>
                <w:sz w:val="16"/>
              </w:rPr>
              <w:t>HIPAA often establishes a federal privacy floor rather than replacing every stronger state protection. A California therapist must consider whether state confidentiality or medical-information law places additional limits on the disclosure. When applicable law requires greater privacy protection, the therapist should follow the controlling, more protective requirement.</w:t>
            </w:r>
          </w:p>
        </w:tc>
        <w:tc>
          <w:tcPr>
            <w:tcW w:type="dxa" w:w="2520"/>
            <w:vAlign w:val="top"/>
            <w:shd w:fill="F7F9FA"/>
          </w:tcPr>
          <w:p>
            <w:pPr>
              <w:spacing w:after="0"/>
            </w:pPr>
            <w:r/>
            <w:r>
              <w:rPr>
                <w:rFonts w:ascii="Aptos" w:hAnsi="Aptos"/>
                <w:b w:val="0"/>
                <w:sz w:val="16"/>
              </w:rPr>
              <w:t>Use this order: Does HIPAA apply? Does California law apply? Do the requirements differ? Which controlling rule provides greater protection?</w:t>
            </w:r>
          </w:p>
        </w:tc>
      </w:tr>
      <w:tr>
        <w:tc>
          <w:tcPr>
            <w:tcW w:type="dxa" w:w="2376"/>
            <w:vAlign w:val="top"/>
          </w:tcPr>
          <w:p>
            <w:pPr>
              <w:spacing w:after="0"/>
            </w:pPr>
            <w:r/>
            <w:r>
              <w:rPr>
                <w:rFonts w:ascii="Aptos" w:hAnsi="Aptos"/>
                <w:b/>
                <w:sz w:val="16"/>
              </w:rPr>
              <w:t>Minimum Necessary and Treatment Disclosures</w:t>
            </w:r>
          </w:p>
        </w:tc>
        <w:tc>
          <w:tcPr>
            <w:tcW w:type="dxa" w:w="5256"/>
            <w:vAlign w:val="top"/>
          </w:tcPr>
          <w:p>
            <w:pPr>
              <w:spacing w:after="0"/>
            </w:pPr>
            <w:r/>
            <w:r>
              <w:rPr>
                <w:rFonts w:ascii="Aptos" w:hAnsi="Aptos"/>
                <w:b w:val="0"/>
                <w:sz w:val="16"/>
              </w:rPr>
              <w:t>The minimum necessary standard generally does not apply to provider-to-provider disclosures for treatment in the same way it applies to certain other uses and disclosures. That does not mean every treatment disclosure is unrestricted. The therapist must still determine whether HIPAA applies, whether California law permits the disclosure, whether the information supports the treatment purpose, and whether psychotherapy notes or another specially protected category is involved.</w:t>
            </w:r>
          </w:p>
        </w:tc>
        <w:tc>
          <w:tcPr>
            <w:tcW w:type="dxa" w:w="2520"/>
            <w:vAlign w:val="top"/>
          </w:tcPr>
          <w:p>
            <w:pPr>
              <w:spacing w:after="0"/>
            </w:pPr>
            <w:r/>
            <w:r>
              <w:rPr>
                <w:rFonts w:ascii="Aptos" w:hAnsi="Aptos"/>
                <w:b w:val="0"/>
                <w:sz w:val="16"/>
              </w:rPr>
              <w:t>Do not translate: “Minimum necessary does not apply” into: “Send everything.”</w:t>
            </w:r>
          </w:p>
        </w:tc>
      </w:tr>
      <w:tr>
        <w:tc>
          <w:tcPr>
            <w:tcW w:type="dxa" w:w="2376"/>
            <w:vAlign w:val="top"/>
            <w:shd w:fill="F7F9FA"/>
          </w:tcPr>
          <w:p>
            <w:pPr>
              <w:spacing w:after="0"/>
            </w:pPr>
            <w:r/>
            <w:r>
              <w:rPr>
                <w:rFonts w:ascii="Aptos" w:hAnsi="Aptos"/>
                <w:b/>
                <w:sz w:val="16"/>
              </w:rPr>
              <w:t>Misdirected Electronic Disclosure</w:t>
            </w:r>
          </w:p>
        </w:tc>
        <w:tc>
          <w:tcPr>
            <w:tcW w:type="dxa" w:w="5256"/>
            <w:vAlign w:val="top"/>
            <w:shd w:fill="F7F9FA"/>
          </w:tcPr>
          <w:p>
            <w:pPr>
              <w:spacing w:after="0"/>
            </w:pPr>
            <w:r/>
            <w:r>
              <w:rPr>
                <w:rFonts w:ascii="Aptos" w:hAnsi="Aptos"/>
                <w:b w:val="0"/>
                <w:sz w:val="16"/>
              </w:rPr>
              <w:t>The therapist should respond immediately rather than wait for confirmed harm. Containment may include contacting the unintended recipient, requesting deletion or secure return, disabling access when possible, and preserving relevant evidence. The therapist must then determine what information was involved, whether it was accessed, which client was affected, and what federal, California, organizational, or contractual notification duties apply.</w:t>
            </w:r>
          </w:p>
        </w:tc>
        <w:tc>
          <w:tcPr>
            <w:tcW w:type="dxa" w:w="2520"/>
            <w:vAlign w:val="top"/>
            <w:shd w:fill="F7F9FA"/>
          </w:tcPr>
          <w:p>
            <w:pPr>
              <w:spacing w:after="0"/>
            </w:pPr>
            <w:r/>
            <w:r>
              <w:rPr>
                <w:rFonts w:ascii="Aptos" w:hAnsi="Aptos"/>
                <w:b w:val="0"/>
                <w:sz w:val="16"/>
              </w:rPr>
              <w:t>For a wrong attachment: Contain first—then assess notification duties.</w:t>
            </w:r>
          </w:p>
        </w:tc>
      </w:tr>
      <w:tr>
        <w:tc>
          <w:tcPr>
            <w:tcW w:type="dxa" w:w="2376"/>
            <w:vAlign w:val="top"/>
          </w:tcPr>
          <w:p>
            <w:pPr>
              <w:spacing w:after="0"/>
            </w:pPr>
            <w:r/>
            <w:r>
              <w:rPr>
                <w:rFonts w:ascii="Aptos" w:hAnsi="Aptos"/>
                <w:b/>
                <w:sz w:val="16"/>
              </w:rPr>
              <w:t>Privacy, Security, PHI, and Incident Response — Part 1 of 2</w:t>
            </w:r>
          </w:p>
        </w:tc>
        <w:tc>
          <w:tcPr>
            <w:tcW w:type="dxa" w:w="5256"/>
            <w:vAlign w:val="top"/>
          </w:tcPr>
          <w:p>
            <w:pPr>
              <w:spacing w:after="0"/>
            </w:pPr>
            <w:r/>
            <w:r>
              <w:rPr>
                <w:rFonts w:ascii="Aptos" w:hAnsi="Aptos"/>
                <w:b w:val="0"/>
                <w:sz w:val="16"/>
              </w:rPr>
              <w:t>The signed BAA and software marketing do not establish overall compliance. The practice remains responsible for its own administrative, physical, and technical safeguards. The practice should promptly disable former-employee access, change compromised credentials, preserve and review access logs, determine which information was viewed, assess applicable notification obligations, and document its analysis. It must also correct the systemic problems through unique credentials, role-based access, automatic screen locking, secure devices, encryption, workforce training, and timely account termination. Both progress notes and psychotherapy notes require protection.</w:t>
            </w:r>
          </w:p>
        </w:tc>
        <w:tc>
          <w:tcPr>
            <w:tcW w:type="dxa" w:w="2520"/>
            <w:vAlign w:val="top"/>
          </w:tcPr>
          <w:p>
            <w:pPr>
              <w:spacing w:after="0"/>
            </w:pPr>
            <w:r/>
            <w:r>
              <w:rPr>
                <w:rFonts w:ascii="Aptos" w:hAnsi="Aptos"/>
                <w:b w:val="0"/>
                <w:sz w:val="16"/>
              </w:rPr>
            </w:r>
          </w:p>
        </w:tc>
      </w:tr>
      <w:tr>
        <w:tc>
          <w:tcPr>
            <w:tcW w:type="dxa" w:w="2376"/>
            <w:vAlign w:val="top"/>
            <w:shd w:fill="F7F9FA"/>
          </w:tcPr>
          <w:p>
            <w:pPr>
              <w:spacing w:after="0"/>
            </w:pPr>
            <w:r/>
            <w:r>
              <w:rPr>
                <w:rFonts w:ascii="Aptos" w:hAnsi="Aptos"/>
                <w:b/>
                <w:sz w:val="16"/>
              </w:rPr>
              <w:t>Privacy, Security, PHI, and Incident Response — Part 2 of 2</w:t>
            </w:r>
          </w:p>
        </w:tc>
        <w:tc>
          <w:tcPr>
            <w:tcW w:type="dxa" w:w="5256"/>
            <w:vAlign w:val="top"/>
            <w:shd w:fill="F7F9FA"/>
          </w:tcPr>
          <w:p>
            <w:pPr>
              <w:spacing w:after="0"/>
            </w:pPr>
            <w:r/>
            <w:r>
              <w:rPr>
                <w:rFonts w:ascii="Aptos" w:hAnsi="Aptos"/>
                <w:b w:val="0"/>
                <w:sz w:val="16"/>
              </w:rPr>
              <w:t>The psychotherapy notes may receive additional disclosure protections, but separate storage does not make unauthorized access unimportant.</w:t>
            </w:r>
          </w:p>
        </w:tc>
        <w:tc>
          <w:tcPr>
            <w:tcW w:type="dxa" w:w="2520"/>
            <w:vAlign w:val="top"/>
            <w:shd w:fill="F7F9FA"/>
          </w:tcPr>
          <w:p>
            <w:pPr>
              <w:spacing w:after="0"/>
            </w:pPr>
            <w:r/>
            <w:r>
              <w:rPr>
                <w:rFonts w:ascii="Aptos" w:hAnsi="Aptos"/>
                <w:b w:val="0"/>
                <w:sz w:val="16"/>
              </w:rPr>
              <w:t>For integrated privacy questions, evaluate all layers: Information: Is it identifiable health information? Law: Do HIPAA and California law apply? Access: Was the person authorized? Security: Were administrative, physical, and technical safeguards adequate? Incident response: Was the exposure contained, assessed, reported, corrected, and documented?</w:t>
            </w:r>
          </w:p>
        </w:tc>
      </w:tr>
    </w:tbl>
    <w:p>
      <w:pPr>
        <w:pStyle w:val="Heading2"/>
      </w:pPr>
      <w:r>
        <w:t>Exam Reasoning Checklist</w:t>
      </w:r>
    </w:p>
    <w:p>
      <w:pPr>
        <w:pStyle w:val="ListBullet"/>
        <w:spacing w:after="30"/>
      </w:pPr>
      <w:r>
        <w:t>Use the clue: Separate storage + session analysis</w:t>
      </w:r>
    </w:p>
    <w:p>
      <w:pPr>
        <w:pStyle w:val="ListBullet"/>
        <w:spacing w:after="30"/>
      </w:pPr>
      <w:r>
        <w:t>Use the three-question formula: Privacy: Who should have access? Confidentiality: What may the therapist reveal? Security: How is the information protected?</w:t>
      </w:r>
    </w:p>
    <w:p>
      <w:pPr>
        <w:pStyle w:val="ListBullet"/>
        <w:spacing w:after="30"/>
      </w:pPr>
      <w:r>
        <w:t>Remember: No diagnosis does not mean no protected information. Names, appointments, billing details, insurance information, and treatment participation may all reveal a health-care relationship.</w:t>
      </w:r>
    </w:p>
    <w:p>
      <w:pPr>
        <w:pStyle w:val="ListBullet"/>
        <w:spacing w:after="30"/>
      </w:pPr>
      <w:r>
        <w:t>Avoid this exam trap: “HIPAA does not apply, so confidentiality does not apply.” The correct sequence is: Determine whether HIPAA applies. Identify applicable California law. Consider ethical and contractual duties. Apply the most protective controlling requirement.</w:t>
      </w:r>
    </w:p>
    <w:p>
      <w:pPr>
        <w:pStyle w:val="ListBullet"/>
        <w:spacing w:after="30"/>
      </w:pPr>
      <w:r>
        <w:t>When a vendor handles client information, ask: Does the vendor create, receive, maintain, or transmit PHI? That question often triggers the business-associate and BAA analysis.</w:t>
      </w:r>
    </w:p>
    <w:p>
      <w:pPr>
        <w:pStyle w:val="ListBullet"/>
        <w:spacing w:after="30"/>
      </w:pPr>
      <w:r>
        <w:t>Remember the three security goals: Confidentiality: No unauthorized access Integrity: No improper alteration or destruction Availability: Authorized users can access information when needed</w:t>
      </w:r>
    </w:p>
    <w:p>
      <w:pPr>
        <w:pStyle w:val="ListBullet"/>
        <w:spacing w:after="30"/>
      </w:pPr>
      <w:r>
        <w:t>Separate these questions: Authorization: What did the client permit?Minimum necessary: Is the information appropriately limited for this purpose? Do not assume minimum necessary applies identically to every disclosure.</w:t>
      </w:r>
    </w:p>
    <w:p>
      <w:pPr>
        <w:pStyle w:val="ListBullet"/>
        <w:spacing w:after="30"/>
      </w:pPr>
      <w:r>
        <w:t>Ask: Could someone familiar with the client reasonably connect these details to that person?</w:t>
      </w:r>
    </w:p>
    <w:p>
      <w:pPr>
        <w:pStyle w:val="Heading2"/>
      </w:pPr>
      <w:r>
        <w:t>Chapter Rapid Review</w:t>
      </w:r>
    </w:p>
    <w:p>
      <w:r>
        <w:rPr>
          <w:b/>
        </w:rPr>
        <w:t xml:space="preserve">Know these concepts: </w:t>
      </w:r>
      <w:r>
        <w:t>Psychotherapy Notes; Privacy vs. Confidentiality vs. Security; Identifiable Health Information; HIPAA Applicability; Business Associates and BAAs; HIPAA Security Rule; Minimum Necessary; Indirect Identification; Confidential Communications; Privacy-Incident Response; Integrated Electronic Privacy and Vendor Risk; HIPAA Privacy Rule; Electronic Protected Health Information; HIPAA and California Law; Minimum Necessary and Treatment Disclosures; Misdirected Electronic Disclosure; Privacy, Security, PHI, and Incident Response — Part 1 of 2; Privacy, Security, PHI, and Incident Response — Part 2 of 2</w:t>
      </w:r>
    </w:p>
    <w:p>
      <w:r>
        <w:br w:type="page"/>
      </w:r>
    </w:p>
    <w:p>
      <w:pPr>
        <w:pStyle w:val="Heading2"/>
      </w:pPr>
      <w:r>
        <w:t>Chapter 4</w:t>
      </w:r>
    </w:p>
    <w:p>
      <w:pPr>
        <w:pStyle w:val="Heading1"/>
      </w:pPr>
      <w:r>
        <w:t>Client Access to Records and Responding to Record Requests</w:t>
      </w:r>
    </w:p>
    <w:tbl>
      <w:tblPr>
        <w:tblStyle w:val="TableGrid"/>
        <w:tblW w:type="auto" w:w="0"/>
        <w:jc w:val="center"/>
        <w:tblLook w:firstColumn="1" w:firstRow="1" w:lastColumn="0" w:lastRow="0" w:noHBand="0" w:noVBand="1" w:val="04A0"/>
      </w:tblPr>
      <w:tblGrid>
        <w:gridCol w:w="10368"/>
      </w:tblGrid>
      <w:tr>
        <w:tc>
          <w:tcPr>
            <w:tcW w:type="dxa" w:w="10368"/>
            <w:shd w:fill="E9F7F6"/>
            <w:vAlign w:val="top"/>
          </w:tcPr>
          <w:p>
            <w:pPr>
              <w:spacing w:after="0"/>
            </w:pPr>
            <w:r/>
            <w:r>
              <w:rPr>
                <w:rFonts w:ascii="Aptos" w:hAnsi="Aptos"/>
                <w:b/>
                <w:sz w:val="18"/>
              </w:rPr>
              <w:t>BIG IDEA | An adult client requesting their own treatment record is exercising a potential right of access. The therapist should determine which records are requested, verify the client’s identity, identify the applicable California and federal requirements, and respond within the appropriate timeframe. This differs from a request to disclose information to another person or organization. California generally requires a patient or authorized representative to be allowed to inspect records during business hours within five working days after the request is received. Copies generally must be transmitted within 15 days. When California and HIPAA both apply, the therapist should not rely on HIPAA’s longer general federal timeframe when California provides the client with faster access rights.</w:t>
            </w:r>
          </w:p>
        </w:tc>
      </w:tr>
    </w:tbl>
    <w:p>
      <w:pPr>
        <w:pStyle w:val="Heading2"/>
      </w:pPr>
      <w:r>
        <w:t>What to Learn</w:t>
      </w:r>
    </w:p>
    <w:p>
      <w:pPr>
        <w:pStyle w:val="ListBullet"/>
        <w:spacing w:after="30"/>
      </w:pPr>
      <w:r>
        <w:t>Explain and apply Client Access vs. Third-Party Disclosure.</w:t>
      </w:r>
    </w:p>
    <w:p>
      <w:pPr>
        <w:pStyle w:val="ListBullet"/>
        <w:spacing w:after="30"/>
      </w:pPr>
      <w:r>
        <w:t>Explain and apply California Record-Access Timelines.</w:t>
      </w:r>
    </w:p>
    <w:p>
      <w:pPr>
        <w:pStyle w:val="ListBullet"/>
        <w:spacing w:after="30"/>
      </w:pPr>
      <w:r>
        <w:t>Explain and apply Personal-Representative Authority.</w:t>
      </w:r>
    </w:p>
    <w:p>
      <w:pPr>
        <w:pStyle w:val="ListBullet"/>
        <w:spacing w:after="30"/>
      </w:pPr>
      <w:r>
        <w:t>Explain and apply Record Access and Unpaid Balances.</w:t>
      </w:r>
    </w:p>
    <w:p>
      <w:pPr>
        <w:pStyle w:val="ListBullet"/>
        <w:spacing w:after="30"/>
      </w:pPr>
      <w:r>
        <w:t>Explain and apply Limited Mental-Health Record Restriction.</w:t>
      </w:r>
    </w:p>
    <w:p>
      <w:pPr>
        <w:pStyle w:val="ListBullet"/>
        <w:spacing w:after="30"/>
      </w:pPr>
      <w:r>
        <w:t>Explain and apply Minor-Consented Care and Parent Requests.</w:t>
      </w:r>
    </w:p>
    <w:p>
      <w:pPr>
        <w:pStyle w:val="ListBullet"/>
        <w:spacing w:after="30"/>
      </w:pPr>
      <w:r>
        <w:t>Explain and apply Third-Party Information in Client Records.</w:t>
      </w:r>
    </w:p>
    <w:p>
      <w:pPr>
        <w:pStyle w:val="Heading2"/>
      </w:pPr>
      <w:r>
        <w:t>Core Study Rules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376"/>
            <w:vAlign w:val="top"/>
            <w:shd w:fill="17365D"/>
          </w:tcPr>
          <w:p>
            <w:pPr>
              <w:spacing w:after="0"/>
            </w:pPr>
            <w:r/>
            <w:r>
              <w:rPr>
                <w:rFonts w:ascii="Aptos" w:hAnsi="Aptos"/>
                <w:b/>
                <w:color w:val="FFFFFF"/>
                <w:sz w:val="17"/>
              </w:rPr>
              <w:t>Concept</w:t>
            </w:r>
          </w:p>
        </w:tc>
        <w:tc>
          <w:tcPr>
            <w:tcW w:type="dxa" w:w="5256"/>
            <w:vAlign w:val="top"/>
            <w:shd w:fill="17365D"/>
          </w:tcPr>
          <w:p>
            <w:pPr>
              <w:spacing w:after="0"/>
            </w:pPr>
            <w:r/>
            <w:r>
              <w:rPr>
                <w:rFonts w:ascii="Aptos" w:hAnsi="Aptos"/>
                <w:b/>
                <w:color w:val="FFFFFF"/>
                <w:sz w:val="17"/>
              </w:rPr>
              <w:t>Controlling Study Rule</w:t>
            </w:r>
          </w:p>
        </w:tc>
        <w:tc>
          <w:tcPr>
            <w:tcW w:type="dxa" w:w="2520"/>
            <w:vAlign w:val="top"/>
            <w:shd w:fill="17365D"/>
          </w:tcPr>
          <w:p>
            <w:pPr>
              <w:spacing w:after="0"/>
            </w:pPr>
            <w:r/>
            <w:r>
              <w:rPr>
                <w:rFonts w:ascii="Aptos" w:hAnsi="Aptos"/>
                <w:b/>
                <w:color w:val="FFFFFF"/>
                <w:sz w:val="17"/>
              </w:rPr>
              <w:t>Memory Cue</w:t>
            </w:r>
          </w:p>
        </w:tc>
      </w:tr>
      <w:tr>
        <w:tc>
          <w:tcPr>
            <w:tcW w:type="dxa" w:w="2376"/>
            <w:vAlign w:val="top"/>
          </w:tcPr>
          <w:p>
            <w:pPr>
              <w:spacing w:after="0"/>
            </w:pPr>
            <w:r/>
            <w:r>
              <w:rPr>
                <w:rFonts w:ascii="Aptos" w:hAnsi="Aptos"/>
                <w:b/>
                <w:sz w:val="16"/>
              </w:rPr>
              <w:t>Client Access vs. Third-Party Disclosure</w:t>
            </w:r>
          </w:p>
        </w:tc>
        <w:tc>
          <w:tcPr>
            <w:tcW w:type="dxa" w:w="5256"/>
            <w:vAlign w:val="top"/>
          </w:tcPr>
          <w:p>
            <w:pPr>
              <w:spacing w:after="0"/>
            </w:pPr>
            <w:r/>
            <w:r>
              <w:rPr>
                <w:rFonts w:ascii="Aptos" w:hAnsi="Aptos"/>
                <w:b w:val="0"/>
                <w:sz w:val="16"/>
              </w:rPr>
              <w:t>An adult client requesting their own treatment record is exercising a potential right of access. The therapist should determine which records are requested, verify the client’s identity, identify the applicable California and federal requirements, and respond within the appropriate timeframe. This differs from a request to disclose information to another person or organization.</w:t>
            </w:r>
          </w:p>
        </w:tc>
        <w:tc>
          <w:tcPr>
            <w:tcW w:type="dxa" w:w="2520"/>
            <w:vAlign w:val="top"/>
          </w:tcPr>
          <w:p>
            <w:pPr>
              <w:spacing w:after="0"/>
            </w:pPr>
            <w:r/>
            <w:r>
              <w:rPr>
                <w:rFonts w:ascii="Aptos" w:hAnsi="Aptos"/>
                <w:b w:val="0"/>
                <w:sz w:val="16"/>
              </w:rPr>
              <w:t>First sort the request: Client asks for own information = AccessSomeone else asks for client information = Disclosure Do not apply ordinary release-of-information reasoning automatically to a client’s own access request.</w:t>
            </w:r>
          </w:p>
        </w:tc>
      </w:tr>
      <w:tr>
        <w:tc>
          <w:tcPr>
            <w:tcW w:type="dxa" w:w="2376"/>
            <w:vAlign w:val="top"/>
            <w:shd w:fill="F7F9FA"/>
          </w:tcPr>
          <w:p>
            <w:pPr>
              <w:spacing w:after="0"/>
            </w:pPr>
            <w:r/>
            <w:r>
              <w:rPr>
                <w:rFonts w:ascii="Aptos" w:hAnsi="Aptos"/>
                <w:b/>
                <w:sz w:val="16"/>
              </w:rPr>
              <w:t>California Record-Access Timelines</w:t>
            </w:r>
          </w:p>
        </w:tc>
        <w:tc>
          <w:tcPr>
            <w:tcW w:type="dxa" w:w="5256"/>
            <w:vAlign w:val="top"/>
            <w:shd w:fill="F7F9FA"/>
          </w:tcPr>
          <w:p>
            <w:pPr>
              <w:spacing w:after="0"/>
            </w:pPr>
            <w:r/>
            <w:r>
              <w:rPr>
                <w:rFonts w:ascii="Aptos" w:hAnsi="Aptos"/>
                <w:b w:val="0"/>
                <w:sz w:val="16"/>
              </w:rPr>
              <w:t>California generally requires a patient or authorized representative to be allowed to inspect records during business hours within five working days after the request is received. Copies generally must be transmitted within 15 days. When California and HIPAA both apply, the therapist should not rely on HIPAA’s longer general federal timeframe when California provides the client with faster access rights.</w:t>
            </w:r>
          </w:p>
        </w:tc>
        <w:tc>
          <w:tcPr>
            <w:tcW w:type="dxa" w:w="2520"/>
            <w:vAlign w:val="top"/>
            <w:shd w:fill="F7F9FA"/>
          </w:tcPr>
          <w:p>
            <w:pPr>
              <w:spacing w:after="0"/>
            </w:pPr>
            <w:r/>
            <w:r>
              <w:rPr>
                <w:rFonts w:ascii="Aptos" w:hAnsi="Aptos"/>
                <w:b w:val="0"/>
                <w:sz w:val="16"/>
              </w:rPr>
              <w:t>Memorize: 5 = Inspect15 = Copies30 = Certain qualifying no-cost requests</w:t>
            </w:r>
          </w:p>
        </w:tc>
      </w:tr>
      <w:tr>
        <w:tc>
          <w:tcPr>
            <w:tcW w:type="dxa" w:w="2376"/>
            <w:vAlign w:val="top"/>
          </w:tcPr>
          <w:p>
            <w:pPr>
              <w:spacing w:after="0"/>
            </w:pPr>
            <w:r/>
            <w:r>
              <w:rPr>
                <w:rFonts w:ascii="Aptos" w:hAnsi="Aptos"/>
                <w:b/>
                <w:sz w:val="16"/>
              </w:rPr>
              <w:t>Personal-Representative Authority</w:t>
            </w:r>
          </w:p>
        </w:tc>
        <w:tc>
          <w:tcPr>
            <w:tcW w:type="dxa" w:w="5256"/>
            <w:vAlign w:val="top"/>
          </w:tcPr>
          <w:p>
            <w:pPr>
              <w:spacing w:after="0"/>
            </w:pPr>
            <w:r/>
            <w:r>
              <w:rPr>
                <w:rFonts w:ascii="Aptos" w:hAnsi="Aptos"/>
                <w:b w:val="0"/>
                <w:sz w:val="16"/>
              </w:rPr>
              <w:t>Marriage alone does not automatically give one spouse authority to inspect or obtain the other spouse’s treatment record. The therapist must determine whether the requester has legally recognized personal-representative authority, such as authority arising from an applicable health-care decision-making document, guardianship, conservatorship, court order, or another lawful source. The therapist must also verify that the authority includes access to the particular health information requested.</w:t>
            </w:r>
          </w:p>
        </w:tc>
        <w:tc>
          <w:tcPr>
            <w:tcW w:type="dxa" w:w="2520"/>
            <w:vAlign w:val="top"/>
          </w:tcPr>
          <w:p>
            <w:pPr>
              <w:spacing w:after="0"/>
            </w:pPr>
            <w:r/>
            <w:r>
              <w:rPr>
                <w:rFonts w:ascii="Aptos" w:hAnsi="Aptos"/>
                <w:b w:val="0"/>
                <w:sz w:val="16"/>
              </w:rPr>
              <w:t>Titles do not automatically establish authority: Spouse Partner Adult child Parent of an adult Caregiver Friend Look for: Verified authority + relevant scope</w:t>
            </w:r>
          </w:p>
        </w:tc>
      </w:tr>
      <w:tr>
        <w:tc>
          <w:tcPr>
            <w:tcW w:type="dxa" w:w="2376"/>
            <w:vAlign w:val="top"/>
            <w:shd w:fill="F7F9FA"/>
          </w:tcPr>
          <w:p>
            <w:pPr>
              <w:spacing w:after="0"/>
            </w:pPr>
            <w:r/>
            <w:r>
              <w:rPr>
                <w:rFonts w:ascii="Aptos" w:hAnsi="Aptos"/>
                <w:b/>
                <w:sz w:val="16"/>
              </w:rPr>
              <w:t>Record Access and Unpaid Balances</w:t>
            </w:r>
          </w:p>
        </w:tc>
        <w:tc>
          <w:tcPr>
            <w:tcW w:type="dxa" w:w="5256"/>
            <w:vAlign w:val="top"/>
            <w:shd w:fill="F7F9FA"/>
          </w:tcPr>
          <w:p>
            <w:pPr>
              <w:spacing w:after="0"/>
            </w:pPr>
            <w:r/>
            <w:r>
              <w:rPr>
                <w:rFonts w:ascii="Aptos" w:hAnsi="Aptos"/>
                <w:b w:val="0"/>
                <w:sz w:val="16"/>
              </w:rPr>
              <w:t>A client’s access rights and the therapist’s collection rights are separate. The unpaid balance does not create a lawful basis to hold an otherwise accessible record. The therapist should process the request on time, apply lawful copying or transmission fees, and pursue the debt through a separate, appropriate process.</w:t>
            </w:r>
          </w:p>
        </w:tc>
        <w:tc>
          <w:tcPr>
            <w:tcW w:type="dxa" w:w="2520"/>
            <w:vAlign w:val="top"/>
            <w:shd w:fill="F7F9FA"/>
          </w:tcPr>
          <w:p>
            <w:pPr>
              <w:spacing w:after="0"/>
            </w:pPr>
            <w:r/>
            <w:r>
              <w:rPr>
                <w:rFonts w:ascii="Aptos" w:hAnsi="Aptos"/>
                <w:b w:val="0"/>
                <w:sz w:val="16"/>
              </w:rPr>
              <w:t>Separate ACCESS from COLLECTIONS. Money owed does not place the record on hold.</w:t>
            </w:r>
          </w:p>
        </w:tc>
      </w:tr>
      <w:tr>
        <w:tc>
          <w:tcPr>
            <w:tcW w:type="dxa" w:w="2376"/>
            <w:vAlign w:val="top"/>
          </w:tcPr>
          <w:p>
            <w:pPr>
              <w:spacing w:after="0"/>
            </w:pPr>
            <w:r/>
            <w:r>
              <w:rPr>
                <w:rFonts w:ascii="Aptos" w:hAnsi="Aptos"/>
                <w:b/>
                <w:sz w:val="16"/>
              </w:rPr>
              <w:t>Limited Mental-Health Record Restriction</w:t>
            </w:r>
          </w:p>
        </w:tc>
        <w:tc>
          <w:tcPr>
            <w:tcW w:type="dxa" w:w="5256"/>
            <w:vAlign w:val="top"/>
          </w:tcPr>
          <w:p>
            <w:pPr>
              <w:spacing w:after="0"/>
            </w:pPr>
            <w:r/>
            <w:r>
              <w:rPr>
                <w:rFonts w:ascii="Aptos" w:hAnsi="Aptos"/>
                <w:b w:val="0"/>
                <w:sz w:val="16"/>
              </w:rPr>
              <w:t>California permits a narrow mental-health-record limitation when the provider anticipates substantial risk of significant adverse or detrimental consequences, but the exception carries procedural duties. The therapist must document the basis, inform the client, and follow the designated-professional access procedure rather than treating concern as an unlimited veto.</w:t>
            </w:r>
          </w:p>
        </w:tc>
        <w:tc>
          <w:tcPr>
            <w:tcW w:type="dxa" w:w="2520"/>
            <w:vAlign w:val="top"/>
          </w:tcPr>
          <w:p>
            <w:pPr>
              <w:spacing w:after="0"/>
            </w:pPr>
            <w:r/>
            <w:r>
              <w:rPr>
                <w:rFonts w:ascii="Aptos" w:hAnsi="Aptos"/>
                <w:b w:val="0"/>
                <w:sz w:val="16"/>
              </w:rPr>
              <w:t>A lawful limitation requires BOTH a specific ground AND the required procedure. Do not confuse anticipated discomfort with the statutory risk standard.</w:t>
            </w:r>
          </w:p>
        </w:tc>
      </w:tr>
      <w:tr>
        <w:tc>
          <w:tcPr>
            <w:tcW w:type="dxa" w:w="2376"/>
            <w:vAlign w:val="top"/>
            <w:shd w:fill="F7F9FA"/>
          </w:tcPr>
          <w:p>
            <w:pPr>
              <w:spacing w:after="0"/>
            </w:pPr>
            <w:r/>
            <w:r>
              <w:rPr>
                <w:rFonts w:ascii="Aptos" w:hAnsi="Aptos"/>
                <w:b/>
                <w:sz w:val="16"/>
              </w:rPr>
              <w:t>Minor-Consented Care and Parent Requests</w:t>
            </w:r>
          </w:p>
        </w:tc>
        <w:tc>
          <w:tcPr>
            <w:tcW w:type="dxa" w:w="5256"/>
            <w:vAlign w:val="top"/>
            <w:shd w:fill="F7F9FA"/>
          </w:tcPr>
          <w:p>
            <w:pPr>
              <w:spacing w:after="0"/>
            </w:pPr>
            <w:r/>
            <w:r>
              <w:rPr>
                <w:rFonts w:ascii="Aptos" w:hAnsi="Aptos"/>
                <w:b w:val="0"/>
                <w:sz w:val="16"/>
              </w:rPr>
              <w:t>Minor-record access depends on the legal basis for consent, the type of service, representative authority, and applicable California restrictions. The therapist should identify those facts before releasing or refusing the record; parental status does not answer every minor-access question.</w:t>
            </w:r>
          </w:p>
        </w:tc>
        <w:tc>
          <w:tcPr>
            <w:tcW w:type="dxa" w:w="2520"/>
            <w:vAlign w:val="top"/>
            <w:shd w:fill="F7F9FA"/>
          </w:tcPr>
          <w:p>
            <w:pPr>
              <w:spacing w:after="0"/>
            </w:pPr>
            <w:r/>
            <w:r>
              <w:rPr>
                <w:rFonts w:ascii="Aptos" w:hAnsi="Aptos"/>
                <w:b w:val="0"/>
                <w:sz w:val="16"/>
              </w:rPr>
              <w:t>Trigger phrase: “The minor independently consented.” Then analyze CONSENT → REPRESENTATIVE AUTHORITY → ACCESS LIMITS.</w:t>
            </w:r>
          </w:p>
        </w:tc>
      </w:tr>
      <w:tr>
        <w:tc>
          <w:tcPr>
            <w:tcW w:type="dxa" w:w="2376"/>
            <w:vAlign w:val="top"/>
          </w:tcPr>
          <w:p>
            <w:pPr>
              <w:spacing w:after="0"/>
            </w:pPr>
            <w:r/>
            <w:r>
              <w:rPr>
                <w:rFonts w:ascii="Aptos" w:hAnsi="Aptos"/>
                <w:b/>
                <w:sz w:val="16"/>
              </w:rPr>
              <w:t>Third-Party Information in Client Records</w:t>
            </w:r>
          </w:p>
        </w:tc>
        <w:tc>
          <w:tcPr>
            <w:tcW w:type="dxa" w:w="5256"/>
            <w:vAlign w:val="top"/>
          </w:tcPr>
          <w:p>
            <w:pPr>
              <w:spacing w:after="0"/>
            </w:pPr>
            <w:r/>
            <w:r>
              <w:rPr>
                <w:rFonts w:ascii="Aptos" w:hAnsi="Aptos"/>
                <w:b w:val="0"/>
                <w:sz w:val="16"/>
              </w:rPr>
              <w:t>California’s patient-record definition and access rules require attention to confidential information supplied by another person. The therapist should not let one protected item defeat access to all otherwise accessible material. A careful review can protect the third party while providing the requester’s lawful record portions and preserving documentation integrity.</w:t>
            </w:r>
          </w:p>
        </w:tc>
        <w:tc>
          <w:tcPr>
            <w:tcW w:type="dxa" w:w="2520"/>
            <w:vAlign w:val="top"/>
          </w:tcPr>
          <w:p>
            <w:pPr>
              <w:spacing w:after="0"/>
            </w:pPr>
            <w:r/>
            <w:r>
              <w:rPr>
                <w:rFonts w:ascii="Aptos" w:hAnsi="Aptos"/>
                <w:b w:val="0"/>
                <w:sz w:val="16"/>
              </w:rPr>
              <w:t>For mixed records: REVIEW → SEPARATE LAWFULLY → PROVIDE ACCESSIBLE PORTIONS → DOCUMENT.</w:t>
            </w:r>
          </w:p>
        </w:tc>
      </w:tr>
      <w:tr>
        <w:tc>
          <w:tcPr>
            <w:tcW w:type="dxa" w:w="2376"/>
            <w:vAlign w:val="top"/>
            <w:shd w:fill="F7F9FA"/>
          </w:tcPr>
          <w:p>
            <w:pPr>
              <w:spacing w:after="0"/>
            </w:pPr>
            <w:r/>
            <w:r>
              <w:rPr>
                <w:rFonts w:ascii="Aptos" w:hAnsi="Aptos"/>
                <w:b/>
                <w:sz w:val="16"/>
              </w:rPr>
              <w:t>Electronic Format and Identity Verification</w:t>
            </w:r>
          </w:p>
        </w:tc>
        <w:tc>
          <w:tcPr>
            <w:tcW w:type="dxa" w:w="5256"/>
            <w:vAlign w:val="top"/>
            <w:shd w:fill="F7F9FA"/>
          </w:tcPr>
          <w:p>
            <w:pPr>
              <w:spacing w:after="0"/>
            </w:pPr>
            <w:r/>
            <w:r>
              <w:rPr>
                <w:rFonts w:ascii="Aptos" w:hAnsi="Aptos"/>
                <w:b w:val="0"/>
                <w:sz w:val="16"/>
              </w:rPr>
              <w:t>California permits reasonable identity verification and generally requires a readily producible requested electronic format for electronically maintained records. Verification should protect the client without becoming an oppressive delay, and the faster applicable California deadline must be honored.</w:t>
            </w:r>
          </w:p>
        </w:tc>
        <w:tc>
          <w:tcPr>
            <w:tcW w:type="dxa" w:w="2520"/>
            <w:vAlign w:val="top"/>
            <w:shd w:fill="F7F9FA"/>
          </w:tcPr>
          <w:p>
            <w:pPr>
              <w:spacing w:after="0"/>
            </w:pPr>
            <w:r/>
            <w:r>
              <w:rPr>
                <w:rFonts w:ascii="Aptos" w:hAnsi="Aptos"/>
                <w:b w:val="0"/>
                <w:sz w:val="16"/>
              </w:rPr>
              <w:t>Verify without obstructing. Then use the requested format and the faster controlling deadline.</w:t>
            </w:r>
          </w:p>
        </w:tc>
      </w:tr>
      <w:tr>
        <w:tc>
          <w:tcPr>
            <w:tcW w:type="dxa" w:w="2376"/>
            <w:vAlign w:val="top"/>
          </w:tcPr>
          <w:p>
            <w:pPr>
              <w:spacing w:after="0"/>
            </w:pPr>
            <w:r/>
            <w:r>
              <w:rPr>
                <w:rFonts w:ascii="Aptos" w:hAnsi="Aptos"/>
                <w:b/>
                <w:sz w:val="16"/>
              </w:rPr>
              <w:t>Psychotherapy Notes and California Access</w:t>
            </w:r>
          </w:p>
        </w:tc>
        <w:tc>
          <w:tcPr>
            <w:tcW w:type="dxa" w:w="5256"/>
            <w:vAlign w:val="top"/>
          </w:tcPr>
          <w:p>
            <w:pPr>
              <w:spacing w:after="0"/>
            </w:pPr>
            <w:r/>
            <w:r>
              <w:rPr>
                <w:rFonts w:ascii="Aptos" w:hAnsi="Aptos"/>
                <w:b w:val="0"/>
                <w:sz w:val="16"/>
              </w:rPr>
              <w:t>HIPAA excludes psychotherapy notes from its ordinary individual-access right, while California law and the actual content, storage, and source of material require a separate analysis. The therapist should provide accessible portions on time, avoid overbroad withholding, protect qualifying third-party information, and document any specific lawful limitation.</w:t>
            </w:r>
          </w:p>
        </w:tc>
        <w:tc>
          <w:tcPr>
            <w:tcW w:type="dxa" w:w="2520"/>
            <w:vAlign w:val="top"/>
          </w:tcPr>
          <w:p>
            <w:pPr>
              <w:spacing w:after="0"/>
            </w:pPr>
            <w:r/>
            <w:r>
              <w:rPr>
                <w:rFonts w:ascii="Aptos" w:hAnsi="Aptos"/>
                <w:b w:val="0"/>
                <w:sz w:val="16"/>
              </w:rPr>
              <w:t>Classify the material before applying the rule. PROGRESS NOTES are not automatically PSYCHOTHERAPY NOTES.</w:t>
            </w:r>
          </w:p>
        </w:tc>
      </w:tr>
      <w:tr>
        <w:tc>
          <w:tcPr>
            <w:tcW w:type="dxa" w:w="2376"/>
            <w:vAlign w:val="top"/>
            <w:shd w:fill="F7F9FA"/>
          </w:tcPr>
          <w:p>
            <w:pPr>
              <w:spacing w:after="0"/>
            </w:pPr>
            <w:r/>
            <w:r>
              <w:rPr>
                <w:rFonts w:ascii="Aptos" w:hAnsi="Aptos"/>
                <w:b/>
                <w:sz w:val="16"/>
              </w:rPr>
              <w:t>Client Access and Subpoena Analysis</w:t>
            </w:r>
          </w:p>
        </w:tc>
        <w:tc>
          <w:tcPr>
            <w:tcW w:type="dxa" w:w="5256"/>
            <w:vAlign w:val="top"/>
            <w:shd w:fill="F7F9FA"/>
          </w:tcPr>
          <w:p>
            <w:pPr>
              <w:spacing w:after="0"/>
            </w:pPr>
            <w:r/>
            <w:r>
              <w:rPr>
                <w:rFonts w:ascii="Aptos" w:hAnsi="Aptos"/>
                <w:b w:val="0"/>
                <w:sz w:val="16"/>
              </w:rPr>
              <w:t>A client-access request and a litigation demand invoke different legal analyses. Exercising access rights does not automatically authorize disclosure to opposing counsel or waive psychotherapist-patient privilege. The therapist should timely address the client’s request and separately evaluate the subpoena and any required notice, objection, authorization, privilege, or judicial process.</w:t>
            </w:r>
          </w:p>
        </w:tc>
        <w:tc>
          <w:tcPr>
            <w:tcW w:type="dxa" w:w="2520"/>
            <w:vAlign w:val="top"/>
            <w:shd w:fill="F7F9FA"/>
          </w:tcPr>
          <w:p>
            <w:pPr>
              <w:spacing w:after="0"/>
            </w:pPr>
            <w:r/>
            <w:r>
              <w:rPr>
                <w:rFonts w:ascii="Aptos" w:hAnsi="Aptos"/>
                <w:b w:val="0"/>
                <w:sz w:val="16"/>
              </w:rPr>
              <w:t>Separate ACCESS from DISCLOSURE and SUBPOENA from COURT ORDER. One document does not resolve the other process.</w:t>
            </w:r>
          </w:p>
        </w:tc>
      </w:tr>
      <w:tr>
        <w:tc>
          <w:tcPr>
            <w:tcW w:type="dxa" w:w="2376"/>
            <w:vAlign w:val="top"/>
          </w:tcPr>
          <w:p>
            <w:pPr>
              <w:spacing w:after="0"/>
            </w:pPr>
            <w:r/>
            <w:r>
              <w:rPr>
                <w:rFonts w:ascii="Aptos" w:hAnsi="Aptos"/>
                <w:b/>
                <w:sz w:val="16"/>
              </w:rPr>
              <w:t>Record-Copy Fees</w:t>
            </w:r>
          </w:p>
        </w:tc>
        <w:tc>
          <w:tcPr>
            <w:tcW w:type="dxa" w:w="5256"/>
            <w:vAlign w:val="top"/>
          </w:tcPr>
          <w:p>
            <w:pPr>
              <w:spacing w:after="0"/>
            </w:pPr>
            <w:r/>
            <w:r>
              <w:rPr>
                <w:rFonts w:ascii="Aptos" w:hAnsi="Aptos"/>
                <w:b w:val="0"/>
                <w:sz w:val="16"/>
              </w:rPr>
              <w:t>A provider may generally charge a reasonable, cost-based fee for producing copies or an agreed-upon summary. Permitted costs may include copying labor, supplies, postage, and requested portable electronic media, subject to applicable limits. The fee should reflect the actual production process rather than discourage the client from exercising access rights.</w:t>
            </w:r>
          </w:p>
        </w:tc>
        <w:tc>
          <w:tcPr>
            <w:tcW w:type="dxa" w:w="2520"/>
            <w:vAlign w:val="top"/>
          </w:tcPr>
          <w:p>
            <w:pPr>
              <w:spacing w:after="0"/>
            </w:pPr>
            <w:r/>
            <w:r>
              <w:rPr>
                <w:rFonts w:ascii="Aptos" w:hAnsi="Aptos"/>
                <w:b w:val="0"/>
                <w:sz w:val="16"/>
              </w:rPr>
              <w:t>Separate: Reasonable production feefromPunitive charge or collection leverage</w:t>
            </w:r>
          </w:p>
        </w:tc>
      </w:tr>
      <w:tr>
        <w:tc>
          <w:tcPr>
            <w:tcW w:type="dxa" w:w="2376"/>
            <w:vAlign w:val="top"/>
            <w:shd w:fill="F7F9FA"/>
          </w:tcPr>
          <w:p>
            <w:pPr>
              <w:spacing w:after="0"/>
            </w:pPr>
            <w:r/>
            <w:r>
              <w:rPr>
                <w:rFonts w:ascii="Aptos" w:hAnsi="Aptos"/>
                <w:b/>
                <w:sz w:val="16"/>
              </w:rPr>
              <w:t>Inspection of Records</w:t>
            </w:r>
          </w:p>
        </w:tc>
        <w:tc>
          <w:tcPr>
            <w:tcW w:type="dxa" w:w="5256"/>
            <w:vAlign w:val="top"/>
            <w:shd w:fill="F7F9FA"/>
          </w:tcPr>
          <w:p>
            <w:pPr>
              <w:spacing w:after="0"/>
            </w:pPr>
            <w:r/>
            <w:r>
              <w:rPr>
                <w:rFonts w:ascii="Aptos" w:hAnsi="Aptos"/>
                <w:b w:val="0"/>
                <w:sz w:val="16"/>
              </w:rPr>
              <w:t>California generally permits an adult client or authorized representative to inspect treatment records during business hours within five working days after the request is received. The person inspecting the record may also be accompanied by one person of the requester’s choosing.</w:t>
            </w:r>
          </w:p>
        </w:tc>
        <w:tc>
          <w:tcPr>
            <w:tcW w:type="dxa" w:w="2520"/>
            <w:vAlign w:val="top"/>
            <w:shd w:fill="F7F9FA"/>
          </w:tcPr>
          <w:p>
            <w:pPr>
              <w:spacing w:after="0"/>
            </w:pPr>
            <w:r/>
            <w:r>
              <w:rPr>
                <w:rFonts w:ascii="Aptos" w:hAnsi="Aptos"/>
                <w:b w:val="0"/>
                <w:sz w:val="16"/>
              </w:rPr>
              <w:t>Remember: 5 working days = inspection</w:t>
            </w:r>
          </w:p>
        </w:tc>
      </w:tr>
      <w:tr>
        <w:tc>
          <w:tcPr>
            <w:tcW w:type="dxa" w:w="2376"/>
            <w:vAlign w:val="top"/>
          </w:tcPr>
          <w:p>
            <w:pPr>
              <w:spacing w:after="0"/>
            </w:pPr>
            <w:r/>
            <w:r>
              <w:rPr>
                <w:rFonts w:ascii="Aptos" w:hAnsi="Aptos"/>
                <w:b/>
                <w:sz w:val="16"/>
              </w:rPr>
              <w:t>Deceased Client Records</w:t>
            </w:r>
          </w:p>
        </w:tc>
        <w:tc>
          <w:tcPr>
            <w:tcW w:type="dxa" w:w="5256"/>
            <w:vAlign w:val="top"/>
          </w:tcPr>
          <w:p>
            <w:pPr>
              <w:spacing w:after="0"/>
            </w:pPr>
            <w:r/>
            <w:r>
              <w:rPr>
                <w:rFonts w:ascii="Aptos" w:hAnsi="Aptos"/>
                <w:b w:val="0"/>
                <w:sz w:val="16"/>
              </w:rPr>
              <w:t>A deceased client’s records do not automatically become public. A person requesting access should have legally recognized authority to act for the deceased client or estate, and the requested information should fall within the scope of that authority. Family relationship and understandable concern do not independently establish access rights.</w:t>
            </w:r>
          </w:p>
        </w:tc>
        <w:tc>
          <w:tcPr>
            <w:tcW w:type="dxa" w:w="2520"/>
            <w:vAlign w:val="top"/>
          </w:tcPr>
          <w:p>
            <w:pPr>
              <w:spacing w:after="0"/>
            </w:pPr>
            <w:r/>
            <w:r>
              <w:rPr>
                <w:rFonts w:ascii="Aptos" w:hAnsi="Aptos"/>
                <w:b w:val="0"/>
                <w:sz w:val="16"/>
              </w:rPr>
              <w:t>After a client’s death, ask: Who has verified legal authority—and what does that authority cover?</w:t>
            </w:r>
          </w:p>
        </w:tc>
      </w:tr>
      <w:tr>
        <w:tc>
          <w:tcPr>
            <w:tcW w:type="dxa" w:w="2376"/>
            <w:vAlign w:val="top"/>
            <w:shd w:fill="F7F9FA"/>
          </w:tcPr>
          <w:p>
            <w:pPr>
              <w:spacing w:after="0"/>
            </w:pPr>
            <w:r/>
            <w:r>
              <w:rPr>
                <w:rFonts w:ascii="Aptos" w:hAnsi="Aptos"/>
                <w:b/>
                <w:sz w:val="16"/>
              </w:rPr>
              <w:t>Written Denial and Partial Access</w:t>
            </w:r>
          </w:p>
        </w:tc>
        <w:tc>
          <w:tcPr>
            <w:tcW w:type="dxa" w:w="5256"/>
            <w:vAlign w:val="top"/>
            <w:shd w:fill="F7F9FA"/>
          </w:tcPr>
          <w:p>
            <w:pPr>
              <w:spacing w:after="0"/>
            </w:pPr>
            <w:r/>
            <w:r>
              <w:rPr>
                <w:rFonts w:ascii="Aptos" w:hAnsi="Aptos"/>
                <w:b w:val="0"/>
                <w:sz w:val="16"/>
              </w:rPr>
              <w:t>A lawful basis for restricting one portion of a record does not automatically justify withholding everything. The therapist should provide access to the remaining information when reasonably possible. When HIPAA requires a written denial, the explanation should identify the reason for denial, whether independent review is available, how review may be requested, and how the client may file a complaint.</w:t>
            </w:r>
          </w:p>
        </w:tc>
        <w:tc>
          <w:tcPr>
            <w:tcW w:type="dxa" w:w="2520"/>
            <w:vAlign w:val="top"/>
            <w:shd w:fill="F7F9FA"/>
          </w:tcPr>
          <w:p>
            <w:pPr>
              <w:spacing w:after="0"/>
            </w:pPr>
            <w:r/>
            <w:r>
              <w:rPr>
                <w:rFonts w:ascii="Aptos" w:hAnsi="Aptos"/>
                <w:b w:val="0"/>
                <w:sz w:val="16"/>
              </w:rPr>
              <w:t>Think: Restrict only what the law permits—provide the rest.</w:t>
            </w:r>
          </w:p>
        </w:tc>
      </w:tr>
      <w:tr>
        <w:tc>
          <w:tcPr>
            <w:tcW w:type="dxa" w:w="2376"/>
            <w:vAlign w:val="top"/>
          </w:tcPr>
          <w:p>
            <w:pPr>
              <w:spacing w:after="0"/>
            </w:pPr>
            <w:r/>
            <w:r>
              <w:rPr>
                <w:rFonts w:ascii="Aptos" w:hAnsi="Aptos"/>
                <w:b/>
                <w:sz w:val="16"/>
              </w:rPr>
              <w:t>California and HIPAA Deadlines</w:t>
            </w:r>
          </w:p>
        </w:tc>
        <w:tc>
          <w:tcPr>
            <w:tcW w:type="dxa" w:w="5256"/>
            <w:vAlign w:val="top"/>
          </w:tcPr>
          <w:p>
            <w:pPr>
              <w:spacing w:after="0"/>
            </w:pPr>
            <w:r/>
            <w:r>
              <w:rPr>
                <w:rFonts w:ascii="Aptos" w:hAnsi="Aptos"/>
                <w:b w:val="0"/>
                <w:sz w:val="16"/>
              </w:rPr>
              <w:t>HIPAA generally requires a covered entity to act on an access request within 30 calendar days, subject to a possible written extension. California provides a faster general timeline for copies: 15 days. When both laws apply, the therapist should not use HIPAA’s longer timeframe to reduce the client’s stronger or faster California access right.</w:t>
            </w:r>
          </w:p>
        </w:tc>
        <w:tc>
          <w:tcPr>
            <w:tcW w:type="dxa" w:w="2520"/>
            <w:vAlign w:val="top"/>
          </w:tcPr>
          <w:p>
            <w:pPr>
              <w:spacing w:after="0"/>
            </w:pPr>
            <w:r/>
            <w:r>
              <w:rPr>
                <w:rFonts w:ascii="Aptos" w:hAnsi="Aptos"/>
                <w:b w:val="0"/>
                <w:sz w:val="16"/>
              </w:rPr>
              <w:t>When federal and California access periods differ: Apply the faster controlling client right.</w:t>
            </w:r>
          </w:p>
        </w:tc>
      </w:tr>
      <w:tr>
        <w:tc>
          <w:tcPr>
            <w:tcW w:type="dxa" w:w="2376"/>
            <w:vAlign w:val="top"/>
            <w:shd w:fill="F7F9FA"/>
          </w:tcPr>
          <w:p>
            <w:pPr>
              <w:spacing w:after="0"/>
            </w:pPr>
            <w:r/>
            <w:r>
              <w:rPr>
                <w:rFonts w:ascii="Aptos" w:hAnsi="Aptos"/>
                <w:b/>
                <w:sz w:val="16"/>
              </w:rPr>
              <w:t>Group-Treatment Records</w:t>
            </w:r>
          </w:p>
        </w:tc>
        <w:tc>
          <w:tcPr>
            <w:tcW w:type="dxa" w:w="5256"/>
            <w:vAlign w:val="top"/>
            <w:shd w:fill="F7F9FA"/>
          </w:tcPr>
          <w:p>
            <w:pPr>
              <w:spacing w:after="0"/>
            </w:pPr>
            <w:r/>
            <w:r>
              <w:rPr>
                <w:rFonts w:ascii="Aptos" w:hAnsi="Aptos"/>
                <w:b w:val="0"/>
                <w:sz w:val="16"/>
              </w:rPr>
              <w:t>The client may have access rights to information concerning their own treatment, but those rights do not automatically eliminate the confidentiality interests of other group members. The therapist should examine whether information can be separated, limited, summarized when legally appropriate and agreed upon, or otherwise provided without exposing unnecessary identifying and clinical information about other participants.</w:t>
            </w:r>
          </w:p>
        </w:tc>
        <w:tc>
          <w:tcPr>
            <w:tcW w:type="dxa" w:w="2520"/>
            <w:vAlign w:val="top"/>
            <w:shd w:fill="F7F9FA"/>
          </w:tcPr>
          <w:p>
            <w:pPr>
              <w:spacing w:after="0"/>
            </w:pPr>
            <w:r/>
            <w:r>
              <w:rPr>
                <w:rFonts w:ascii="Aptos" w:hAnsi="Aptos"/>
                <w:b w:val="0"/>
                <w:sz w:val="16"/>
              </w:rPr>
              <w:t>For group records, protect both: The requester’s lawful accessandOther members’ confidentiality</w:t>
            </w:r>
          </w:p>
        </w:tc>
      </w:tr>
      <w:tr>
        <w:tc>
          <w:tcPr>
            <w:tcW w:type="dxa" w:w="2376"/>
            <w:vAlign w:val="top"/>
          </w:tcPr>
          <w:p>
            <w:pPr>
              <w:spacing w:after="0"/>
            </w:pPr>
            <w:r/>
            <w:r>
              <w:rPr>
                <w:rFonts w:ascii="Aptos" w:hAnsi="Aptos"/>
                <w:b/>
                <w:sz w:val="16"/>
              </w:rPr>
              <w:t>Comprehensive Record-Access Analysis — Part 1 of 2</w:t>
            </w:r>
          </w:p>
        </w:tc>
        <w:tc>
          <w:tcPr>
            <w:tcW w:type="dxa" w:w="5256"/>
            <w:vAlign w:val="top"/>
          </w:tcPr>
          <w:p>
            <w:pPr>
              <w:spacing w:after="0"/>
            </w:pPr>
            <w:r/>
            <w:r>
              <w:rPr>
                <w:rFonts w:ascii="Aptos" w:hAnsi="Aptos"/>
                <w:b w:val="0"/>
                <w:sz w:val="16"/>
              </w:rPr>
              <w:t>The therapist must separate the legal and ethical issues. An unpaid balance, complaint risk, or disagreement with the diagnosis does not justify withholding the record. California’s generally faster 15-day copy deadline controls when applicable, and a readily producible requested electronic format should be used. Ordinary progress notes, the treatment plan, and billing information are generally reviewed under the clinical-record access rules. Separately maintained psychotherapy notes require a distinct state-and-federal analysis, and confidential collateral information must be reviewed before disclosure.</w:t>
            </w:r>
          </w:p>
        </w:tc>
        <w:tc>
          <w:tcPr>
            <w:tcW w:type="dxa" w:w="2520"/>
            <w:vAlign w:val="top"/>
          </w:tcPr>
          <w:p>
            <w:pPr>
              <w:spacing w:after="0"/>
            </w:pPr>
            <w:r/>
            <w:r>
              <w:rPr>
                <w:rFonts w:ascii="Aptos" w:hAnsi="Aptos"/>
                <w:b w:val="0"/>
                <w:sz w:val="16"/>
              </w:rPr>
            </w:r>
          </w:p>
        </w:tc>
      </w:tr>
      <w:tr>
        <w:tc>
          <w:tcPr>
            <w:tcW w:type="dxa" w:w="2376"/>
            <w:vAlign w:val="top"/>
            <w:shd w:fill="F7F9FA"/>
          </w:tcPr>
          <w:p>
            <w:pPr>
              <w:spacing w:after="0"/>
            </w:pPr>
            <w:r/>
            <w:r>
              <w:rPr>
                <w:rFonts w:ascii="Aptos" w:hAnsi="Aptos"/>
                <w:b/>
                <w:sz w:val="16"/>
              </w:rPr>
              <w:t>Comprehensive Record-Access Analysis — Part 2 of 2</w:t>
            </w:r>
          </w:p>
        </w:tc>
        <w:tc>
          <w:tcPr>
            <w:tcW w:type="dxa" w:w="5256"/>
            <w:vAlign w:val="top"/>
            <w:shd w:fill="F7F9FA"/>
          </w:tcPr>
          <w:p>
            <w:pPr>
              <w:spacing w:after="0"/>
            </w:pPr>
            <w:r/>
            <w:r>
              <w:rPr>
                <w:rFonts w:ascii="Aptos" w:hAnsi="Aptos"/>
                <w:b w:val="0"/>
                <w:sz w:val="16"/>
              </w:rPr>
              <w:t>The therapist should document the request, authority, deadline, records provided, any lawful limitation, delivery method, and any required written explanation.</w:t>
            </w:r>
          </w:p>
        </w:tc>
        <w:tc>
          <w:tcPr>
            <w:tcW w:type="dxa" w:w="2520"/>
            <w:vAlign w:val="top"/>
            <w:shd w:fill="F7F9FA"/>
          </w:tcPr>
          <w:p>
            <w:pPr>
              <w:spacing w:after="0"/>
            </w:pPr>
            <w:r/>
            <w:r>
              <w:rPr>
                <w:rFonts w:ascii="Aptos" w:hAnsi="Aptos"/>
                <w:b w:val="0"/>
                <w:sz w:val="16"/>
              </w:rPr>
              <w:t>Separate the requester, access right, record type, third-party information, deadline, lawful limits, and documentation before responding.</w:t>
            </w:r>
          </w:p>
        </w:tc>
      </w:tr>
    </w:tbl>
    <w:p>
      <w:pPr>
        <w:pStyle w:val="Heading2"/>
      </w:pPr>
      <w:r>
        <w:t>Exam Reasoning Checklist</w:t>
      </w:r>
    </w:p>
    <w:p>
      <w:pPr>
        <w:pStyle w:val="ListBullet"/>
        <w:spacing w:after="30"/>
      </w:pPr>
      <w:r>
        <w:t>First sort the request: Client asks for own information = AccessSomeone else asks for client information = Disclosure Do not apply ordinary release-of-information reasoning automatically to a client’s own access request.</w:t>
      </w:r>
    </w:p>
    <w:p>
      <w:pPr>
        <w:pStyle w:val="ListBullet"/>
        <w:spacing w:after="30"/>
      </w:pPr>
      <w:r>
        <w:t>Memorize: 5 = Inspect15 = Copies30 = Certain qualifying no-cost requests</w:t>
      </w:r>
    </w:p>
    <w:p>
      <w:pPr>
        <w:pStyle w:val="ListBullet"/>
        <w:spacing w:after="30"/>
      </w:pPr>
      <w:r>
        <w:t>Titles do not automatically establish authority: Spouse Partner Adult child Parent of an adult Caregiver Friend Look for: Verified authority + relevant scope</w:t>
      </w:r>
    </w:p>
    <w:p>
      <w:pPr>
        <w:pStyle w:val="ListBullet"/>
        <w:spacing w:after="30"/>
      </w:pPr>
      <w:r>
        <w:t>Separate ACCESS from COLLECTIONS. Money owed does not place the record on hold.</w:t>
      </w:r>
    </w:p>
    <w:p>
      <w:pPr>
        <w:pStyle w:val="ListBullet"/>
        <w:spacing w:after="30"/>
      </w:pPr>
      <w:r>
        <w:t>A lawful limitation requires BOTH a specific ground AND the required procedure. Do not confuse anticipated discomfort with the statutory risk standard.</w:t>
      </w:r>
    </w:p>
    <w:p>
      <w:pPr>
        <w:pStyle w:val="ListBullet"/>
        <w:spacing w:after="30"/>
      </w:pPr>
      <w:r>
        <w:t>Trigger phrase: “The minor independently consented.” Then analyze CONSENT → REPRESENTATIVE AUTHORITY → ACCESS LIMITS.</w:t>
      </w:r>
    </w:p>
    <w:p>
      <w:pPr>
        <w:pStyle w:val="ListBullet"/>
        <w:spacing w:after="30"/>
      </w:pPr>
      <w:r>
        <w:t>For mixed records: REVIEW → SEPARATE LAWFULLY → PROVIDE ACCESSIBLE PORTIONS → DOCUMENT.</w:t>
      </w:r>
    </w:p>
    <w:p>
      <w:pPr>
        <w:pStyle w:val="ListBullet"/>
        <w:spacing w:after="30"/>
      </w:pPr>
      <w:r>
        <w:t>Verify without obstructing. Then use the requested format and the faster controlling deadline.</w:t>
      </w:r>
    </w:p>
    <w:p>
      <w:pPr>
        <w:pStyle w:val="Heading2"/>
      </w:pPr>
      <w:r>
        <w:t>Chapter Rapid Review</w:t>
      </w:r>
    </w:p>
    <w:p>
      <w:r>
        <w:rPr>
          <w:b/>
        </w:rPr>
        <w:t xml:space="preserve">Know these concepts: </w:t>
      </w:r>
      <w:r>
        <w:t>Client Access vs. Third-Party Disclosure; California Record-Access Timelines; Personal-Representative Authority; Record Access and Unpaid Balances; Limited Mental-Health Record Restriction; Minor-Consented Care and Parent Requests; Third-Party Information in Client Records; Electronic Format and Identity Verification; Psychotherapy Notes and California Access; Client Access and Subpoena Analysis; Record-Copy Fees; Inspection of Records; Deceased Client Records; Written Denial and Partial Access; California and HIPAA Deadlines; Group-Treatment Records; Comprehensive Record-Access Analysis — Part 1 of 2; Comprehensive Record-Access Analysis — Part 2 of 2</w:t>
      </w:r>
    </w:p>
    <w:p>
      <w:r>
        <w:br w:type="page"/>
      </w:r>
    </w:p>
    <w:p>
      <w:pPr>
        <w:pStyle w:val="Heading1"/>
      </w:pPr>
      <w:r>
        <w:t>Workbook Close</w:t>
      </w:r>
    </w:p>
    <w:tbl>
      <w:tblPr>
        <w:tblStyle w:val="TableGrid"/>
        <w:tblW w:type="auto" w:w="0"/>
        <w:jc w:val="center"/>
        <w:tblLook w:firstColumn="1" w:firstRow="1" w:lastColumn="0" w:lastRow="0" w:noHBand="0" w:noVBand="1" w:val="04A0"/>
      </w:tblPr>
      <w:tblGrid>
        <w:gridCol w:w="10368"/>
      </w:tblGrid>
      <w:tr>
        <w:tc>
          <w:tcPr>
            <w:tcW w:type="dxa" w:w="10368"/>
            <w:shd w:fill="E9F7F6"/>
            <w:vAlign w:val="top"/>
          </w:tcPr>
          <w:p>
            <w:pPr>
              <w:spacing w:after="0"/>
            </w:pPr>
            <w:r/>
            <w:r>
              <w:rPr>
                <w:rFonts w:ascii="Aptos" w:hAnsi="Aptos"/>
                <w:b/>
                <w:sz w:val="18"/>
              </w:rPr>
              <w:t>Workbook 8 complete. Use the online chapter tests, the programwide rapid-review guide, and the 807-card Study Center to identify weak areas. A strong study answer applies the correct rule to the correct actor, role, timing, and client-protection need.</w:t>
            </w:r>
          </w:p>
        </w:tc>
      </w:tr>
    </w:tbl>
    <w:sectPr w:rsidR="00FC693F" w:rsidRPr="0006063C" w:rsidSect="00034616">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E6E6E"/>
        <w:sz w:val="15"/>
      </w:rPr>
      <w:t>CTA-EP-003 | Workbook 8 | LPCC Candidate Edition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82D4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79B9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82D4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82D49"/>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