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9: Clinical Documentation and Record Management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Clinical Documentation Standards</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Documentation Errors, Risk Management, and High-Risk Situations</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Record Retention Requirements</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Record Security, Storage, and Record Destruction</w:t>
            </w:r>
          </w:p>
        </w:tc>
        <w:tc>
          <w:tcPr>
            <w:tcW w:type="dxa" w:w="1296"/>
            <w:vAlign w:val="top"/>
            <w:shd w:fill="F2F4F7"/>
          </w:tcPr>
          <w:p>
            <w:pPr>
              <w:spacing w:after="0"/>
            </w:pPr>
            <w:r/>
            <w:r>
              <w:rPr>
                <w:rFonts w:ascii="Aptos" w:hAnsi="Aptos"/>
                <w:b w:val="0"/>
                <w:sz w:val="17"/>
              </w:rPr>
              <w:t>19</w:t>
            </w:r>
          </w:p>
        </w:tc>
      </w:tr>
    </w:tbl>
    <w:p>
      <w:r>
        <w:br w:type="page"/>
      </w:r>
    </w:p>
    <w:p>
      <w:pPr>
        <w:pStyle w:val="Heading2"/>
      </w:pPr>
      <w:r>
        <w:t>Chapter 1</w:t>
      </w:r>
    </w:p>
    <w:p>
      <w:pPr>
        <w:pStyle w:val="Heading1"/>
      </w:pPr>
      <w:r>
        <w:t>Clinical Documentation Standards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Clinical documentation creates a professional record of the services provided, the client’s clinical presentation, interventions used, decisions made, and follow-up plans. Well-maintained records support continuity of care, help clinicians monitor progress, facilitate appropriate professional communication, and demonstrate the reasoning behind important treatment decisions. The client arrived 20 minutes late, spoke loudly when discussing the missed appointment, and stated, “I felt criticized” This statement documents observable behavior, timing, and the client’s own words. It allows another professional to understand what occurred without presenting assumptions about the client’s character or motivation as fact. Objective documentation may include observations, client statements, clinical findings, and relevant responses to interventions.</w:t>
            </w:r>
          </w:p>
        </w:tc>
      </w:tr>
    </w:tbl>
    <w:p>
      <w:pPr>
        <w:pStyle w:val="Heading2"/>
      </w:pPr>
      <w:r>
        <w:t>What to Learn</w:t>
      </w:r>
    </w:p>
    <w:p>
      <w:pPr>
        <w:pStyle w:val="ListBullet"/>
        <w:spacing w:after="30"/>
      </w:pPr>
      <w:r>
        <w:t>Explain and apply Purpose of Clinical Documentation.</w:t>
      </w:r>
    </w:p>
    <w:p>
      <w:pPr>
        <w:pStyle w:val="ListBullet"/>
        <w:spacing w:after="30"/>
      </w:pPr>
      <w:r>
        <w:t>Explain and apply Objective Documentation.</w:t>
      </w:r>
    </w:p>
    <w:p>
      <w:pPr>
        <w:pStyle w:val="ListBullet"/>
        <w:spacing w:after="30"/>
      </w:pPr>
      <w:r>
        <w:t>Explain and apply Clarity and Continuity of Care.</w:t>
      </w:r>
    </w:p>
    <w:p>
      <w:pPr>
        <w:pStyle w:val="ListBullet"/>
        <w:spacing w:after="30"/>
      </w:pPr>
      <w:r>
        <w:t>Explain and apply Timely Documentation.</w:t>
      </w:r>
    </w:p>
    <w:p>
      <w:pPr>
        <w:pStyle w:val="ListBullet"/>
        <w:spacing w:after="30"/>
      </w:pPr>
      <w:r>
        <w:t>Explain and apply Clinically Relevant Documentation.</w:t>
      </w:r>
    </w:p>
    <w:p>
      <w:pPr>
        <w:pStyle w:val="ListBullet"/>
        <w:spacing w:after="30"/>
      </w:pPr>
      <w:r>
        <w:t>Explain and apply Professional Language.</w:t>
      </w:r>
    </w:p>
    <w:p>
      <w:pPr>
        <w:pStyle w:val="ListBullet"/>
        <w:spacing w:after="30"/>
      </w:pPr>
      <w:r>
        <w:t>Explain and apply Documentation of Clinical Reasoning.</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Clinical Documentation</w:t>
            </w:r>
          </w:p>
        </w:tc>
        <w:tc>
          <w:tcPr>
            <w:tcW w:type="dxa" w:w="5256"/>
            <w:vAlign w:val="top"/>
          </w:tcPr>
          <w:p>
            <w:pPr>
              <w:spacing w:after="0"/>
            </w:pPr>
            <w:r/>
            <w:r>
              <w:rPr>
                <w:rFonts w:ascii="Aptos" w:hAnsi="Aptos"/>
                <w:b w:val="0"/>
                <w:sz w:val="16"/>
              </w:rPr>
              <w:t>Clinical documentation creates a professional record of the services provided, the client’s clinical presentation, interventions used, decisions made, and follow-up plans. Well-maintained records support continuity of care, help clinicians monitor progress, facilitate appropriate professional communication, and demonstrate the reasoning behind important treatment decisions.</w:t>
            </w:r>
          </w:p>
        </w:tc>
        <w:tc>
          <w:tcPr>
            <w:tcW w:type="dxa" w:w="2520"/>
            <w:vAlign w:val="top"/>
          </w:tcPr>
          <w:p>
            <w:pPr>
              <w:spacing w:after="0"/>
            </w:pPr>
            <w:r/>
            <w:r>
              <w:rPr>
                <w:rFonts w:ascii="Aptos" w:hAnsi="Aptos"/>
                <w:b w:val="0"/>
                <w:sz w:val="16"/>
              </w:rPr>
              <w:t>Remember: Documentation is part of treatment—not separate from treatment. Look for answers emphasizing continuity, communication, clinical reasoning, and client welfare.</w:t>
            </w:r>
          </w:p>
        </w:tc>
      </w:tr>
      <w:tr>
        <w:tc>
          <w:tcPr>
            <w:tcW w:type="dxa" w:w="2376"/>
            <w:vAlign w:val="top"/>
            <w:shd w:fill="F7F9FA"/>
          </w:tcPr>
          <w:p>
            <w:pPr>
              <w:spacing w:after="0"/>
            </w:pPr>
            <w:r/>
            <w:r>
              <w:rPr>
                <w:rFonts w:ascii="Aptos" w:hAnsi="Aptos"/>
                <w:b/>
                <w:sz w:val="16"/>
              </w:rPr>
              <w:t>Objective Documentation</w:t>
            </w:r>
          </w:p>
        </w:tc>
        <w:tc>
          <w:tcPr>
            <w:tcW w:type="dxa" w:w="5256"/>
            <w:vAlign w:val="top"/>
            <w:shd w:fill="F7F9FA"/>
          </w:tcPr>
          <w:p>
            <w:pPr>
              <w:spacing w:after="0"/>
            </w:pPr>
            <w:r/>
            <w:r>
              <w:rPr>
                <w:rFonts w:ascii="Aptos" w:hAnsi="Aptos"/>
                <w:b w:val="0"/>
                <w:sz w:val="16"/>
              </w:rPr>
              <w:t>The client arrived 20 minutes late, spoke loudly when discussing the missed appointment, and stated, “I felt criticized” This statement documents observable behavior, timing, and the client’s own words. It allows another professional to understand what occurred without presenting assumptions about the client’s character or motivation as fact. Objective documentation may include observations, client statements, clinical findings, and relevant responses to interventions.</w:t>
            </w:r>
          </w:p>
        </w:tc>
        <w:tc>
          <w:tcPr>
            <w:tcW w:type="dxa" w:w="2520"/>
            <w:vAlign w:val="top"/>
            <w:shd w:fill="F7F9FA"/>
          </w:tcPr>
          <w:p>
            <w:pPr>
              <w:spacing w:after="0"/>
            </w:pPr>
            <w:r/>
            <w:r>
              <w:rPr>
                <w:rFonts w:ascii="Aptos" w:hAnsi="Aptos"/>
                <w:b w:val="0"/>
                <w:sz w:val="16"/>
              </w:rPr>
              <w:t>Use the workbook’s rule: Observe. Don’t label. Choose the answer that documents behavior, statements, and observable facts rather than personality judgments.</w:t>
            </w:r>
          </w:p>
        </w:tc>
      </w:tr>
      <w:tr>
        <w:tc>
          <w:tcPr>
            <w:tcW w:type="dxa" w:w="2376"/>
            <w:vAlign w:val="top"/>
          </w:tcPr>
          <w:p>
            <w:pPr>
              <w:spacing w:after="0"/>
            </w:pPr>
            <w:r/>
            <w:r>
              <w:rPr>
                <w:rFonts w:ascii="Aptos" w:hAnsi="Aptos"/>
                <w:b/>
                <w:sz w:val="16"/>
              </w:rPr>
              <w:t>Clarity and Continuity of Care</w:t>
            </w:r>
          </w:p>
        </w:tc>
        <w:tc>
          <w:tcPr>
            <w:tcW w:type="dxa" w:w="5256"/>
            <w:vAlign w:val="top"/>
          </w:tcPr>
          <w:p>
            <w:pPr>
              <w:spacing w:after="0"/>
            </w:pPr>
            <w:r/>
            <w:r>
              <w:rPr>
                <w:rFonts w:ascii="Aptos" w:hAnsi="Aptos"/>
                <w:b w:val="0"/>
                <w:sz w:val="16"/>
              </w:rPr>
              <w:t>Documentation should be clear enough for another competent professional to understand the concerns addressed, interventions provided, client responses, significant decisions, and next steps. Session dates alone may establish that appointments occurred, but they do not adequately communicate the course of treatment or support a safe transition to another provider.</w:t>
            </w:r>
          </w:p>
        </w:tc>
        <w:tc>
          <w:tcPr>
            <w:tcW w:type="dxa" w:w="2520"/>
            <w:vAlign w:val="top"/>
          </w:tcPr>
          <w:p>
            <w:pPr>
              <w:spacing w:after="0"/>
            </w:pPr>
            <w:r/>
            <w:r>
              <w:rPr>
                <w:rFonts w:ascii="Aptos" w:hAnsi="Aptos"/>
                <w:b w:val="0"/>
                <w:sz w:val="16"/>
              </w:rPr>
              <w:t>Apply the documentation test: Could another competent professional understand what happened, why decisions were made, and what should occur next? When the answer is no, the record likely lacks sufficient clarity.</w:t>
            </w:r>
          </w:p>
        </w:tc>
      </w:tr>
      <w:tr>
        <w:tc>
          <w:tcPr>
            <w:tcW w:type="dxa" w:w="2376"/>
            <w:vAlign w:val="top"/>
            <w:shd w:fill="F7F9FA"/>
          </w:tcPr>
          <w:p>
            <w:pPr>
              <w:spacing w:after="0"/>
            </w:pPr>
            <w:r/>
            <w:r>
              <w:rPr>
                <w:rFonts w:ascii="Aptos" w:hAnsi="Aptos"/>
                <w:b/>
                <w:sz w:val="16"/>
              </w:rPr>
              <w:t>Timely Documentation</w:t>
            </w:r>
          </w:p>
        </w:tc>
        <w:tc>
          <w:tcPr>
            <w:tcW w:type="dxa" w:w="5256"/>
            <w:vAlign w:val="top"/>
            <w:shd w:fill="F7F9FA"/>
          </w:tcPr>
          <w:p>
            <w:pPr>
              <w:spacing w:after="0"/>
            </w:pPr>
            <w:r/>
            <w:r>
              <w:rPr>
                <w:rFonts w:ascii="Aptos" w:hAnsi="Aptos"/>
                <w:b w:val="0"/>
                <w:sz w:val="16"/>
              </w:rPr>
              <w:t>Documentation should generally be completed as soon as reasonably possible after the service is provided. As time passes, details may be forgotten, confused with other sessions, or reconstructed inaccurately. A substantial delay may weaken continuity of care and make the record less reliable if later reviewed during consultation, transfer, investigation, or legal proceedings.</w:t>
            </w:r>
          </w:p>
        </w:tc>
        <w:tc>
          <w:tcPr>
            <w:tcW w:type="dxa" w:w="2520"/>
            <w:vAlign w:val="top"/>
            <w:shd w:fill="F7F9FA"/>
          </w:tcPr>
          <w:p>
            <w:pPr>
              <w:spacing w:after="0"/>
            </w:pPr>
            <w:r/>
            <w:r>
              <w:rPr>
                <w:rFonts w:ascii="Aptos" w:hAnsi="Aptos"/>
                <w:b w:val="0"/>
                <w:sz w:val="16"/>
              </w:rPr>
              <w:t>When choosing between prompt and delayed documentation, the examination generally favors: Document as soon as reasonably possible.</w:t>
            </w:r>
          </w:p>
        </w:tc>
      </w:tr>
      <w:tr>
        <w:tc>
          <w:tcPr>
            <w:tcW w:type="dxa" w:w="2376"/>
            <w:vAlign w:val="top"/>
          </w:tcPr>
          <w:p>
            <w:pPr>
              <w:spacing w:after="0"/>
            </w:pPr>
            <w:r/>
            <w:r>
              <w:rPr>
                <w:rFonts w:ascii="Aptos" w:hAnsi="Aptos"/>
                <w:b/>
                <w:sz w:val="16"/>
              </w:rPr>
              <w:t>Clinically Relevant Documentation</w:t>
            </w:r>
          </w:p>
        </w:tc>
        <w:tc>
          <w:tcPr>
            <w:tcW w:type="dxa" w:w="5256"/>
            <w:vAlign w:val="top"/>
          </w:tcPr>
          <w:p>
            <w:pPr>
              <w:spacing w:after="0"/>
            </w:pPr>
            <w:r/>
            <w:r>
              <w:rPr>
                <w:rFonts w:ascii="Aptos" w:hAnsi="Aptos"/>
                <w:b w:val="0"/>
                <w:sz w:val="16"/>
              </w:rPr>
              <w:t>Clinical documentation should contain information that supports assessment, treatment, continuity of care, risk management, and professional decision-making. Gossip, personal opinions, and unrelated details may distract from important clinical information and unnecessarily expose third parties. Good documentation is complete enough to support care without becoming excessive.</w:t>
            </w:r>
          </w:p>
        </w:tc>
        <w:tc>
          <w:tcPr>
            <w:tcW w:type="dxa" w:w="2520"/>
            <w:vAlign w:val="top"/>
          </w:tcPr>
          <w:p>
            <w:pPr>
              <w:spacing w:after="0"/>
            </w:pPr>
            <w:r/>
            <w:r>
              <w:rPr>
                <w:rFonts w:ascii="Aptos" w:hAnsi="Aptos"/>
                <w:b w:val="0"/>
                <w:sz w:val="16"/>
              </w:rPr>
              <w:t>Use this rule: Include what is clinically useful. Exclude what is merely interesting.</w:t>
            </w:r>
          </w:p>
        </w:tc>
      </w:tr>
      <w:tr>
        <w:tc>
          <w:tcPr>
            <w:tcW w:type="dxa" w:w="2376"/>
            <w:vAlign w:val="top"/>
            <w:shd w:fill="F7F9FA"/>
          </w:tcPr>
          <w:p>
            <w:pPr>
              <w:spacing w:after="0"/>
            </w:pPr>
            <w:r/>
            <w:r>
              <w:rPr>
                <w:rFonts w:ascii="Aptos" w:hAnsi="Aptos"/>
                <w:b/>
                <w:sz w:val="16"/>
              </w:rPr>
              <w:t>Professional Language</w:t>
            </w:r>
          </w:p>
        </w:tc>
        <w:tc>
          <w:tcPr>
            <w:tcW w:type="dxa" w:w="5256"/>
            <w:vAlign w:val="top"/>
            <w:shd w:fill="F7F9FA"/>
          </w:tcPr>
          <w:p>
            <w:pPr>
              <w:spacing w:after="0"/>
            </w:pPr>
            <w:r/>
            <w:r>
              <w:rPr>
                <w:rFonts w:ascii="Aptos" w:hAnsi="Aptos"/>
                <w:b w:val="0"/>
                <w:sz w:val="16"/>
              </w:rPr>
              <w:t>The revised statement describes observable behavior and the context in which it occurred. It avoids insulting, sarcastic, punitive, or speculative language. Professional documentation should permit another clinician to understand the event without relying on character judgments.</w:t>
            </w:r>
          </w:p>
        </w:tc>
        <w:tc>
          <w:tcPr>
            <w:tcW w:type="dxa" w:w="2520"/>
            <w:vAlign w:val="top"/>
            <w:shd w:fill="F7F9FA"/>
          </w:tcPr>
          <w:p>
            <w:pPr>
              <w:spacing w:after="0"/>
            </w:pPr>
            <w:r/>
            <w:r>
              <w:rPr>
                <w:rFonts w:ascii="Aptos" w:hAnsi="Aptos"/>
                <w:b w:val="0"/>
                <w:sz w:val="16"/>
              </w:rPr>
              <w:t>Replace labels with: What the client said, did, or displayed.</w:t>
            </w:r>
          </w:p>
        </w:tc>
      </w:tr>
      <w:tr>
        <w:tc>
          <w:tcPr>
            <w:tcW w:type="dxa" w:w="2376"/>
            <w:vAlign w:val="top"/>
          </w:tcPr>
          <w:p>
            <w:pPr>
              <w:spacing w:after="0"/>
            </w:pPr>
            <w:r/>
            <w:r>
              <w:rPr>
                <w:rFonts w:ascii="Aptos" w:hAnsi="Aptos"/>
                <w:b/>
                <w:sz w:val="16"/>
              </w:rPr>
              <w:t>Documentation of Clinical Reasoning</w:t>
            </w:r>
          </w:p>
        </w:tc>
        <w:tc>
          <w:tcPr>
            <w:tcW w:type="dxa" w:w="5256"/>
            <w:vAlign w:val="top"/>
          </w:tcPr>
          <w:p>
            <w:pPr>
              <w:spacing w:after="0"/>
            </w:pPr>
            <w:r/>
            <w:r>
              <w:rPr>
                <w:rFonts w:ascii="Aptos" w:hAnsi="Aptos"/>
                <w:b w:val="0"/>
                <w:sz w:val="16"/>
              </w:rPr>
              <w:t>Significant treatment decisions should be supported by documentation of the relevant assessment, clinical reasoning, intervention, and follow-up plan. The record should help another professional understand why session frequency changed and what concerns or goals the change was intended to address.</w:t>
            </w:r>
          </w:p>
        </w:tc>
        <w:tc>
          <w:tcPr>
            <w:tcW w:type="dxa" w:w="2520"/>
            <w:vAlign w:val="top"/>
          </w:tcPr>
          <w:p>
            <w:pPr>
              <w:spacing w:after="0"/>
            </w:pPr>
            <w:r/>
            <w:r>
              <w:rPr>
                <w:rFonts w:ascii="Aptos" w:hAnsi="Aptos"/>
                <w:b w:val="0"/>
                <w:sz w:val="16"/>
              </w:rPr>
              <w:t>For a significant decision, document: Assessment → Reasoning → Decision → Plan</w:t>
            </w:r>
          </w:p>
        </w:tc>
      </w:tr>
      <w:tr>
        <w:tc>
          <w:tcPr>
            <w:tcW w:type="dxa" w:w="2376"/>
            <w:vAlign w:val="top"/>
            <w:shd w:fill="F7F9FA"/>
          </w:tcPr>
          <w:p>
            <w:pPr>
              <w:spacing w:after="0"/>
            </w:pPr>
            <w:r/>
            <w:r>
              <w:rPr>
                <w:rFonts w:ascii="Aptos" w:hAnsi="Aptos"/>
                <w:b/>
                <w:sz w:val="16"/>
              </w:rPr>
              <w:t>Documentation and Risk Management</w:t>
            </w:r>
          </w:p>
        </w:tc>
        <w:tc>
          <w:tcPr>
            <w:tcW w:type="dxa" w:w="5256"/>
            <w:vAlign w:val="top"/>
            <w:shd w:fill="F7F9FA"/>
          </w:tcPr>
          <w:p>
            <w:pPr>
              <w:spacing w:after="0"/>
            </w:pPr>
            <w:r/>
            <w:r>
              <w:rPr>
                <w:rFonts w:ascii="Aptos" w:hAnsi="Aptos"/>
                <w:b w:val="0"/>
                <w:sz w:val="16"/>
              </w:rPr>
              <w:t>Risk-related documentation should show what information was obtained, how the therapist evaluated the concern, what protective and risk factors were considered, what consultation occurred, what actions were taken, and what follow-up was planned. This supports continuity of care and demonstrates the clinical decision-making process rather than merely recording the final conclusion.</w:t>
            </w:r>
          </w:p>
        </w:tc>
        <w:tc>
          <w:tcPr>
            <w:tcW w:type="dxa" w:w="2520"/>
            <w:vAlign w:val="top"/>
            <w:shd w:fill="F7F9FA"/>
          </w:tcPr>
          <w:p>
            <w:pPr>
              <w:spacing w:after="0"/>
            </w:pPr>
            <w:r/>
            <w:r>
              <w:rPr>
                <w:rFonts w:ascii="Aptos" w:hAnsi="Aptos"/>
                <w:b w:val="0"/>
                <w:sz w:val="16"/>
              </w:rPr>
              <w:t>In high-risk situations, document: Concern → Assessment → Decision → Intervention → Follow-up</w:t>
            </w:r>
          </w:p>
        </w:tc>
      </w:tr>
      <w:tr>
        <w:tc>
          <w:tcPr>
            <w:tcW w:type="dxa" w:w="2376"/>
            <w:vAlign w:val="top"/>
          </w:tcPr>
          <w:p>
            <w:pPr>
              <w:spacing w:after="0"/>
            </w:pPr>
            <w:r/>
            <w:r>
              <w:rPr>
                <w:rFonts w:ascii="Aptos" w:hAnsi="Aptos"/>
                <w:b/>
                <w:sz w:val="16"/>
              </w:rPr>
              <w:t>Documentation Cannot Replace Competence</w:t>
            </w:r>
          </w:p>
        </w:tc>
        <w:tc>
          <w:tcPr>
            <w:tcW w:type="dxa" w:w="5256"/>
            <w:vAlign w:val="top"/>
          </w:tcPr>
          <w:p>
            <w:pPr>
              <w:spacing w:after="0"/>
            </w:pPr>
            <w:r/>
            <w:r>
              <w:rPr>
                <w:rFonts w:ascii="Aptos" w:hAnsi="Aptos"/>
                <w:b w:val="0"/>
                <w:sz w:val="16"/>
              </w:rPr>
              <w:t>Documentation may show what the therapist did and why, but it cannot replace the knowledge, skills, judgment, or preparation required to provide the service competently. Excellent documentation does not transform poor, unethical, or incompetent treatment into appropriate professional practice.</w:t>
            </w:r>
          </w:p>
        </w:tc>
        <w:tc>
          <w:tcPr>
            <w:tcW w:type="dxa" w:w="2520"/>
            <w:vAlign w:val="top"/>
          </w:tcPr>
          <w:p>
            <w:pPr>
              <w:spacing w:after="0"/>
            </w:pPr>
            <w:r/>
            <w:r>
              <w:rPr>
                <w:rFonts w:ascii="Aptos" w:hAnsi="Aptos"/>
                <w:b w:val="0"/>
                <w:sz w:val="16"/>
              </w:rPr>
              <w:t>Remember: Documenting poor practice well does not make it good practice.</w:t>
            </w:r>
          </w:p>
        </w:tc>
      </w:tr>
      <w:tr>
        <w:tc>
          <w:tcPr>
            <w:tcW w:type="dxa" w:w="2376"/>
            <w:vAlign w:val="top"/>
            <w:shd w:fill="F7F9FA"/>
          </w:tcPr>
          <w:p>
            <w:pPr>
              <w:spacing w:after="0"/>
            </w:pPr>
            <w:r/>
            <w:r>
              <w:rPr>
                <w:rFonts w:ascii="Aptos" w:hAnsi="Aptos"/>
                <w:b/>
                <w:sz w:val="16"/>
              </w:rPr>
              <w:t>Integrated Documentation Quality</w:t>
            </w:r>
          </w:p>
        </w:tc>
        <w:tc>
          <w:tcPr>
            <w:tcW w:type="dxa" w:w="5256"/>
            <w:vAlign w:val="top"/>
            <w:shd w:fill="F7F9FA"/>
          </w:tcPr>
          <w:p>
            <w:pPr>
              <w:spacing w:after="0"/>
            </w:pPr>
            <w:r/>
            <w:r>
              <w:rPr>
                <w:rFonts w:ascii="Aptos" w:hAnsi="Aptos"/>
                <w:b w:val="0"/>
                <w:sz w:val="16"/>
              </w:rPr>
              <w:t>Effective documentation requires more than prompt completion or extensive detail. It should be accurate, objective, timely, clear, professional, and clinically relevant. Unsupported conclusions, sarcasm, gossip, and unexplained decisions weaken the record even when the notes are lengthy and completed immediately after sessions.</w:t>
            </w:r>
          </w:p>
        </w:tc>
        <w:tc>
          <w:tcPr>
            <w:tcW w:type="dxa" w:w="2520"/>
            <w:vAlign w:val="top"/>
            <w:shd w:fill="F7F9FA"/>
          </w:tcPr>
          <w:p>
            <w:pPr>
              <w:spacing w:after="0"/>
            </w:pPr>
            <w:r/>
            <w:r>
              <w:rPr>
                <w:rFonts w:ascii="Aptos" w:hAnsi="Aptos"/>
                <w:b w:val="0"/>
                <w:sz w:val="16"/>
              </w:rPr>
              <w:t>Apply the full A-O-T-C-P test: Accurate Objective Timely Clear Professional A note that satisfies only one or two elements is not necessarily adequate.</w:t>
            </w:r>
          </w:p>
        </w:tc>
      </w:tr>
      <w:tr>
        <w:tc>
          <w:tcPr>
            <w:tcW w:type="dxa" w:w="2376"/>
            <w:vAlign w:val="top"/>
          </w:tcPr>
          <w:p>
            <w:pPr>
              <w:spacing w:after="0"/>
            </w:pPr>
            <w:r/>
            <w:r>
              <w:rPr>
                <w:rFonts w:ascii="Aptos" w:hAnsi="Aptos"/>
                <w:b/>
                <w:sz w:val="16"/>
              </w:rPr>
              <w:t>Documentation Accuracy</w:t>
            </w:r>
          </w:p>
        </w:tc>
        <w:tc>
          <w:tcPr>
            <w:tcW w:type="dxa" w:w="5256"/>
            <w:vAlign w:val="top"/>
          </w:tcPr>
          <w:p>
            <w:pPr>
              <w:spacing w:after="0"/>
            </w:pPr>
            <w:r/>
            <w:r>
              <w:rPr>
                <w:rFonts w:ascii="Aptos" w:hAnsi="Aptos"/>
                <w:b w:val="0"/>
                <w:sz w:val="16"/>
              </w:rPr>
              <w:t>Accurate documentation reflects the services that were actually provided and the information available at the time. It may include relevant client statements, clinical observations, interventions, responses, decisions, and follow-up plans. The record should represent the treatment truthfully rather than being shaped to create a more favorable impression.</w:t>
            </w:r>
          </w:p>
        </w:tc>
        <w:tc>
          <w:tcPr>
            <w:tcW w:type="dxa" w:w="2520"/>
            <w:vAlign w:val="top"/>
          </w:tcPr>
          <w:p>
            <w:pPr>
              <w:spacing w:after="0"/>
            </w:pPr>
            <w:r/>
            <w:r>
              <w:rPr>
                <w:rFonts w:ascii="Aptos" w:hAnsi="Aptos"/>
                <w:b w:val="0"/>
                <w:sz w:val="16"/>
              </w:rPr>
              <w:t>Remember: Document what occurred—not what should have occurred.</w:t>
            </w:r>
          </w:p>
        </w:tc>
      </w:tr>
      <w:tr>
        <w:tc>
          <w:tcPr>
            <w:tcW w:type="dxa" w:w="2376"/>
            <w:vAlign w:val="top"/>
            <w:shd w:fill="F7F9FA"/>
          </w:tcPr>
          <w:p>
            <w:pPr>
              <w:spacing w:after="0"/>
            </w:pPr>
            <w:r/>
            <w:r>
              <w:rPr>
                <w:rFonts w:ascii="Aptos" w:hAnsi="Aptos"/>
                <w:b/>
                <w:sz w:val="16"/>
              </w:rPr>
              <w:t>Appropriate Progress-Note Content</w:t>
            </w:r>
          </w:p>
        </w:tc>
        <w:tc>
          <w:tcPr>
            <w:tcW w:type="dxa" w:w="5256"/>
            <w:vAlign w:val="top"/>
            <w:shd w:fill="F7F9FA"/>
          </w:tcPr>
          <w:p>
            <w:pPr>
              <w:spacing w:after="0"/>
            </w:pPr>
            <w:r/>
            <w:r>
              <w:rPr>
                <w:rFonts w:ascii="Aptos" w:hAnsi="Aptos"/>
                <w:b w:val="0"/>
                <w:sz w:val="16"/>
              </w:rPr>
              <w:t>A useful progress note identifies the clinically relevant issue, the services or intervention provided, the client’s response, significant decisions, and the next step in treatment. This level of information supports continuity of care without turning the note into a verbatim transcript.</w:t>
            </w:r>
          </w:p>
        </w:tc>
        <w:tc>
          <w:tcPr>
            <w:tcW w:type="dxa" w:w="2520"/>
            <w:vAlign w:val="top"/>
            <w:shd w:fill="F7F9FA"/>
          </w:tcPr>
          <w:p>
            <w:pPr>
              <w:spacing w:after="0"/>
            </w:pPr>
            <w:r/>
            <w:r>
              <w:rPr>
                <w:rFonts w:ascii="Aptos" w:hAnsi="Aptos"/>
                <w:b w:val="0"/>
                <w:sz w:val="16"/>
              </w:rPr>
              <w:t>A strong progress note generally answers: What was addressed? What was done? How did the client respond? What happens next?</w:t>
            </w:r>
          </w:p>
        </w:tc>
      </w:tr>
      <w:tr>
        <w:tc>
          <w:tcPr>
            <w:tcW w:type="dxa" w:w="2376"/>
            <w:vAlign w:val="top"/>
          </w:tcPr>
          <w:p>
            <w:pPr>
              <w:spacing w:after="0"/>
            </w:pPr>
            <w:r/>
            <w:r>
              <w:rPr>
                <w:rFonts w:ascii="Aptos" w:hAnsi="Aptos"/>
                <w:b/>
                <w:sz w:val="16"/>
              </w:rPr>
              <w:t>Professional Accountability</w:t>
            </w:r>
          </w:p>
        </w:tc>
        <w:tc>
          <w:tcPr>
            <w:tcW w:type="dxa" w:w="5256"/>
            <w:vAlign w:val="top"/>
          </w:tcPr>
          <w:p>
            <w:pPr>
              <w:spacing w:after="0"/>
            </w:pPr>
            <w:r/>
            <w:r>
              <w:rPr>
                <w:rFonts w:ascii="Aptos" w:hAnsi="Aptos"/>
                <w:b w:val="0"/>
                <w:sz w:val="16"/>
              </w:rPr>
              <w:t>Clinical records may later be reviewed during continued treatment, transfer of care, consultation, audits, licensing investigations, complaints, or legal proceedings. A clear record helps explain what occurred and why the therapist made particular professional decisions.</w:t>
            </w:r>
          </w:p>
        </w:tc>
        <w:tc>
          <w:tcPr>
            <w:tcW w:type="dxa" w:w="2520"/>
            <w:vAlign w:val="top"/>
          </w:tcPr>
          <w:p>
            <w:pPr>
              <w:spacing w:after="0"/>
            </w:pPr>
            <w:r/>
            <w:r>
              <w:rPr>
                <w:rFonts w:ascii="Aptos" w:hAnsi="Aptos"/>
                <w:b w:val="0"/>
                <w:sz w:val="16"/>
              </w:rPr>
              <w:t>Think of documentation as evidence of: Service + reasoning + action + follow-up</w:t>
            </w:r>
          </w:p>
        </w:tc>
      </w:tr>
      <w:tr>
        <w:tc>
          <w:tcPr>
            <w:tcW w:type="dxa" w:w="2376"/>
            <w:vAlign w:val="top"/>
            <w:shd w:fill="F7F9FA"/>
          </w:tcPr>
          <w:p>
            <w:pPr>
              <w:spacing w:after="0"/>
            </w:pPr>
            <w:r/>
            <w:r>
              <w:rPr>
                <w:rFonts w:ascii="Aptos" w:hAnsi="Aptos"/>
                <w:b/>
                <w:sz w:val="16"/>
              </w:rPr>
              <w:t>Documenting Consultation</w:t>
            </w:r>
          </w:p>
        </w:tc>
        <w:tc>
          <w:tcPr>
            <w:tcW w:type="dxa" w:w="5256"/>
            <w:vAlign w:val="top"/>
            <w:shd w:fill="F7F9FA"/>
          </w:tcPr>
          <w:p>
            <w:pPr>
              <w:spacing w:after="0"/>
            </w:pPr>
            <w:r/>
            <w:r>
              <w:rPr>
                <w:rFonts w:ascii="Aptos" w:hAnsi="Aptos"/>
                <w:b w:val="0"/>
                <w:sz w:val="16"/>
              </w:rPr>
              <w:t>When consultation affects treatment, the record may appropriately identify when consultation occurred, why it was sought, the general clinical issue, relevant recommendations, and what the therapist decided to do. This supports continuity of care and demonstrates that the therapist used professional resources responsibly.</w:t>
            </w:r>
          </w:p>
        </w:tc>
        <w:tc>
          <w:tcPr>
            <w:tcW w:type="dxa" w:w="2520"/>
            <w:vAlign w:val="top"/>
            <w:shd w:fill="F7F9FA"/>
          </w:tcPr>
          <w:p>
            <w:pPr>
              <w:spacing w:after="0"/>
            </w:pPr>
            <w:r/>
            <w:r>
              <w:rPr>
                <w:rFonts w:ascii="Aptos" w:hAnsi="Aptos"/>
                <w:b w:val="0"/>
                <w:sz w:val="16"/>
              </w:rPr>
              <w:t>Consultation documentation should show: Why help was sought + what guidance mattered + what action followed</w:t>
            </w:r>
          </w:p>
        </w:tc>
      </w:tr>
      <w:tr>
        <w:tc>
          <w:tcPr>
            <w:tcW w:type="dxa" w:w="2376"/>
            <w:vAlign w:val="top"/>
          </w:tcPr>
          <w:p>
            <w:pPr>
              <w:spacing w:after="0"/>
            </w:pPr>
            <w:r/>
            <w:r>
              <w:rPr>
                <w:rFonts w:ascii="Aptos" w:hAnsi="Aptos"/>
                <w:b/>
                <w:sz w:val="16"/>
              </w:rPr>
              <w:t>Documenting Referrals</w:t>
            </w:r>
          </w:p>
        </w:tc>
        <w:tc>
          <w:tcPr>
            <w:tcW w:type="dxa" w:w="5256"/>
            <w:vAlign w:val="top"/>
          </w:tcPr>
          <w:p>
            <w:pPr>
              <w:spacing w:after="0"/>
            </w:pPr>
            <w:r/>
            <w:r>
              <w:rPr>
                <w:rFonts w:ascii="Aptos" w:hAnsi="Aptos"/>
                <w:b w:val="0"/>
                <w:sz w:val="16"/>
              </w:rPr>
              <w:t>Referral documentation should help explain the clinical concern, why another service was recommended, what resources were provided, how the client responded, and whether follow-up or coordination was planned. This supports continuity and demonstrates how the therapist addressed a competence limitation or unmet treatment need.</w:t>
            </w:r>
          </w:p>
        </w:tc>
        <w:tc>
          <w:tcPr>
            <w:tcW w:type="dxa" w:w="2520"/>
            <w:vAlign w:val="top"/>
          </w:tcPr>
          <w:p>
            <w:pPr>
              <w:spacing w:after="0"/>
            </w:pPr>
            <w:r/>
            <w:r>
              <w:rPr>
                <w:rFonts w:ascii="Aptos" w:hAnsi="Aptos"/>
                <w:b w:val="0"/>
                <w:sz w:val="16"/>
              </w:rPr>
              <w:t>For referrals, document: Concern → Reason → Resources → Client response → Follow-up</w:t>
            </w:r>
          </w:p>
        </w:tc>
      </w:tr>
      <w:tr>
        <w:tc>
          <w:tcPr>
            <w:tcW w:type="dxa" w:w="2376"/>
            <w:vAlign w:val="top"/>
            <w:shd w:fill="F7F9FA"/>
          </w:tcPr>
          <w:p>
            <w:pPr>
              <w:spacing w:after="0"/>
            </w:pPr>
            <w:r/>
            <w:r>
              <w:rPr>
                <w:rFonts w:ascii="Aptos" w:hAnsi="Aptos"/>
                <w:b/>
                <w:sz w:val="16"/>
              </w:rPr>
              <w:t>Complete vs. Excessive Documentation</w:t>
            </w:r>
          </w:p>
        </w:tc>
        <w:tc>
          <w:tcPr>
            <w:tcW w:type="dxa" w:w="5256"/>
            <w:vAlign w:val="top"/>
            <w:shd w:fill="F7F9FA"/>
          </w:tcPr>
          <w:p>
            <w:pPr>
              <w:spacing w:after="0"/>
            </w:pPr>
            <w:r/>
            <w:r>
              <w:rPr>
                <w:rFonts w:ascii="Aptos" w:hAnsi="Aptos"/>
                <w:b w:val="0"/>
                <w:sz w:val="16"/>
              </w:rPr>
              <w:t>Good documentation should be sufficiently complete to explain treatment without becoming excessive. Large amounts of irrelevant material can make it difficult for another professional to identify the clinical concern, intervention, response, and treatment plan. Unnecessary details about relatives, coworkers, or other nonclients may also create privacy and professional-language concerns.</w:t>
            </w:r>
          </w:p>
        </w:tc>
        <w:tc>
          <w:tcPr>
            <w:tcW w:type="dxa" w:w="2520"/>
            <w:vAlign w:val="top"/>
            <w:shd w:fill="F7F9FA"/>
          </w:tcPr>
          <w:p>
            <w:pPr>
              <w:spacing w:after="0"/>
            </w:pPr>
            <w:r/>
            <w:r>
              <w:rPr>
                <w:rFonts w:ascii="Aptos" w:hAnsi="Aptos"/>
                <w:b w:val="0"/>
                <w:sz w:val="16"/>
              </w:rPr>
              <w:t>Remember: Complete does not mean exhaustive. The strongest note makes important information easy to find.</w:t>
            </w:r>
          </w:p>
        </w:tc>
      </w:tr>
      <w:tr>
        <w:tc>
          <w:tcPr>
            <w:tcW w:type="dxa" w:w="2376"/>
            <w:vAlign w:val="top"/>
          </w:tcPr>
          <w:p>
            <w:pPr>
              <w:spacing w:after="0"/>
            </w:pPr>
            <w:r/>
            <w:r>
              <w:rPr>
                <w:rFonts w:ascii="Aptos" w:hAnsi="Aptos"/>
                <w:b/>
                <w:sz w:val="16"/>
              </w:rPr>
              <w:t>Clinical Documentation Standards</w:t>
            </w:r>
          </w:p>
        </w:tc>
        <w:tc>
          <w:tcPr>
            <w:tcW w:type="dxa" w:w="5256"/>
            <w:vAlign w:val="top"/>
          </w:tcPr>
          <w:p>
            <w:pPr>
              <w:spacing w:after="0"/>
            </w:pPr>
            <w:r/>
            <w:r>
              <w:rPr>
                <w:rFonts w:ascii="Aptos" w:hAnsi="Aptos"/>
                <w:b w:val="0"/>
                <w:sz w:val="16"/>
              </w:rPr>
              <w:t>The record has several deficiencies: Documentation was delayed. The language is judgmental and speculative. Observable information is missing. The risk assessment is not described. Clinical reasoning is absent. Consultation, safety planning, and follow-up are omitted. The therapist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tc>
        <w:tc>
          <w:tcPr>
            <w:tcW w:type="dxa" w:w="2520"/>
            <w:vAlign w:val="top"/>
          </w:tcPr>
          <w:p>
            <w:pPr>
              <w:spacing w:after="0"/>
            </w:pPr>
            <w:r/>
            <w:r>
              <w:rPr>
                <w:rFonts w:ascii="Aptos" w:hAnsi="Aptos"/>
                <w:b w:val="0"/>
                <w:sz w:val="16"/>
              </w:rPr>
              <w:t>For a deficient high-risk note, look for the answer that protects: Accuracy Transparency Record integrity Clinical reasoning Assessment and follow-up Never choose secret replacement or backdating.</w:t>
            </w:r>
          </w:p>
        </w:tc>
      </w:tr>
    </w:tbl>
    <w:p>
      <w:pPr>
        <w:pStyle w:val="Heading2"/>
      </w:pPr>
      <w:r>
        <w:t>Exam Reasoning Checklist</w:t>
      </w:r>
    </w:p>
    <w:p>
      <w:pPr>
        <w:pStyle w:val="ListBullet"/>
        <w:spacing w:after="30"/>
      </w:pPr>
      <w:r>
        <w:t>Remember: Documentation is part of treatment—not separate from treatment. Look for answers emphasizing continuity, communication, clinical reasoning, and client welfare.</w:t>
      </w:r>
    </w:p>
    <w:p>
      <w:pPr>
        <w:pStyle w:val="ListBullet"/>
        <w:spacing w:after="30"/>
      </w:pPr>
      <w:r>
        <w:t>Use the workbook’s rule: Observe. Don’t label. Choose the answer that documents behavior, statements, and observable facts rather than personality judgments.</w:t>
      </w:r>
    </w:p>
    <w:p>
      <w:pPr>
        <w:pStyle w:val="ListBullet"/>
        <w:spacing w:after="30"/>
      </w:pPr>
      <w:r>
        <w:t>Apply the documentation test: Could another competent professional understand what happened, why decisions were made, and what should occur next? When the answer is no, the record likely lacks sufficient clarity.</w:t>
      </w:r>
    </w:p>
    <w:p>
      <w:pPr>
        <w:pStyle w:val="ListBullet"/>
        <w:spacing w:after="30"/>
      </w:pPr>
      <w:r>
        <w:t>When choosing between prompt and delayed documentation, the examination generally favors: Document as soon as reasonably possible.</w:t>
      </w:r>
    </w:p>
    <w:p>
      <w:pPr>
        <w:pStyle w:val="ListBullet"/>
        <w:spacing w:after="30"/>
      </w:pPr>
      <w:r>
        <w:t>Use this rule: Include what is clinically useful. Exclude what is merely interesting.</w:t>
      </w:r>
    </w:p>
    <w:p>
      <w:pPr>
        <w:pStyle w:val="ListBullet"/>
        <w:spacing w:after="30"/>
      </w:pPr>
      <w:r>
        <w:t>Replace labels with: What the client said, did, or displayed.</w:t>
      </w:r>
    </w:p>
    <w:p>
      <w:pPr>
        <w:pStyle w:val="ListBullet"/>
        <w:spacing w:after="30"/>
      </w:pPr>
      <w:r>
        <w:t>For a significant decision, document: Assessment → Reasoning → Decision → Plan</w:t>
      </w:r>
    </w:p>
    <w:p>
      <w:pPr>
        <w:pStyle w:val="ListBullet"/>
        <w:spacing w:after="30"/>
      </w:pPr>
      <w:r>
        <w:t>In high-risk situations, document: Concern → Assessment → Decision → Intervention → Follow-up</w:t>
      </w:r>
    </w:p>
    <w:p>
      <w:pPr>
        <w:pStyle w:val="Heading2"/>
      </w:pPr>
      <w:r>
        <w:t>Chapter Rapid Review</w:t>
      </w:r>
    </w:p>
    <w:p>
      <w:r>
        <w:rPr>
          <w:b/>
        </w:rPr>
        <w:t xml:space="preserve">Know these concepts: </w:t>
      </w:r>
      <w:r>
        <w:t>Purpose of Clinical Documentation; Objective Documentation; Clarity and Continuity of Care; Timely Documentation; Clinically Relevant Documentation; Professional Language; Documentation of Clinical Reasoning; Documentation and Risk Management; Documentation Cannot Replace Competence; Integrated Documentation Quality; Documentation Accuracy; Appropriate Progress-Note Content; Professional Accountability; Documenting Consultation; Documenting Referrals; Complete vs. Excessive Documentation; Clinical Documentation Standards</w:t>
      </w:r>
    </w:p>
    <w:p>
      <w:r>
        <w:br w:type="page"/>
      </w:r>
    </w:p>
    <w:p>
      <w:pPr>
        <w:pStyle w:val="Heading2"/>
      </w:pPr>
      <w:r>
        <w:t>Chapter 2</w:t>
      </w:r>
    </w:p>
    <w:p>
      <w:pPr>
        <w:pStyle w:val="Heading1"/>
      </w:pPr>
      <w:r>
        <w:t>Documentation Errors, Risk Management, and High-Risk Situations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When documentation was not completed promptly, a properly identified late entry may be used to add accurate and clinically relevant information. The entry should distinguish the date of the service from the date the documentation was actually created. This approach maintains transparency and record integrity rather than creating the false impression that the note was written earlier. Known inaccuracies should be corrected through the appropriate documentation process. A proper correction generally preserves the original entry or electronic audit trail, identifies the corrected information, and records the date of the correction. The goal is to improve accuracy without concealing that the record was changed.</w:t>
            </w:r>
          </w:p>
        </w:tc>
      </w:tr>
    </w:tbl>
    <w:p>
      <w:pPr>
        <w:pStyle w:val="Heading2"/>
      </w:pPr>
      <w:r>
        <w:t>What to Learn</w:t>
      </w:r>
    </w:p>
    <w:p>
      <w:pPr>
        <w:pStyle w:val="ListBullet"/>
        <w:spacing w:after="30"/>
      </w:pPr>
      <w:r>
        <w:t>Explain and apply Late Entry vs. Backdating.</w:t>
      </w:r>
    </w:p>
    <w:p>
      <w:pPr>
        <w:pStyle w:val="ListBullet"/>
        <w:spacing w:after="30"/>
      </w:pPr>
      <w:r>
        <w:t>Explain and apply Correcting Documentation Errors.</w:t>
      </w:r>
    </w:p>
    <w:p>
      <w:pPr>
        <w:pStyle w:val="ListBullet"/>
        <w:spacing w:after="30"/>
      </w:pPr>
      <w:r>
        <w:t>Explain and apply High-Risk Documentation.</w:t>
      </w:r>
    </w:p>
    <w:p>
      <w:pPr>
        <w:pStyle w:val="ListBullet"/>
        <w:spacing w:after="30"/>
      </w:pPr>
      <w:r>
        <w:t>Explain and apply Copy-and-Paste Documentation Errors.</w:t>
      </w:r>
    </w:p>
    <w:p>
      <w:pPr>
        <w:pStyle w:val="ListBullet"/>
        <w:spacing w:after="30"/>
      </w:pPr>
      <w:r>
        <w:t>Explain and apply Omitting Significant Clinical Actions.</w:t>
      </w:r>
    </w:p>
    <w:p>
      <w:pPr>
        <w:pStyle w:val="ListBullet"/>
        <w:spacing w:after="30"/>
      </w:pPr>
      <w:r>
        <w:t>Explain and apply Consultation Documentation.</w:t>
      </w:r>
    </w:p>
    <w:p>
      <w:pPr>
        <w:pStyle w:val="ListBullet"/>
        <w:spacing w:after="30"/>
      </w:pPr>
      <w:r>
        <w:t>Explain and apply Referral and Follow-Up Documentation.</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Late Entry vs. Backdating</w:t>
            </w:r>
          </w:p>
        </w:tc>
        <w:tc>
          <w:tcPr>
            <w:tcW w:type="dxa" w:w="5256"/>
            <w:vAlign w:val="top"/>
          </w:tcPr>
          <w:p>
            <w:pPr>
              <w:spacing w:after="0"/>
            </w:pPr>
            <w:r/>
            <w:r>
              <w:rPr>
                <w:rFonts w:ascii="Aptos" w:hAnsi="Aptos"/>
                <w:b w:val="0"/>
                <w:sz w:val="16"/>
              </w:rPr>
              <w:t>When documentation was not completed promptly, a properly identified late entry may be used to add accurate and clinically relevant information. The entry should distinguish the date of the service from the date the documentation was actually created. This approach maintains transparency and record integrity rather than creating the false impression that the note was written earlier.</w:t>
            </w:r>
          </w:p>
        </w:tc>
        <w:tc>
          <w:tcPr>
            <w:tcW w:type="dxa" w:w="2520"/>
            <w:vAlign w:val="top"/>
          </w:tcPr>
          <w:p>
            <w:pPr>
              <w:spacing w:after="0"/>
            </w:pPr>
            <w:r/>
            <w:r>
              <w:rPr>
                <w:rFonts w:ascii="Aptos" w:hAnsi="Aptos"/>
                <w:b w:val="0"/>
                <w:sz w:val="16"/>
              </w:rPr>
              <w:t>Remember: Late entry = identify it.Backdating = avoid it.</w:t>
            </w:r>
          </w:p>
        </w:tc>
      </w:tr>
      <w:tr>
        <w:tc>
          <w:tcPr>
            <w:tcW w:type="dxa" w:w="2376"/>
            <w:vAlign w:val="top"/>
            <w:shd w:fill="F7F9FA"/>
          </w:tcPr>
          <w:p>
            <w:pPr>
              <w:spacing w:after="0"/>
            </w:pPr>
            <w:r/>
            <w:r>
              <w:rPr>
                <w:rFonts w:ascii="Aptos" w:hAnsi="Aptos"/>
                <w:b/>
                <w:sz w:val="16"/>
              </w:rPr>
              <w:t>Correcting Documentation Errors</w:t>
            </w:r>
          </w:p>
        </w:tc>
        <w:tc>
          <w:tcPr>
            <w:tcW w:type="dxa" w:w="5256"/>
            <w:vAlign w:val="top"/>
            <w:shd w:fill="F7F9FA"/>
          </w:tcPr>
          <w:p>
            <w:pPr>
              <w:spacing w:after="0"/>
            </w:pPr>
            <w:r/>
            <w:r>
              <w:rPr>
                <w:rFonts w:ascii="Aptos" w:hAnsi="Aptos"/>
                <w:b w:val="0"/>
                <w:sz w:val="16"/>
              </w:rPr>
              <w:t>Known inaccuracies should be corrected through the appropriate documentation process. A proper correction generally preserves the original entry or electronic audit trail, identifies the corrected information, and records the date of the correction. The goal is to improve accuracy without concealing that the record was changed.</w:t>
            </w:r>
          </w:p>
        </w:tc>
        <w:tc>
          <w:tcPr>
            <w:tcW w:type="dxa" w:w="2520"/>
            <w:vAlign w:val="top"/>
            <w:shd w:fill="F7F9FA"/>
          </w:tcPr>
          <w:p>
            <w:pPr>
              <w:spacing w:after="0"/>
            </w:pPr>
            <w:r/>
            <w:r>
              <w:rPr>
                <w:rFonts w:ascii="Aptos" w:hAnsi="Aptos"/>
                <w:b w:val="0"/>
                <w:sz w:val="16"/>
              </w:rPr>
              <w:t>The examination generally favors: Correction with transparency—not correction through concealment.</w:t>
            </w:r>
          </w:p>
        </w:tc>
      </w:tr>
      <w:tr>
        <w:tc>
          <w:tcPr>
            <w:tcW w:type="dxa" w:w="2376"/>
            <w:vAlign w:val="top"/>
          </w:tcPr>
          <w:p>
            <w:pPr>
              <w:spacing w:after="0"/>
            </w:pPr>
            <w:r/>
            <w:r>
              <w:rPr>
                <w:rFonts w:ascii="Aptos" w:hAnsi="Aptos"/>
                <w:b/>
                <w:sz w:val="16"/>
              </w:rPr>
              <w:t>High-Risk Documentation</w:t>
            </w:r>
          </w:p>
        </w:tc>
        <w:tc>
          <w:tcPr>
            <w:tcW w:type="dxa" w:w="5256"/>
            <w:vAlign w:val="top"/>
          </w:tcPr>
          <w:p>
            <w:pPr>
              <w:spacing w:after="0"/>
            </w:pPr>
            <w:r/>
            <w:r>
              <w:rPr>
                <w:rFonts w:ascii="Aptos" w:hAnsi="Aptos"/>
                <w:b w:val="0"/>
                <w:sz w:val="16"/>
              </w:rPr>
              <w:t>High-risk situations generally require documentation sufficient to show what information was obtained, how the concern was assessed, what decisions were made, what consultation occurred, what protective actions were taken, and what follow-up was planned. The statement “safety addressed” does not allow another professional to understand the nature of the risk or the basis for the therapist’s response.</w:t>
            </w:r>
          </w:p>
        </w:tc>
        <w:tc>
          <w:tcPr>
            <w:tcW w:type="dxa" w:w="2520"/>
            <w:vAlign w:val="top"/>
          </w:tcPr>
          <w:p>
            <w:pPr>
              <w:spacing w:after="0"/>
            </w:pPr>
            <w:r/>
            <w:r>
              <w:rPr>
                <w:rFonts w:ascii="Aptos" w:hAnsi="Aptos"/>
                <w:b w:val="0"/>
                <w:sz w:val="16"/>
              </w:rPr>
              <w:t>For high-risk situations, look for documentation of: Risk information → Assessment → Decision → Action → Consultation → Follow-up</w:t>
            </w:r>
          </w:p>
        </w:tc>
      </w:tr>
      <w:tr>
        <w:tc>
          <w:tcPr>
            <w:tcW w:type="dxa" w:w="2376"/>
            <w:vAlign w:val="top"/>
            <w:shd w:fill="F7F9FA"/>
          </w:tcPr>
          <w:p>
            <w:pPr>
              <w:spacing w:after="0"/>
            </w:pPr>
            <w:r/>
            <w:r>
              <w:rPr>
                <w:rFonts w:ascii="Aptos" w:hAnsi="Aptos"/>
                <w:b/>
                <w:sz w:val="16"/>
              </w:rPr>
              <w:t>Copy-and-Paste Documentation Errors</w:t>
            </w:r>
          </w:p>
        </w:tc>
        <w:tc>
          <w:tcPr>
            <w:tcW w:type="dxa" w:w="5256"/>
            <w:vAlign w:val="top"/>
            <w:shd w:fill="F7F9FA"/>
          </w:tcPr>
          <w:p>
            <w:pPr>
              <w:spacing w:after="0"/>
            </w:pPr>
            <w:r/>
            <w:r>
              <w:rPr>
                <w:rFonts w:ascii="Aptos" w:hAnsi="Aptos"/>
                <w:b w:val="0"/>
                <w:sz w:val="16"/>
              </w:rPr>
              <w:t>Each progress note should accurately reflect the client’s current presentation and the services provided during that encounter. The therapist should remove or transparently correct inaccurate copied material and document the current suicidal thoughts, assessment findings, clinical reasoning, interventions, and follow-up plan. Copy-and-paste tools may support efficiency, but the therapist remains responsible for reviewing and updating every entry.</w:t>
            </w:r>
          </w:p>
        </w:tc>
        <w:tc>
          <w:tcPr>
            <w:tcW w:type="dxa" w:w="2520"/>
            <w:vAlign w:val="top"/>
            <w:shd w:fill="F7F9FA"/>
          </w:tcPr>
          <w:p>
            <w:pPr>
              <w:spacing w:after="0"/>
            </w:pPr>
            <w:r/>
            <w:r>
              <w:rPr>
                <w:rFonts w:ascii="Aptos" w:hAnsi="Aptos"/>
                <w:b w:val="0"/>
                <w:sz w:val="16"/>
              </w:rPr>
              <w:t>For copied documentation, ask: Does every statement accurately describe this session? Templates never replace clinical review.</w:t>
            </w:r>
          </w:p>
        </w:tc>
      </w:tr>
      <w:tr>
        <w:tc>
          <w:tcPr>
            <w:tcW w:type="dxa" w:w="2376"/>
            <w:vAlign w:val="top"/>
          </w:tcPr>
          <w:p>
            <w:pPr>
              <w:spacing w:after="0"/>
            </w:pPr>
            <w:r/>
            <w:r>
              <w:rPr>
                <w:rFonts w:ascii="Aptos" w:hAnsi="Aptos"/>
                <w:b/>
                <w:sz w:val="16"/>
              </w:rPr>
              <w:t>Omitting Significant Clinical Actions</w:t>
            </w:r>
          </w:p>
        </w:tc>
        <w:tc>
          <w:tcPr>
            <w:tcW w:type="dxa" w:w="5256"/>
            <w:vAlign w:val="top"/>
          </w:tcPr>
          <w:p>
            <w:pPr>
              <w:spacing w:after="0"/>
            </w:pPr>
            <w:r/>
            <w:r>
              <w:rPr>
                <w:rFonts w:ascii="Aptos" w:hAnsi="Aptos"/>
                <w:b w:val="0"/>
                <w:sz w:val="16"/>
              </w:rPr>
              <w:t>The record should show what concern arose, what assessment occurred, what decision was made, what consultation was obtained, what intervention followed, and whether continuity and follow-up were established. A crisis note does not need to reproduce every word spoken, but it must contain enough information for another professional to understand the therapist’s reasoning and protective actions.</w:t>
            </w:r>
          </w:p>
        </w:tc>
        <w:tc>
          <w:tcPr>
            <w:tcW w:type="dxa" w:w="2520"/>
            <w:vAlign w:val="top"/>
          </w:tcPr>
          <w:p>
            <w:pPr>
              <w:spacing w:after="0"/>
            </w:pPr>
            <w:r/>
            <w:r>
              <w:rPr>
                <w:rFonts w:ascii="Aptos" w:hAnsi="Aptos"/>
                <w:b w:val="0"/>
                <w:sz w:val="16"/>
              </w:rPr>
              <w:t>In high-risk care, document: What happened + what you assessed + what you did + what happened next</w:t>
            </w:r>
          </w:p>
        </w:tc>
      </w:tr>
      <w:tr>
        <w:tc>
          <w:tcPr>
            <w:tcW w:type="dxa" w:w="2376"/>
            <w:vAlign w:val="top"/>
            <w:shd w:fill="F7F9FA"/>
          </w:tcPr>
          <w:p>
            <w:pPr>
              <w:spacing w:after="0"/>
            </w:pPr>
            <w:r/>
            <w:r>
              <w:rPr>
                <w:rFonts w:ascii="Aptos" w:hAnsi="Aptos"/>
                <w:b/>
                <w:sz w:val="16"/>
              </w:rPr>
              <w:t>Consultation Documentation</w:t>
            </w:r>
          </w:p>
        </w:tc>
        <w:tc>
          <w:tcPr>
            <w:tcW w:type="dxa" w:w="5256"/>
            <w:vAlign w:val="top"/>
            <w:shd w:fill="F7F9FA"/>
          </w:tcPr>
          <w:p>
            <w:pPr>
              <w:spacing w:after="0"/>
            </w:pPr>
            <w:r/>
            <w:r>
              <w:rPr>
                <w:rFonts w:ascii="Aptos" w:hAnsi="Aptos"/>
                <w:b w:val="0"/>
                <w:sz w:val="16"/>
              </w:rPr>
              <w:t>Consultation documentation should demonstrate why guidance was sought, the general issue discussed, recommendations that influenced care, and what the therapist decided or did afterward. This supports continuity, accountability, and the clinical decision-making process without creating an unnecessary transcript.</w:t>
            </w:r>
          </w:p>
        </w:tc>
        <w:tc>
          <w:tcPr>
            <w:tcW w:type="dxa" w:w="2520"/>
            <w:vAlign w:val="top"/>
            <w:shd w:fill="F7F9FA"/>
          </w:tcPr>
          <w:p>
            <w:pPr>
              <w:spacing w:after="0"/>
            </w:pPr>
            <w:r/>
            <w:r>
              <w:rPr>
                <w:rFonts w:ascii="Aptos" w:hAnsi="Aptos"/>
                <w:b w:val="0"/>
                <w:sz w:val="16"/>
              </w:rPr>
              <w:t>Consultation documentation should answer: Why was help sought, what guidance mattered, and what action followed?</w:t>
            </w:r>
          </w:p>
        </w:tc>
      </w:tr>
      <w:tr>
        <w:tc>
          <w:tcPr>
            <w:tcW w:type="dxa" w:w="2376"/>
            <w:vAlign w:val="top"/>
          </w:tcPr>
          <w:p>
            <w:pPr>
              <w:spacing w:after="0"/>
            </w:pPr>
            <w:r/>
            <w:r>
              <w:rPr>
                <w:rFonts w:ascii="Aptos" w:hAnsi="Aptos"/>
                <w:b/>
                <w:sz w:val="16"/>
              </w:rPr>
              <w:t>Referral and Follow-Up Documentation</w:t>
            </w:r>
          </w:p>
        </w:tc>
        <w:tc>
          <w:tcPr>
            <w:tcW w:type="dxa" w:w="5256"/>
            <w:vAlign w:val="top"/>
          </w:tcPr>
          <w:p>
            <w:pPr>
              <w:spacing w:after="0"/>
            </w:pPr>
            <w:r/>
            <w:r>
              <w:rPr>
                <w:rFonts w:ascii="Aptos" w:hAnsi="Aptos"/>
                <w:b w:val="0"/>
                <w:sz w:val="16"/>
              </w:rPr>
              <w:t>The record should explain why referral was recommended, what resources were offered, how the client responded, and what steps were taken to protect continuity and client welfare. The therapist should also document any further assessment or decisions about whether current services can safely continue during transition.</w:t>
            </w:r>
          </w:p>
        </w:tc>
        <w:tc>
          <w:tcPr>
            <w:tcW w:type="dxa" w:w="2520"/>
            <w:vAlign w:val="top"/>
          </w:tcPr>
          <w:p>
            <w:pPr>
              <w:spacing w:after="0"/>
            </w:pPr>
            <w:r/>
            <w:r>
              <w:rPr>
                <w:rFonts w:ascii="Aptos" w:hAnsi="Aptos"/>
                <w:b w:val="0"/>
                <w:sz w:val="16"/>
              </w:rPr>
              <w:t>A referral note should show: Need → Recommendation → Resources → Response → Continuity</w:t>
            </w:r>
          </w:p>
        </w:tc>
      </w:tr>
      <w:tr>
        <w:tc>
          <w:tcPr>
            <w:tcW w:type="dxa" w:w="2376"/>
            <w:vAlign w:val="top"/>
            <w:shd w:fill="F7F9FA"/>
          </w:tcPr>
          <w:p>
            <w:pPr>
              <w:spacing w:after="0"/>
            </w:pPr>
            <w:r/>
            <w:r>
              <w:rPr>
                <w:rFonts w:ascii="Aptos" w:hAnsi="Aptos"/>
                <w:b/>
                <w:sz w:val="16"/>
              </w:rPr>
              <w:t>Documentation During a Complaint</w:t>
            </w:r>
          </w:p>
        </w:tc>
        <w:tc>
          <w:tcPr>
            <w:tcW w:type="dxa" w:w="5256"/>
            <w:vAlign w:val="top"/>
            <w:shd w:fill="F7F9FA"/>
          </w:tcPr>
          <w:p>
            <w:pPr>
              <w:spacing w:after="0"/>
            </w:pPr>
            <w:r/>
            <w:r>
              <w:rPr>
                <w:rFonts w:ascii="Aptos" w:hAnsi="Aptos"/>
                <w:b w:val="0"/>
                <w:sz w:val="16"/>
              </w:rPr>
              <w:t>A complaint does not authorize the therapist to change history. The original record should be preserved, and any legitimate correction or addendum should be transparent, properly dated, and completed according to applicable record procedures. The therapist may obtain legal, ethical, supervisory, or organizational consultation while maintaining the record’s integrity.</w:t>
            </w:r>
          </w:p>
        </w:tc>
        <w:tc>
          <w:tcPr>
            <w:tcW w:type="dxa" w:w="2520"/>
            <w:vAlign w:val="top"/>
            <w:shd w:fill="F7F9FA"/>
          </w:tcPr>
          <w:p>
            <w:pPr>
              <w:spacing w:after="0"/>
            </w:pPr>
            <w:r/>
            <w:r>
              <w:rPr>
                <w:rFonts w:ascii="Aptos" w:hAnsi="Aptos"/>
                <w:b w:val="0"/>
                <w:sz w:val="16"/>
              </w:rPr>
              <w:t>Once a complaint or investigation exists: Preserve—do not polish. The safest record is an honest record.</w:t>
            </w:r>
          </w:p>
        </w:tc>
      </w:tr>
      <w:tr>
        <w:tc>
          <w:tcPr>
            <w:tcW w:type="dxa" w:w="2376"/>
            <w:vAlign w:val="top"/>
          </w:tcPr>
          <w:p>
            <w:pPr>
              <w:spacing w:after="0"/>
            </w:pPr>
            <w:r/>
            <w:r>
              <w:rPr>
                <w:rFonts w:ascii="Aptos" w:hAnsi="Aptos"/>
                <w:b/>
                <w:sz w:val="16"/>
              </w:rPr>
              <w:t>Later Information and Transparent Addenda</w:t>
            </w:r>
          </w:p>
        </w:tc>
        <w:tc>
          <w:tcPr>
            <w:tcW w:type="dxa" w:w="5256"/>
            <w:vAlign w:val="top"/>
          </w:tcPr>
          <w:p>
            <w:pPr>
              <w:spacing w:after="0"/>
            </w:pPr>
            <w:r/>
            <w:r>
              <w:rPr>
                <w:rFonts w:ascii="Aptos" w:hAnsi="Aptos"/>
                <w:b w:val="0"/>
                <w:sz w:val="16"/>
              </w:rPr>
              <w:t>The original note accurately reflected what the client reported and what the therapist knew at that time. Later information should be documented as later information rather than inserted into the original record as though it had been known earlier. The addendum or subsequent note should identify the source, clarify when the information was received, record the reassessment, and describe any protective action or follow-up.</w:t>
            </w:r>
          </w:p>
        </w:tc>
        <w:tc>
          <w:tcPr>
            <w:tcW w:type="dxa" w:w="2520"/>
            <w:vAlign w:val="top"/>
          </w:tcPr>
          <w:p>
            <w:pPr>
              <w:spacing w:after="0"/>
            </w:pPr>
            <w:r/>
            <w:r>
              <w:rPr>
                <w:rFonts w:ascii="Aptos" w:hAnsi="Aptos"/>
                <w:b w:val="0"/>
                <w:sz w:val="16"/>
              </w:rPr>
              <w:t>Keep the timeline clear: What was known thenversusWhat was learned later</w:t>
            </w:r>
          </w:p>
        </w:tc>
      </w:tr>
      <w:tr>
        <w:tc>
          <w:tcPr>
            <w:tcW w:type="dxa" w:w="2376"/>
            <w:vAlign w:val="top"/>
            <w:shd w:fill="F7F9FA"/>
          </w:tcPr>
          <w:p>
            <w:pPr>
              <w:spacing w:after="0"/>
            </w:pPr>
            <w:r/>
            <w:r>
              <w:rPr>
                <w:rFonts w:ascii="Aptos" w:hAnsi="Aptos"/>
                <w:b/>
                <w:sz w:val="16"/>
              </w:rPr>
              <w:t>Integrated High-Risk Documentation</w:t>
            </w:r>
          </w:p>
        </w:tc>
        <w:tc>
          <w:tcPr>
            <w:tcW w:type="dxa" w:w="5256"/>
            <w:vAlign w:val="top"/>
            <w:shd w:fill="F7F9FA"/>
          </w:tcPr>
          <w:p>
            <w:pPr>
              <w:spacing w:after="0"/>
            </w:pPr>
            <w:r/>
            <w:r>
              <w:rPr>
                <w:rFonts w:ascii="Aptos" w:hAnsi="Aptos"/>
                <w:b w:val="0"/>
                <w:sz w:val="16"/>
              </w:rPr>
              <w:t>The record should present a clear clinical sequence: What risk information was obtained What factors were assessed How the therapist reached the decision What consultation occurred What intervention and coordination followed How the client responded What disposition and follow-up occurred This level of documentation supports continuity, risk management, and professional accountability without requiring a transcript.</w:t>
            </w:r>
          </w:p>
        </w:tc>
        <w:tc>
          <w:tcPr>
            <w:tcW w:type="dxa" w:w="2520"/>
            <w:vAlign w:val="top"/>
            <w:shd w:fill="F7F9FA"/>
          </w:tcPr>
          <w:p>
            <w:pPr>
              <w:spacing w:after="0"/>
            </w:pPr>
            <w:r/>
            <w:r>
              <w:rPr>
                <w:rFonts w:ascii="Aptos" w:hAnsi="Aptos"/>
                <w:b w:val="0"/>
                <w:sz w:val="16"/>
              </w:rPr>
              <w:t>For an integrated high-risk question, use: Concern → Assessment → Reasoning → Consultation → Action → Outcome → Follow-up</w:t>
            </w:r>
          </w:p>
        </w:tc>
      </w:tr>
      <w:tr>
        <w:tc>
          <w:tcPr>
            <w:tcW w:type="dxa" w:w="2376"/>
            <w:vAlign w:val="top"/>
          </w:tcPr>
          <w:p>
            <w:pPr>
              <w:spacing w:after="0"/>
            </w:pPr>
            <w:r/>
            <w:r>
              <w:rPr>
                <w:rFonts w:ascii="Aptos" w:hAnsi="Aptos"/>
                <w:b/>
                <w:sz w:val="16"/>
              </w:rPr>
              <w:t>Backdating</w:t>
            </w:r>
          </w:p>
        </w:tc>
        <w:tc>
          <w:tcPr>
            <w:tcW w:type="dxa" w:w="5256"/>
            <w:vAlign w:val="top"/>
          </w:tcPr>
          <w:p>
            <w:pPr>
              <w:spacing w:after="0"/>
            </w:pPr>
            <w:r/>
            <w:r>
              <w:rPr>
                <w:rFonts w:ascii="Aptos" w:hAnsi="Aptos"/>
                <w:b w:val="0"/>
                <w:sz w:val="16"/>
              </w:rPr>
              <w:t>Backdating creates the false appearance that documentation was completed earlier than it actually was. This compromises record integrity and may create significant credibility, ethical, and legal concerns. A delayed note should reflect both the date of the clinical event and the actual date the entry was created.</w:t>
            </w:r>
          </w:p>
        </w:tc>
        <w:tc>
          <w:tcPr>
            <w:tcW w:type="dxa" w:w="2520"/>
            <w:vAlign w:val="top"/>
          </w:tcPr>
          <w:p>
            <w:pPr>
              <w:spacing w:after="0"/>
            </w:pPr>
            <w:r/>
            <w:r>
              <w:rPr>
                <w:rFonts w:ascii="Aptos" w:hAnsi="Aptos"/>
                <w:b w:val="0"/>
                <w:sz w:val="16"/>
              </w:rPr>
              <w:t>Remember: A late entry tells the truth about when it was written. Backdating hides that truth.</w:t>
            </w:r>
          </w:p>
        </w:tc>
      </w:tr>
      <w:tr>
        <w:tc>
          <w:tcPr>
            <w:tcW w:type="dxa" w:w="2376"/>
            <w:vAlign w:val="top"/>
            <w:shd w:fill="F7F9FA"/>
          </w:tcPr>
          <w:p>
            <w:pPr>
              <w:spacing w:after="0"/>
            </w:pPr>
            <w:r/>
            <w:r>
              <w:rPr>
                <w:rFonts w:ascii="Aptos" w:hAnsi="Aptos"/>
                <w:b/>
                <w:sz w:val="16"/>
              </w:rPr>
              <w:t>Significant Clinical Actions</w:t>
            </w:r>
          </w:p>
        </w:tc>
        <w:tc>
          <w:tcPr>
            <w:tcW w:type="dxa" w:w="5256"/>
            <w:vAlign w:val="top"/>
            <w:shd w:fill="F7F9FA"/>
          </w:tcPr>
          <w:p>
            <w:pPr>
              <w:spacing w:after="0"/>
            </w:pPr>
            <w:r/>
            <w:r>
              <w:rPr>
                <w:rFonts w:ascii="Aptos" w:hAnsi="Aptos"/>
                <w:b w:val="0"/>
                <w:sz w:val="16"/>
              </w:rPr>
              <w:t>Risk assessments, safety planning, crisis interventions, consultations, referrals, and follow-up efforts are significant clinical actions. Documentation should explain what concern was identified, what the therapist assessed, what decision was made, and what occurred afterward. This information supports continuity of care and professional accountability.</w:t>
            </w:r>
          </w:p>
        </w:tc>
        <w:tc>
          <w:tcPr>
            <w:tcW w:type="dxa" w:w="2520"/>
            <w:vAlign w:val="top"/>
            <w:shd w:fill="F7F9FA"/>
          </w:tcPr>
          <w:p>
            <w:pPr>
              <w:spacing w:after="0"/>
            </w:pPr>
            <w:r/>
            <w:r>
              <w:rPr>
                <w:rFonts w:ascii="Aptos" w:hAnsi="Aptos"/>
                <w:b w:val="0"/>
                <w:sz w:val="16"/>
              </w:rPr>
              <w:t>Use this shortcut: If it significantly affects treatment, safety, or continuity, it probably deserves documentation.</w:t>
            </w:r>
          </w:p>
        </w:tc>
      </w:tr>
      <w:tr>
        <w:tc>
          <w:tcPr>
            <w:tcW w:type="dxa" w:w="2376"/>
            <w:vAlign w:val="top"/>
          </w:tcPr>
          <w:p>
            <w:pPr>
              <w:spacing w:after="0"/>
            </w:pPr>
            <w:r/>
            <w:r>
              <w:rPr>
                <w:rFonts w:ascii="Aptos" w:hAnsi="Aptos"/>
                <w:b/>
                <w:sz w:val="16"/>
              </w:rPr>
              <w:t>Record Integrity During an Investigation</w:t>
            </w:r>
          </w:p>
        </w:tc>
        <w:tc>
          <w:tcPr>
            <w:tcW w:type="dxa" w:w="5256"/>
            <w:vAlign w:val="top"/>
          </w:tcPr>
          <w:p>
            <w:pPr>
              <w:spacing w:after="0"/>
            </w:pPr>
            <w:r/>
            <w:r>
              <w:rPr>
                <w:rFonts w:ascii="Aptos" w:hAnsi="Aptos"/>
                <w:b w:val="0"/>
                <w:sz w:val="16"/>
              </w:rPr>
              <w:t>A complaint or investigation does not change the therapist’s obligation to preserve record integrity. Existing documentation should not be rewritten, concealed, or destroyed merely because it may be reviewed. The therapist should continue normal professional documentation and obtain appropriate consultation concerning preservation requirements when needed.</w:t>
            </w:r>
          </w:p>
        </w:tc>
        <w:tc>
          <w:tcPr>
            <w:tcW w:type="dxa" w:w="2520"/>
            <w:vAlign w:val="top"/>
          </w:tcPr>
          <w:p>
            <w:pPr>
              <w:spacing w:after="0"/>
            </w:pPr>
            <w:r/>
            <w:r>
              <w:rPr>
                <w:rFonts w:ascii="Aptos" w:hAnsi="Aptos"/>
                <w:b w:val="0"/>
                <w:sz w:val="16"/>
              </w:rPr>
              <w:t>After a complaint or investigation: Preserve the record. Do not reconstruct a better-looking history.</w:t>
            </w:r>
          </w:p>
        </w:tc>
      </w:tr>
      <w:tr>
        <w:tc>
          <w:tcPr>
            <w:tcW w:type="dxa" w:w="2376"/>
            <w:vAlign w:val="top"/>
            <w:shd w:fill="F7F9FA"/>
          </w:tcPr>
          <w:p>
            <w:pPr>
              <w:spacing w:after="0"/>
            </w:pPr>
            <w:r/>
            <w:r>
              <w:rPr>
                <w:rFonts w:ascii="Aptos" w:hAnsi="Aptos"/>
                <w:b/>
                <w:sz w:val="16"/>
              </w:rPr>
              <w:t>Properly Identified Late Entry</w:t>
            </w:r>
          </w:p>
        </w:tc>
        <w:tc>
          <w:tcPr>
            <w:tcW w:type="dxa" w:w="5256"/>
            <w:vAlign w:val="top"/>
            <w:shd w:fill="F7F9FA"/>
          </w:tcPr>
          <w:p>
            <w:pPr>
              <w:spacing w:after="0"/>
            </w:pPr>
            <w:r/>
            <w:r>
              <w:rPr>
                <w:rFonts w:ascii="Aptos" w:hAnsi="Aptos"/>
                <w:b w:val="0"/>
                <w:sz w:val="16"/>
              </w:rPr>
              <w:t>A transparent late entry is generally preferable to leaving important information missing. The therapist should identify when the event occurred, when the additional entry was made, and what reliable information supports the entry. The original documentation and applicable electronic audit trail should remain intact.</w:t>
            </w:r>
          </w:p>
        </w:tc>
        <w:tc>
          <w:tcPr>
            <w:tcW w:type="dxa" w:w="2520"/>
            <w:vAlign w:val="top"/>
            <w:shd w:fill="F7F9FA"/>
          </w:tcPr>
          <w:p>
            <w:pPr>
              <w:spacing w:after="0"/>
            </w:pPr>
            <w:r/>
            <w:r>
              <w:rPr>
                <w:rFonts w:ascii="Aptos" w:hAnsi="Aptos"/>
                <w:b w:val="0"/>
                <w:sz w:val="16"/>
              </w:rPr>
              <w:t>A proper late entry contains two timelines: When the clinical event occurredandwhen the documentation was created</w:t>
            </w:r>
          </w:p>
        </w:tc>
      </w:tr>
      <w:tr>
        <w:tc>
          <w:tcPr>
            <w:tcW w:type="dxa" w:w="2376"/>
            <w:vAlign w:val="top"/>
          </w:tcPr>
          <w:p>
            <w:pPr>
              <w:spacing w:after="0"/>
            </w:pPr>
            <w:r/>
            <w:r>
              <w:rPr>
                <w:rFonts w:ascii="Aptos" w:hAnsi="Aptos"/>
                <w:b/>
                <w:sz w:val="16"/>
              </w:rPr>
              <w:t>Outdated Template Information</w:t>
            </w:r>
          </w:p>
        </w:tc>
        <w:tc>
          <w:tcPr>
            <w:tcW w:type="dxa" w:w="5256"/>
            <w:vAlign w:val="top"/>
          </w:tcPr>
          <w:p>
            <w:pPr>
              <w:spacing w:after="0"/>
            </w:pPr>
            <w:r/>
            <w:r>
              <w:rPr>
                <w:rFonts w:ascii="Aptos" w:hAnsi="Aptos"/>
                <w:b w:val="0"/>
                <w:sz w:val="16"/>
              </w:rPr>
              <w:t>The current record must accurately reflect the client’s current circumstances. The therapist should review all copied or automatically populated text, correct outdated information, and document clinically relevant changes. Electronic templates support efficiency but do not relieve the therapist of responsibility for accuracy.</w:t>
            </w:r>
          </w:p>
        </w:tc>
        <w:tc>
          <w:tcPr>
            <w:tcW w:type="dxa" w:w="2520"/>
            <w:vAlign w:val="top"/>
          </w:tcPr>
          <w:p>
            <w:pPr>
              <w:spacing w:after="0"/>
            </w:pPr>
            <w:r/>
            <w:r>
              <w:rPr>
                <w:rFonts w:ascii="Aptos" w:hAnsi="Aptos"/>
                <w:b w:val="0"/>
                <w:sz w:val="16"/>
              </w:rPr>
              <w:t>With templates and copied text: Review every field before signing. Automatic does not mean accurate.</w:t>
            </w:r>
          </w:p>
        </w:tc>
      </w:tr>
      <w:tr>
        <w:tc>
          <w:tcPr>
            <w:tcW w:type="dxa" w:w="2376"/>
            <w:vAlign w:val="top"/>
            <w:shd w:fill="F7F9FA"/>
          </w:tcPr>
          <w:p>
            <w:pPr>
              <w:spacing w:after="0"/>
            </w:pPr>
            <w:r/>
            <w:r>
              <w:rPr>
                <w:rFonts w:ascii="Aptos" w:hAnsi="Aptos"/>
                <w:b/>
                <w:sz w:val="16"/>
              </w:rPr>
              <w:t>Post-Incident Record Correction</w:t>
            </w:r>
          </w:p>
        </w:tc>
        <w:tc>
          <w:tcPr>
            <w:tcW w:type="dxa" w:w="5256"/>
            <w:vAlign w:val="top"/>
            <w:shd w:fill="F7F9FA"/>
          </w:tcPr>
          <w:p>
            <w:pPr>
              <w:spacing w:after="0"/>
            </w:pPr>
            <w:r/>
            <w:r>
              <w:rPr>
                <w:rFonts w:ascii="Aptos" w:hAnsi="Aptos"/>
                <w:b w:val="0"/>
                <w:sz w:val="16"/>
              </w:rPr>
              <w:t>The therapist may appropriately correct an incomplete record when the additional information is accurate and supported by reliable contemporaneous evidence. The addendum should show when it was created, identify the earlier service date, and avoid suggesting that the information was recorded before the adverse event. Preserving the original entry and documenting the correction transparently protects record integrity.</w:t>
            </w:r>
          </w:p>
        </w:tc>
        <w:tc>
          <w:tcPr>
            <w:tcW w:type="dxa" w:w="2520"/>
            <w:vAlign w:val="top"/>
            <w:shd w:fill="F7F9FA"/>
          </w:tcPr>
          <w:p>
            <w:pPr>
              <w:spacing w:after="0"/>
            </w:pPr>
            <w:r/>
            <w:r>
              <w:rPr>
                <w:rFonts w:ascii="Aptos" w:hAnsi="Aptos"/>
                <w:b w:val="0"/>
                <w:sz w:val="16"/>
              </w:rPr>
              <w:t>After a serious incident, ask: Is this an honest, supported correction—or an attempt to improve the record after the fact? The exam favors the honest, clearly dated correction.</w:t>
            </w:r>
          </w:p>
        </w:tc>
      </w:tr>
      <w:tr>
        <w:tc>
          <w:tcPr>
            <w:tcW w:type="dxa" w:w="2376"/>
            <w:vAlign w:val="top"/>
          </w:tcPr>
          <w:p>
            <w:pPr>
              <w:spacing w:after="0"/>
            </w:pPr>
            <w:r/>
            <w:r>
              <w:rPr>
                <w:rFonts w:ascii="Aptos" w:hAnsi="Aptos"/>
                <w:b/>
                <w:sz w:val="16"/>
              </w:rPr>
              <w:t>Critical-Incident Documentation</w:t>
            </w:r>
          </w:p>
        </w:tc>
        <w:tc>
          <w:tcPr>
            <w:tcW w:type="dxa" w:w="5256"/>
            <w:vAlign w:val="top"/>
          </w:tcPr>
          <w:p>
            <w:pPr>
              <w:spacing w:after="0"/>
            </w:pPr>
            <w:r/>
            <w:r>
              <w:rPr>
                <w:rFonts w:ascii="Aptos" w:hAnsi="Aptos"/>
                <w:b w:val="0"/>
                <w:sz w:val="16"/>
              </w:rPr>
              <w:t>The current note must accurately reflect the client’s presentation and the therapist’s response. The copied denial is materially inaccurate and could interfere with continuity of care or later review. The therapist should use proper correction procedures, preserve the original information or audit trail, and document: The threat and available identifying information Intent, plan, means, and immediacy Relevant risk and protective factors Consultation obtained Clinical and legal reasoning Protective and emergency actions Client disposition Planned follow-up The record should be sufficiently detailed to explain the decision-making process without becoming a verbatim transcript.</w:t>
            </w:r>
          </w:p>
        </w:tc>
        <w:tc>
          <w:tcPr>
            <w:tcW w:type="dxa" w:w="2520"/>
            <w:vAlign w:val="top"/>
          </w:tcPr>
          <w:p>
            <w:pPr>
              <w:spacing w:after="0"/>
            </w:pPr>
            <w:r/>
            <w:r>
              <w:rPr>
                <w:rFonts w:ascii="Aptos" w:hAnsi="Aptos"/>
                <w:b w:val="0"/>
                <w:sz w:val="16"/>
              </w:rPr>
              <w:t>For critical incidents, protect all three: Client welfare + clinical continuity + record integrity Use the sequence: Event → Assessment → Reasoning → Consultation → Action → Disposition → Follow-up</w:t>
            </w:r>
          </w:p>
        </w:tc>
      </w:tr>
    </w:tbl>
    <w:p>
      <w:pPr>
        <w:pStyle w:val="Heading2"/>
      </w:pPr>
      <w:r>
        <w:t>Exam Reasoning Checklist</w:t>
      </w:r>
    </w:p>
    <w:p>
      <w:pPr>
        <w:pStyle w:val="ListBullet"/>
        <w:spacing w:after="30"/>
      </w:pPr>
      <w:r>
        <w:t>Remember: Late entry = identify it.Backdating = avoid it.</w:t>
      </w:r>
    </w:p>
    <w:p>
      <w:pPr>
        <w:pStyle w:val="ListBullet"/>
        <w:spacing w:after="30"/>
      </w:pPr>
      <w:r>
        <w:t>The examination generally favors: Correction with transparency—not correction through concealment.</w:t>
      </w:r>
    </w:p>
    <w:p>
      <w:pPr>
        <w:pStyle w:val="ListBullet"/>
        <w:spacing w:after="30"/>
      </w:pPr>
      <w:r>
        <w:t>For high-risk situations, look for documentation of: Risk information → Assessment → Decision → Action → Consultation → Follow-up</w:t>
      </w:r>
    </w:p>
    <w:p>
      <w:pPr>
        <w:pStyle w:val="ListBullet"/>
        <w:spacing w:after="30"/>
      </w:pPr>
      <w:r>
        <w:t>For copied documentation, ask: Does every statement accurately describe this session? Templates never replace clinical review.</w:t>
      </w:r>
    </w:p>
    <w:p>
      <w:pPr>
        <w:pStyle w:val="ListBullet"/>
        <w:spacing w:after="30"/>
      </w:pPr>
      <w:r>
        <w:t>In high-risk care, document: What happened + what you assessed + what you did + what happened next</w:t>
      </w:r>
    </w:p>
    <w:p>
      <w:pPr>
        <w:pStyle w:val="ListBullet"/>
        <w:spacing w:after="30"/>
      </w:pPr>
      <w:r>
        <w:t>Consultation documentation should answer: Why was help sought, what guidance mattered, and what action followed?</w:t>
      </w:r>
    </w:p>
    <w:p>
      <w:pPr>
        <w:pStyle w:val="ListBullet"/>
        <w:spacing w:after="30"/>
      </w:pPr>
      <w:r>
        <w:t>A referral note should show: Need → Recommendation → Resources → Response → Continuity</w:t>
      </w:r>
    </w:p>
    <w:p>
      <w:pPr>
        <w:pStyle w:val="ListBullet"/>
        <w:spacing w:after="30"/>
      </w:pPr>
      <w:r>
        <w:t>Once a complaint or investigation exists: Preserve—do not polish. The safest record is an honest record.</w:t>
      </w:r>
    </w:p>
    <w:p>
      <w:pPr>
        <w:pStyle w:val="Heading2"/>
      </w:pPr>
      <w:r>
        <w:t>Chapter Rapid Review</w:t>
      </w:r>
    </w:p>
    <w:p>
      <w:r>
        <w:rPr>
          <w:b/>
        </w:rPr>
        <w:t xml:space="preserve">Know these concepts: </w:t>
      </w:r>
      <w:r>
        <w:t>Late Entry vs. Backdating; Correcting Documentation Errors; High-Risk Documentation; Copy-and-Paste Documentation Errors; Omitting Significant Clinical Actions; Consultation Documentation; Referral and Follow-Up Documentation; Documentation During a Complaint; Later Information and Transparent Addenda; Integrated High-Risk Documentation; Backdating; Significant Clinical Actions; Record Integrity During an Investigation; Properly Identified Late Entry; Outdated Template Information; Post-Incident Record Correction; Critical-Incident Documentation</w:t>
      </w:r>
    </w:p>
    <w:p>
      <w:r>
        <w:br w:type="page"/>
      </w:r>
    </w:p>
    <w:p>
      <w:pPr>
        <w:pStyle w:val="Heading2"/>
      </w:pPr>
      <w:r>
        <w:t>Chapter 3</w:t>
      </w:r>
    </w:p>
    <w:p>
      <w:pPr>
        <w:pStyle w:val="Heading1"/>
      </w:pPr>
      <w:r>
        <w:t>Record Retention Requirements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 Audit trails and transparent correction processes help protect the reliability of electronic records. Clinical records may remain important long after active treatment concludes. A former client may return to treatment, transfer to another provider, request records, or need information about prior diagnoses, interventions, risk concerns, referrals, and treatment responses. Retention also preserves documentation that may later be relevant to professional accountability, audits, investigations, consultation, or legal proceedings.</w:t>
            </w:r>
          </w:p>
        </w:tc>
      </w:tr>
    </w:tbl>
    <w:p>
      <w:pPr>
        <w:pStyle w:val="Heading2"/>
      </w:pPr>
      <w:r>
        <w:t>What to Learn</w:t>
      </w:r>
    </w:p>
    <w:p>
      <w:pPr>
        <w:pStyle w:val="ListBullet"/>
        <w:spacing w:after="30"/>
      </w:pPr>
      <w:r>
        <w:t>Explain and apply Record Integrity.</w:t>
      </w:r>
    </w:p>
    <w:p>
      <w:pPr>
        <w:pStyle w:val="ListBullet"/>
        <w:spacing w:after="30"/>
      </w:pPr>
      <w:r>
        <w:t>Explain and apply Purpose of Record Retention.</w:t>
      </w:r>
    </w:p>
    <w:p>
      <w:pPr>
        <w:pStyle w:val="ListBullet"/>
        <w:spacing w:after="30"/>
      </w:pPr>
      <w:r>
        <w:t>Explain and apply Confidentiality After Treatment.</w:t>
      </w:r>
    </w:p>
    <w:p>
      <w:pPr>
        <w:pStyle w:val="ListBullet"/>
        <w:spacing w:after="30"/>
      </w:pPr>
      <w:r>
        <w:t>Explain and apply Accessibility During Retention.</w:t>
      </w:r>
    </w:p>
    <w:p>
      <w:pPr>
        <w:pStyle w:val="ListBullet"/>
        <w:spacing w:after="30"/>
      </w:pPr>
      <w:r>
        <w:t>Explain and apply Electronic Record Retention.</w:t>
      </w:r>
    </w:p>
    <w:p>
      <w:pPr>
        <w:pStyle w:val="ListBullet"/>
        <w:spacing w:after="30"/>
      </w:pPr>
      <w:r>
        <w:t>Explain and apply Ownership vs. Client Access.</w:t>
      </w:r>
    </w:p>
    <w:p>
      <w:pPr>
        <w:pStyle w:val="ListBullet"/>
        <w:spacing w:after="30"/>
      </w:pPr>
      <w:r>
        <w:t>Explain and apply Practice Closure and Retirement.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Record Integrity</w:t>
            </w:r>
          </w:p>
        </w:tc>
        <w:tc>
          <w:tcPr>
            <w:tcW w:type="dxa" w:w="5256"/>
            <w:vAlign w:val="top"/>
          </w:tcPr>
          <w:p>
            <w:pPr>
              <w:spacing w:after="0"/>
            </w:pPr>
            <w:r/>
            <w:r>
              <w:rPr>
                <w:rFonts w:ascii="Aptos" w:hAnsi="Aptos"/>
                <w:b w:val="0"/>
                <w:sz w:val="16"/>
              </w:rPr>
              <w:t>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 Audit trails and transparent correction processes help protect the reliability of electronic records.</w:t>
            </w:r>
          </w:p>
        </w:tc>
        <w:tc>
          <w:tcPr>
            <w:tcW w:type="dxa" w:w="2520"/>
            <w:vAlign w:val="top"/>
          </w:tcPr>
          <w:p>
            <w:pPr>
              <w:spacing w:after="0"/>
            </w:pPr>
            <w:r/>
            <w:r>
              <w:rPr>
                <w:rFonts w:ascii="Aptos" w:hAnsi="Aptos"/>
                <w:b w:val="0"/>
                <w:sz w:val="16"/>
              </w:rPr>
              <w:t>Use the integrity formula: Accurate + Complete + Accessible + Protected</w:t>
            </w:r>
          </w:p>
        </w:tc>
      </w:tr>
      <w:tr>
        <w:tc>
          <w:tcPr>
            <w:tcW w:type="dxa" w:w="2376"/>
            <w:vAlign w:val="top"/>
            <w:shd w:fill="F7F9FA"/>
          </w:tcPr>
          <w:p>
            <w:pPr>
              <w:spacing w:after="0"/>
            </w:pPr>
            <w:r/>
            <w:r>
              <w:rPr>
                <w:rFonts w:ascii="Aptos" w:hAnsi="Aptos"/>
                <w:b/>
                <w:sz w:val="16"/>
              </w:rPr>
              <w:t>Purpose of Record Retention</w:t>
            </w:r>
          </w:p>
        </w:tc>
        <w:tc>
          <w:tcPr>
            <w:tcW w:type="dxa" w:w="5256"/>
            <w:vAlign w:val="top"/>
            <w:shd w:fill="F7F9FA"/>
          </w:tcPr>
          <w:p>
            <w:pPr>
              <w:spacing w:after="0"/>
            </w:pPr>
            <w:r/>
            <w:r>
              <w:rPr>
                <w:rFonts w:ascii="Aptos" w:hAnsi="Aptos"/>
                <w:b w:val="0"/>
                <w:sz w:val="16"/>
              </w:rPr>
              <w:t>Clinical records may remain important long after active treatment concludes. A former client may return to treatment, transfer to another provider, request records, or need information about prior diagnoses, interventions, risk concerns, referrals, and treatment responses. Retention also preserves documentation that may later be relevant to professional accountability, audits, investigations, consultation, or legal proceedings.</w:t>
            </w:r>
          </w:p>
        </w:tc>
        <w:tc>
          <w:tcPr>
            <w:tcW w:type="dxa" w:w="2520"/>
            <w:vAlign w:val="top"/>
            <w:shd w:fill="F7F9FA"/>
          </w:tcPr>
          <w:p>
            <w:pPr>
              <w:spacing w:after="0"/>
            </w:pPr>
            <w:r/>
            <w:r>
              <w:rPr>
                <w:rFonts w:ascii="Aptos" w:hAnsi="Aptos"/>
                <w:b w:val="0"/>
                <w:sz w:val="16"/>
              </w:rPr>
              <w:t>Remember: Retention preserves information for future lawful and clinical needs. It is not merely defensive storage.</w:t>
            </w:r>
          </w:p>
        </w:tc>
      </w:tr>
      <w:tr>
        <w:tc>
          <w:tcPr>
            <w:tcW w:type="dxa" w:w="2376"/>
            <w:vAlign w:val="top"/>
          </w:tcPr>
          <w:p>
            <w:pPr>
              <w:spacing w:after="0"/>
            </w:pPr>
            <w:r/>
            <w:r>
              <w:rPr>
                <w:rFonts w:ascii="Aptos" w:hAnsi="Aptos"/>
                <w:b/>
                <w:sz w:val="16"/>
              </w:rPr>
              <w:t>Confidentiality After Treatment</w:t>
            </w:r>
          </w:p>
        </w:tc>
        <w:tc>
          <w:tcPr>
            <w:tcW w:type="dxa" w:w="5256"/>
            <w:vAlign w:val="top"/>
          </w:tcPr>
          <w:p>
            <w:pPr>
              <w:spacing w:after="0"/>
            </w:pPr>
            <w:r/>
            <w:r>
              <w:rPr>
                <w:rFonts w:ascii="Aptos" w:hAnsi="Aptos"/>
                <w:b w:val="0"/>
                <w:sz w:val="16"/>
              </w:rPr>
              <w:t>Treatment termination does not automatically end confidentiality. Paper records, electronic records, billing information, assessments, progress notes, and other protected information must continue to be safeguarded during retention. The therapist’s professional responsibility follows the record even when no current therapeutic relationship exists.</w:t>
            </w:r>
          </w:p>
        </w:tc>
        <w:tc>
          <w:tcPr>
            <w:tcW w:type="dxa" w:w="2520"/>
            <w:vAlign w:val="top"/>
          </w:tcPr>
          <w:p>
            <w:pPr>
              <w:spacing w:after="0"/>
            </w:pPr>
            <w:r/>
            <w:r>
              <w:rPr>
                <w:rFonts w:ascii="Aptos" w:hAnsi="Aptos"/>
                <w:b w:val="0"/>
                <w:sz w:val="16"/>
              </w:rPr>
              <w:t>Use the memory phrase: Treatment ends. Confidentiality doesn’t.</w:t>
            </w:r>
          </w:p>
        </w:tc>
      </w:tr>
      <w:tr>
        <w:tc>
          <w:tcPr>
            <w:tcW w:type="dxa" w:w="2376"/>
            <w:vAlign w:val="top"/>
            <w:shd w:fill="F7F9FA"/>
          </w:tcPr>
          <w:p>
            <w:pPr>
              <w:spacing w:after="0"/>
            </w:pPr>
            <w:r/>
            <w:r>
              <w:rPr>
                <w:rFonts w:ascii="Aptos" w:hAnsi="Aptos"/>
                <w:b/>
                <w:sz w:val="16"/>
              </w:rPr>
              <w:t>Accessibility During Retention</w:t>
            </w:r>
          </w:p>
        </w:tc>
        <w:tc>
          <w:tcPr>
            <w:tcW w:type="dxa" w:w="5256"/>
            <w:vAlign w:val="top"/>
            <w:shd w:fill="F7F9FA"/>
          </w:tcPr>
          <w:p>
            <w:pPr>
              <w:spacing w:after="0"/>
            </w:pPr>
            <w:r/>
            <w:r>
              <w:rPr>
                <w:rFonts w:ascii="Aptos" w:hAnsi="Aptos"/>
                <w:b w:val="0"/>
                <w:sz w:val="16"/>
              </w:rPr>
              <w:t>Retention includes more than keeping records somewhere. Records should remain organized, protected, usable, and reasonably retrievable throughout the retention period. A record that cannot be located may fail to support lawful access, continuity of care, professional communication, or accountability—even though it was not physically destroyed.</w:t>
            </w:r>
          </w:p>
        </w:tc>
        <w:tc>
          <w:tcPr>
            <w:tcW w:type="dxa" w:w="2520"/>
            <w:vAlign w:val="top"/>
            <w:shd w:fill="F7F9FA"/>
          </w:tcPr>
          <w:p>
            <w:pPr>
              <w:spacing w:after="0"/>
            </w:pPr>
            <w:r/>
            <w:r>
              <w:rPr>
                <w:rFonts w:ascii="Aptos" w:hAnsi="Aptos"/>
                <w:b w:val="0"/>
                <w:sz w:val="16"/>
              </w:rPr>
              <w:t>Remember: Retained does not merely mean stored. It also means retrievable.</w:t>
            </w:r>
          </w:p>
        </w:tc>
      </w:tr>
      <w:tr>
        <w:tc>
          <w:tcPr>
            <w:tcW w:type="dxa" w:w="2376"/>
            <w:vAlign w:val="top"/>
          </w:tcPr>
          <w:p>
            <w:pPr>
              <w:spacing w:after="0"/>
            </w:pPr>
            <w:r/>
            <w:r>
              <w:rPr>
                <w:rFonts w:ascii="Aptos" w:hAnsi="Aptos"/>
                <w:b/>
                <w:sz w:val="16"/>
              </w:rPr>
              <w:t>Electronic Record Retention</w:t>
            </w:r>
          </w:p>
        </w:tc>
        <w:tc>
          <w:tcPr>
            <w:tcW w:type="dxa" w:w="5256"/>
            <w:vAlign w:val="top"/>
          </w:tcPr>
          <w:p>
            <w:pPr>
              <w:spacing w:after="0"/>
            </w:pPr>
            <w:r/>
            <w:r>
              <w:rPr>
                <w:rFonts w:ascii="Aptos" w:hAnsi="Aptos"/>
                <w:b w:val="0"/>
                <w:sz w:val="16"/>
              </w:rPr>
              <w:t>Electronic retention requires more than leaving data somewhere in a computer system. Records must remain reasonably accessible, retrievable, protected, and usable throughout the required retention period. Before ending a software relationship, the therapist should plan for lawful export, secure migration, continued accessibility, and preservation of record integrity.</w:t>
            </w:r>
          </w:p>
        </w:tc>
        <w:tc>
          <w:tcPr>
            <w:tcW w:type="dxa" w:w="2520"/>
            <w:vAlign w:val="top"/>
          </w:tcPr>
          <w:p>
            <w:pPr>
              <w:spacing w:after="0"/>
            </w:pPr>
            <w:r/>
            <w:r>
              <w:rPr>
                <w:rFonts w:ascii="Aptos" w:hAnsi="Aptos"/>
                <w:b w:val="0"/>
                <w:sz w:val="16"/>
              </w:rPr>
              <w:t>For electronic retention, ask: Can the record still be opened, understood, protected, and produced when needed?</w:t>
            </w:r>
          </w:p>
        </w:tc>
      </w:tr>
      <w:tr>
        <w:tc>
          <w:tcPr>
            <w:tcW w:type="dxa" w:w="2376"/>
            <w:vAlign w:val="top"/>
            <w:shd w:fill="F7F9FA"/>
          </w:tcPr>
          <w:p>
            <w:pPr>
              <w:spacing w:after="0"/>
            </w:pPr>
            <w:r/>
            <w:r>
              <w:rPr>
                <w:rFonts w:ascii="Aptos" w:hAnsi="Aptos"/>
                <w:b/>
                <w:sz w:val="16"/>
              </w:rPr>
              <w:t>Ownership vs. Client Access</w:t>
            </w:r>
          </w:p>
        </w:tc>
        <w:tc>
          <w:tcPr>
            <w:tcW w:type="dxa" w:w="5256"/>
            <w:vAlign w:val="top"/>
            <w:shd w:fill="F7F9FA"/>
          </w:tcPr>
          <w:p>
            <w:pPr>
              <w:spacing w:after="0"/>
            </w:pPr>
            <w:r/>
            <w:r>
              <w:rPr>
                <w:rFonts w:ascii="Aptos" w:hAnsi="Aptos"/>
                <w:b w:val="0"/>
                <w:sz w:val="16"/>
              </w:rPr>
              <w:t>Ownership and access are separate concepts. A therapist or practice may maintain the original clinical record while the client retains legally recognized rights to inspect or obtain copies under applicable law. The therapist should analyze the request according to access requirements rather than treating physical ownership as a reason for automatic refusal.</w:t>
            </w:r>
          </w:p>
        </w:tc>
        <w:tc>
          <w:tcPr>
            <w:tcW w:type="dxa" w:w="2520"/>
            <w:vAlign w:val="top"/>
            <w:shd w:fill="F7F9FA"/>
          </w:tcPr>
          <w:p>
            <w:pPr>
              <w:spacing w:after="0"/>
            </w:pPr>
            <w:r/>
            <w:r>
              <w:rPr>
                <w:rFonts w:ascii="Aptos" w:hAnsi="Aptos"/>
                <w:b w:val="0"/>
                <w:sz w:val="16"/>
              </w:rPr>
              <w:t>Remember: Ownership asks who maintains the record.Access asks who may inspect or receive information.</w:t>
            </w:r>
          </w:p>
        </w:tc>
      </w:tr>
      <w:tr>
        <w:tc>
          <w:tcPr>
            <w:tcW w:type="dxa" w:w="2376"/>
            <w:vAlign w:val="top"/>
          </w:tcPr>
          <w:p>
            <w:pPr>
              <w:spacing w:after="0"/>
            </w:pPr>
            <w:r/>
            <w:r>
              <w:rPr>
                <w:rFonts w:ascii="Aptos" w:hAnsi="Aptos"/>
                <w:b/>
                <w:sz w:val="16"/>
              </w:rPr>
              <w:t>Practice Closure and Retirement</w:t>
            </w:r>
          </w:p>
        </w:tc>
        <w:tc>
          <w:tcPr>
            <w:tcW w:type="dxa" w:w="5256"/>
            <w:vAlign w:val="top"/>
          </w:tcPr>
          <w:p>
            <w:pPr>
              <w:spacing w:after="0"/>
            </w:pPr>
            <w:r/>
            <w:r>
              <w:rPr>
                <w:rFonts w:ascii="Aptos" w:hAnsi="Aptos"/>
                <w:b w:val="0"/>
                <w:sz w:val="16"/>
              </w:rPr>
              <w:t>Retirement or practice closure does not eliminate record responsibilities. The therapist should make arrangements for continued secure retention, reasonable accessibility, confidentiality protection, and an appropriate method for responding to lawful client or representative requests. The plan may involve a records custodian, secure storage, client notification, or another arrangement consistent with applicable professional and legal requirements.</w:t>
            </w:r>
          </w:p>
        </w:tc>
        <w:tc>
          <w:tcPr>
            <w:tcW w:type="dxa" w:w="2520"/>
            <w:vAlign w:val="top"/>
          </w:tcPr>
          <w:p>
            <w:pPr>
              <w:spacing w:after="0"/>
            </w:pPr>
            <w:r/>
            <w:r>
              <w:rPr>
                <w:rFonts w:ascii="Aptos" w:hAnsi="Aptos"/>
                <w:b w:val="0"/>
                <w:sz w:val="16"/>
              </w:rPr>
              <w:t>Practice changes do not erase record duties. Look for answers preserving: Confidentiality + accessibility + retention + continuity</w:t>
            </w:r>
          </w:p>
        </w:tc>
      </w:tr>
      <w:tr>
        <w:tc>
          <w:tcPr>
            <w:tcW w:type="dxa" w:w="2376"/>
            <w:vAlign w:val="top"/>
            <w:shd w:fill="F7F9FA"/>
          </w:tcPr>
          <w:p>
            <w:pPr>
              <w:spacing w:after="0"/>
            </w:pPr>
            <w:r/>
            <w:r>
              <w:rPr>
                <w:rFonts w:ascii="Aptos" w:hAnsi="Aptos"/>
                <w:b/>
                <w:sz w:val="16"/>
              </w:rPr>
              <w:t>Backups and Data Recovery</w:t>
            </w:r>
          </w:p>
        </w:tc>
        <w:tc>
          <w:tcPr>
            <w:tcW w:type="dxa" w:w="5256"/>
            <w:vAlign w:val="top"/>
            <w:shd w:fill="F7F9FA"/>
          </w:tcPr>
          <w:p>
            <w:pPr>
              <w:spacing w:after="0"/>
            </w:pPr>
            <w:r/>
            <w:r>
              <w:rPr>
                <w:rFonts w:ascii="Aptos" w:hAnsi="Aptos"/>
                <w:b w:val="0"/>
                <w:sz w:val="16"/>
              </w:rPr>
              <w:t>Electronic retention requires planning for hardware failure, system failure, accidental deletion, disasters, and other foreseeable losses. Reliable backups and recovery procedures help ensure that records remain available and intact throughout the retention period. A record that cannot be recovered cannot support continuity, lawful access, or accountability.</w:t>
            </w:r>
          </w:p>
        </w:tc>
        <w:tc>
          <w:tcPr>
            <w:tcW w:type="dxa" w:w="2520"/>
            <w:vAlign w:val="top"/>
            <w:shd w:fill="F7F9FA"/>
          </w:tcPr>
          <w:p>
            <w:pPr>
              <w:spacing w:after="0"/>
            </w:pPr>
            <w:r/>
            <w:r>
              <w:rPr>
                <w:rFonts w:ascii="Aptos" w:hAnsi="Aptos"/>
                <w:b w:val="0"/>
                <w:sz w:val="16"/>
              </w:rPr>
              <w:t>Electronic retention requires both: Primary storage + recovery plan</w:t>
            </w:r>
          </w:p>
        </w:tc>
      </w:tr>
      <w:tr>
        <w:tc>
          <w:tcPr>
            <w:tcW w:type="dxa" w:w="2376"/>
            <w:vAlign w:val="top"/>
          </w:tcPr>
          <w:p>
            <w:pPr>
              <w:spacing w:after="0"/>
            </w:pPr>
            <w:r/>
            <w:r>
              <w:rPr>
                <w:rFonts w:ascii="Aptos" w:hAnsi="Aptos"/>
                <w:b/>
                <w:sz w:val="16"/>
              </w:rPr>
              <w:t>Premature Destruction</w:t>
            </w:r>
          </w:p>
        </w:tc>
        <w:tc>
          <w:tcPr>
            <w:tcW w:type="dxa" w:w="5256"/>
            <w:vAlign w:val="top"/>
          </w:tcPr>
          <w:p>
            <w:pPr>
              <w:spacing w:after="0"/>
            </w:pPr>
            <w:r/>
            <w:r>
              <w:rPr>
                <w:rFonts w:ascii="Aptos" w:hAnsi="Aptos"/>
                <w:b w:val="0"/>
                <w:sz w:val="16"/>
              </w:rPr>
              <w:t>Even when a routine retention period may have ended, records should not be destroyed without considering whether a complaint, investigation, litigation risk, legal hold, or other preservation obligation requires continued retention. The workbook emphasizes that preservation is generally favored when uncertainty exists. The therapist should obtain appropriate consultation and document the retention or destruction decision.</w:t>
            </w:r>
          </w:p>
        </w:tc>
        <w:tc>
          <w:tcPr>
            <w:tcW w:type="dxa" w:w="2520"/>
            <w:vAlign w:val="top"/>
          </w:tcPr>
          <w:p>
            <w:pPr>
              <w:spacing w:after="0"/>
            </w:pPr>
            <w:r/>
            <w:r>
              <w:rPr>
                <w:rFonts w:ascii="Aptos" w:hAnsi="Aptos"/>
                <w:b w:val="0"/>
                <w:sz w:val="16"/>
              </w:rPr>
              <w:t>Before destruction, ask: Has retention truly ended—and is any complaint, investigation, litigation, or hold pending? When uncertain, preserve first.</w:t>
            </w:r>
          </w:p>
        </w:tc>
      </w:tr>
      <w:tr>
        <w:tc>
          <w:tcPr>
            <w:tcW w:type="dxa" w:w="2376"/>
            <w:vAlign w:val="top"/>
            <w:shd w:fill="F7F9FA"/>
          </w:tcPr>
          <w:p>
            <w:pPr>
              <w:spacing w:after="0"/>
            </w:pPr>
            <w:r/>
            <w:r>
              <w:rPr>
                <w:rFonts w:ascii="Aptos" w:hAnsi="Aptos"/>
                <w:b/>
                <w:sz w:val="16"/>
              </w:rPr>
              <w:t>Integrated Electronic Retention and Practice Transition</w:t>
            </w:r>
          </w:p>
        </w:tc>
        <w:tc>
          <w:tcPr>
            <w:tcW w:type="dxa" w:w="5256"/>
            <w:vAlign w:val="top"/>
            <w:shd w:fill="F7F9FA"/>
          </w:tcPr>
          <w:p>
            <w:pPr>
              <w:spacing w:after="0"/>
            </w:pPr>
            <w:r/>
            <w:r>
              <w:rPr>
                <w:rFonts w:ascii="Aptos" w:hAnsi="Aptos"/>
                <w:b w:val="0"/>
                <w:sz w:val="16"/>
              </w:rPr>
              <w:t>A practice or employment transition does not end responsibility for records created in the former practice. Before the vendor deletes the data, the therapist must develop an appropriate plan for secure export, migration, storage, indexing, backup, and future retrieval. The therapist must also determine who may lawfully possess the records, how confidentiality will be maintained, and how former clients can exercise applicable access rights.</w:t>
            </w:r>
          </w:p>
        </w:tc>
        <w:tc>
          <w:tcPr>
            <w:tcW w:type="dxa" w:w="2520"/>
            <w:vAlign w:val="top"/>
            <w:shd w:fill="F7F9FA"/>
          </w:tcPr>
          <w:p>
            <w:pPr>
              <w:spacing w:after="0"/>
            </w:pPr>
            <w:r/>
            <w:r>
              <w:rPr>
                <w:rFonts w:ascii="Aptos" w:hAnsi="Aptos"/>
                <w:b w:val="0"/>
                <w:sz w:val="16"/>
              </w:rPr>
              <w:t>For a system or practice transition, use: Preserve → Protect → Migrate → Verify → Retrieve Do not wait until the vendor deletes the data.</w:t>
            </w:r>
          </w:p>
        </w:tc>
      </w:tr>
      <w:tr>
        <w:tc>
          <w:tcPr>
            <w:tcW w:type="dxa" w:w="2376"/>
            <w:vAlign w:val="top"/>
          </w:tcPr>
          <w:p>
            <w:pPr>
              <w:spacing w:after="0"/>
            </w:pPr>
            <w:r/>
            <w:r>
              <w:rPr>
                <w:rFonts w:ascii="Aptos" w:hAnsi="Aptos"/>
                <w:b/>
                <w:sz w:val="16"/>
              </w:rPr>
              <w:t>Retention vs. Destruction</w:t>
            </w:r>
          </w:p>
        </w:tc>
        <w:tc>
          <w:tcPr>
            <w:tcW w:type="dxa" w:w="5256"/>
            <w:vAlign w:val="top"/>
          </w:tcPr>
          <w:p>
            <w:pPr>
              <w:spacing w:after="0"/>
            </w:pPr>
            <w:r/>
            <w:r>
              <w:rPr>
                <w:rFonts w:ascii="Aptos" w:hAnsi="Aptos"/>
                <w:b w:val="0"/>
                <w:sz w:val="16"/>
              </w:rPr>
              <w:t>Record retention means preserving clinical records throughout the applicable retention period. Once those responsibilities have been satisfied—and no investigation, legal hold, or other reason requires continued preservation—the record may become eligible for secure destruction. Destruction must be performed in a way that prevents unauthorized reconstruction or recovery.</w:t>
            </w:r>
          </w:p>
        </w:tc>
        <w:tc>
          <w:tcPr>
            <w:tcW w:type="dxa" w:w="2520"/>
            <w:vAlign w:val="top"/>
          </w:tcPr>
          <w:p>
            <w:pPr>
              <w:spacing w:after="0"/>
            </w:pPr>
            <w:r/>
            <w:r>
              <w:rPr>
                <w:rFonts w:ascii="Aptos" w:hAnsi="Aptos"/>
                <w:b w:val="0"/>
                <w:sz w:val="16"/>
              </w:rPr>
              <w:t>Remember: Retain first. Destroy securely later. Treatment termination does not automatically trigger destruction.</w:t>
            </w:r>
          </w:p>
        </w:tc>
      </w:tr>
      <w:tr>
        <w:tc>
          <w:tcPr>
            <w:tcW w:type="dxa" w:w="2376"/>
            <w:vAlign w:val="top"/>
            <w:shd w:fill="F7F9FA"/>
          </w:tcPr>
          <w:p>
            <w:pPr>
              <w:spacing w:after="0"/>
            </w:pPr>
            <w:r/>
            <w:r>
              <w:rPr>
                <w:rFonts w:ascii="Aptos" w:hAnsi="Aptos"/>
                <w:b/>
                <w:sz w:val="16"/>
              </w:rPr>
              <w:t>Confidentiality During Retention</w:t>
            </w:r>
          </w:p>
        </w:tc>
        <w:tc>
          <w:tcPr>
            <w:tcW w:type="dxa" w:w="5256"/>
            <w:vAlign w:val="top"/>
            <w:shd w:fill="F7F9FA"/>
          </w:tcPr>
          <w:p>
            <w:pPr>
              <w:spacing w:after="0"/>
            </w:pPr>
            <w:r/>
            <w:r>
              <w:rPr>
                <w:rFonts w:ascii="Aptos" w:hAnsi="Aptos"/>
                <w:b w:val="0"/>
                <w:sz w:val="16"/>
              </w:rPr>
              <w:t>Confidentiality continues after treatment ends and applies to records regardless of format. Both paper and electronic files must remain protected against unauthorized access, loss, disclosure, and alteration. The fact that a case is closed does not make the information less sensitive.</w:t>
            </w:r>
          </w:p>
        </w:tc>
        <w:tc>
          <w:tcPr>
            <w:tcW w:type="dxa" w:w="2520"/>
            <w:vAlign w:val="top"/>
            <w:shd w:fill="F7F9FA"/>
          </w:tcPr>
          <w:p>
            <w:pPr>
              <w:spacing w:after="0"/>
            </w:pPr>
            <w:r/>
            <w:r>
              <w:rPr>
                <w:rFonts w:ascii="Aptos" w:hAnsi="Aptos"/>
                <w:b w:val="0"/>
                <w:sz w:val="16"/>
              </w:rPr>
              <w:t>Use the workbook’s memory rule: Confidentiality follows the record.</w:t>
            </w:r>
          </w:p>
        </w:tc>
      </w:tr>
      <w:tr>
        <w:tc>
          <w:tcPr>
            <w:tcW w:type="dxa" w:w="2376"/>
            <w:vAlign w:val="top"/>
          </w:tcPr>
          <w:p>
            <w:pPr>
              <w:spacing w:after="0"/>
            </w:pPr>
            <w:r/>
            <w:r>
              <w:rPr>
                <w:rFonts w:ascii="Aptos" w:hAnsi="Aptos"/>
                <w:b/>
                <w:sz w:val="16"/>
              </w:rPr>
              <w:t>Usable Record Accessibility</w:t>
            </w:r>
          </w:p>
        </w:tc>
        <w:tc>
          <w:tcPr>
            <w:tcW w:type="dxa" w:w="5256"/>
            <w:vAlign w:val="top"/>
          </w:tcPr>
          <w:p>
            <w:pPr>
              <w:spacing w:after="0"/>
            </w:pPr>
            <w:r/>
            <w:r>
              <w:rPr>
                <w:rFonts w:ascii="Aptos" w:hAnsi="Aptos"/>
                <w:b w:val="0"/>
                <w:sz w:val="16"/>
              </w:rPr>
              <w:t>Proper retention requires records to remain organized, retrievable, usable, and available when needed. An indexing and retrieval system supports client access, continuity of care, audits, and professional accountability. A record that cannot be found or opened may not meaningfully serve its retention purpose.</w:t>
            </w:r>
          </w:p>
        </w:tc>
        <w:tc>
          <w:tcPr>
            <w:tcW w:type="dxa" w:w="2520"/>
            <w:vAlign w:val="top"/>
          </w:tcPr>
          <w:p>
            <w:pPr>
              <w:spacing w:after="0"/>
            </w:pPr>
            <w:r/>
            <w:r>
              <w:rPr>
                <w:rFonts w:ascii="Aptos" w:hAnsi="Aptos"/>
                <w:b w:val="0"/>
                <w:sz w:val="16"/>
              </w:rPr>
              <w:t>Remember: A record that cannot be found cannot serve its purpose.</w:t>
            </w:r>
          </w:p>
        </w:tc>
      </w:tr>
      <w:tr>
        <w:tc>
          <w:tcPr>
            <w:tcW w:type="dxa" w:w="2376"/>
            <w:vAlign w:val="top"/>
            <w:shd w:fill="F7F9FA"/>
          </w:tcPr>
          <w:p>
            <w:pPr>
              <w:spacing w:after="0"/>
            </w:pPr>
            <w:r/>
            <w:r>
              <w:rPr>
                <w:rFonts w:ascii="Aptos" w:hAnsi="Aptos"/>
                <w:b/>
                <w:sz w:val="16"/>
              </w:rPr>
              <w:t>Sale or Transfer of a Practice</w:t>
            </w:r>
          </w:p>
        </w:tc>
        <w:tc>
          <w:tcPr>
            <w:tcW w:type="dxa" w:w="5256"/>
            <w:vAlign w:val="top"/>
            <w:shd w:fill="F7F9FA"/>
          </w:tcPr>
          <w:p>
            <w:pPr>
              <w:spacing w:after="0"/>
            </w:pPr>
            <w:r/>
            <w:r>
              <w:rPr>
                <w:rFonts w:ascii="Aptos" w:hAnsi="Aptos"/>
                <w:b w:val="0"/>
                <w:sz w:val="16"/>
              </w:rPr>
              <w:t>A practice sale does not eliminate responsibilities for former clients’ records. The clinicians should determine who will serve as the lawful custodian, how records will remain protected, and how clients or authorized representatives can make future requests. The transition should preserve confidentiality, accessibility, integrity, and applicable retention obligations.</w:t>
            </w:r>
          </w:p>
        </w:tc>
        <w:tc>
          <w:tcPr>
            <w:tcW w:type="dxa" w:w="2520"/>
            <w:vAlign w:val="top"/>
            <w:shd w:fill="F7F9FA"/>
          </w:tcPr>
          <w:p>
            <w:pPr>
              <w:spacing w:after="0"/>
            </w:pPr>
            <w:r/>
            <w:r>
              <w:rPr>
                <w:rFonts w:ascii="Aptos" w:hAnsi="Aptos"/>
                <w:b w:val="0"/>
                <w:sz w:val="16"/>
              </w:rPr>
              <w:t>During a practice transition, ask: Who will protect, retain, retrieve, and lawfully provide the records?</w:t>
            </w:r>
          </w:p>
        </w:tc>
      </w:tr>
      <w:tr>
        <w:tc>
          <w:tcPr>
            <w:tcW w:type="dxa" w:w="2376"/>
            <w:vAlign w:val="top"/>
          </w:tcPr>
          <w:p>
            <w:pPr>
              <w:spacing w:after="0"/>
            </w:pPr>
            <w:r/>
            <w:r>
              <w:rPr>
                <w:rFonts w:ascii="Aptos" w:hAnsi="Aptos"/>
                <w:b/>
                <w:sz w:val="16"/>
              </w:rPr>
              <w:t>Obsolete Electronic Formats</w:t>
            </w:r>
          </w:p>
        </w:tc>
        <w:tc>
          <w:tcPr>
            <w:tcW w:type="dxa" w:w="5256"/>
            <w:vAlign w:val="top"/>
          </w:tcPr>
          <w:p>
            <w:pPr>
              <w:spacing w:after="0"/>
            </w:pPr>
            <w:r/>
            <w:r>
              <w:rPr>
                <w:rFonts w:ascii="Aptos" w:hAnsi="Aptos"/>
                <w:b w:val="0"/>
                <w:sz w:val="16"/>
              </w:rPr>
              <w:t>Electronic retention requires ongoing attention to format compatibility, system changes, migration, and recovery. Merely possessing data is insufficient when the information cannot be opened or used. The therapist should anticipate technology changes and preserve records in a format that remains readable, secure, complete, and reliable.</w:t>
            </w:r>
          </w:p>
        </w:tc>
        <w:tc>
          <w:tcPr>
            <w:tcW w:type="dxa" w:w="2520"/>
            <w:vAlign w:val="top"/>
          </w:tcPr>
          <w:p>
            <w:pPr>
              <w:spacing w:after="0"/>
            </w:pPr>
            <w:r/>
            <w:r>
              <w:rPr>
                <w:rFonts w:ascii="Aptos" w:hAnsi="Aptos"/>
                <w:b w:val="0"/>
                <w:sz w:val="16"/>
              </w:rPr>
              <w:t>Electronic retention means: Save the data—and preserve the ability to read it.</w:t>
            </w:r>
          </w:p>
        </w:tc>
      </w:tr>
      <w:tr>
        <w:tc>
          <w:tcPr>
            <w:tcW w:type="dxa" w:w="2376"/>
            <w:vAlign w:val="top"/>
            <w:shd w:fill="F7F9FA"/>
          </w:tcPr>
          <w:p>
            <w:pPr>
              <w:spacing w:after="0"/>
            </w:pPr>
            <w:r/>
            <w:r>
              <w:rPr>
                <w:rFonts w:ascii="Aptos" w:hAnsi="Aptos"/>
                <w:b/>
                <w:sz w:val="16"/>
              </w:rPr>
              <w:t>Fragmented Hybrid Records</w:t>
            </w:r>
          </w:p>
        </w:tc>
        <w:tc>
          <w:tcPr>
            <w:tcW w:type="dxa" w:w="5256"/>
            <w:vAlign w:val="top"/>
            <w:shd w:fill="F7F9FA"/>
          </w:tcPr>
          <w:p>
            <w:pPr>
              <w:spacing w:after="0"/>
            </w:pPr>
            <w:r/>
            <w:r>
              <w:rPr>
                <w:rFonts w:ascii="Aptos" w:hAnsi="Aptos"/>
                <w:b w:val="0"/>
                <w:sz w:val="16"/>
              </w:rPr>
              <w:t>A clinical record may be distributed across several authorized systems, but the practice remains responsible for maintaining its organization, integrity, and accessibility. The therapist should determine what information belongs to the responsive record, retrieve the relevant components, and address the request according to applicable access rules. The storage system should then be improved to reduce future retrieval failures.</w:t>
            </w:r>
          </w:p>
        </w:tc>
        <w:tc>
          <w:tcPr>
            <w:tcW w:type="dxa" w:w="2520"/>
            <w:vAlign w:val="top"/>
            <w:shd w:fill="F7F9FA"/>
          </w:tcPr>
          <w:p>
            <w:pPr>
              <w:spacing w:after="0"/>
            </w:pPr>
            <w:r/>
            <w:r>
              <w:rPr>
                <w:rFonts w:ascii="Aptos" w:hAnsi="Aptos"/>
                <w:b w:val="0"/>
                <w:sz w:val="16"/>
              </w:rPr>
              <w:t>For hybrid records, think: One client record may exist in several locations—but it must remain collectively retrievable.</w:t>
            </w:r>
          </w:p>
        </w:tc>
      </w:tr>
      <w:tr>
        <w:tc>
          <w:tcPr>
            <w:tcW w:type="dxa" w:w="2376"/>
            <w:vAlign w:val="top"/>
          </w:tcPr>
          <w:p>
            <w:pPr>
              <w:spacing w:after="0"/>
            </w:pPr>
            <w:r/>
            <w:r>
              <w:rPr>
                <w:rFonts w:ascii="Aptos" w:hAnsi="Aptos"/>
                <w:b/>
                <w:sz w:val="16"/>
              </w:rPr>
              <w:t>Comprehensive Record-Retention Planning</w:t>
            </w:r>
          </w:p>
        </w:tc>
        <w:tc>
          <w:tcPr>
            <w:tcW w:type="dxa" w:w="5256"/>
            <w:vAlign w:val="top"/>
          </w:tcPr>
          <w:p>
            <w:pPr>
              <w:spacing w:after="0"/>
            </w:pPr>
            <w:r/>
            <w:r>
              <w:rPr>
                <w:rFonts w:ascii="Aptos" w:hAnsi="Aptos"/>
                <w:b w:val="0"/>
                <w:sz w:val="16"/>
              </w:rPr>
              <w:t>Retirement does not end the therapist’s responsibilities. The transition plan should address: Which records still require retention Whether any complaint, investigation, or legal hold requires extended preservation Secure storage for paper records Timely export and backup of electronic information Continued readability and integrity Designation of an appropriate records custodian Confidentiality and access controls A process for responding to future lawful requests Eventual secure destruction when permitted This approach protects client welfare, confidentiality, accessibility, and professional accountability throughout the remaining record lifecycle.</w:t>
            </w:r>
          </w:p>
        </w:tc>
        <w:tc>
          <w:tcPr>
            <w:tcW w:type="dxa" w:w="2520"/>
            <w:vAlign w:val="top"/>
          </w:tcPr>
          <w:p>
            <w:pPr>
              <w:spacing w:after="0"/>
            </w:pPr>
            <w:r/>
            <w:r>
              <w:rPr>
                <w:rFonts w:ascii="Aptos" w:hAnsi="Aptos"/>
                <w:b w:val="0"/>
                <w:sz w:val="16"/>
              </w:rPr>
              <w:t>For retirement or closure, use the four responsibilities: Retain + Protect + Retrieve + Destroy Properly</w:t>
            </w:r>
          </w:p>
        </w:tc>
      </w:tr>
    </w:tbl>
    <w:p>
      <w:pPr>
        <w:pStyle w:val="Heading2"/>
      </w:pPr>
      <w:r>
        <w:t>Exam Reasoning Checklist</w:t>
      </w:r>
    </w:p>
    <w:p>
      <w:pPr>
        <w:pStyle w:val="ListBullet"/>
        <w:spacing w:after="30"/>
      </w:pPr>
      <w:r>
        <w:t>Use the integrity formula: Accurate + Complete + Accessible + Protected</w:t>
      </w:r>
    </w:p>
    <w:p>
      <w:pPr>
        <w:pStyle w:val="ListBullet"/>
        <w:spacing w:after="30"/>
      </w:pPr>
      <w:r>
        <w:t>Remember: Retention preserves information for future lawful and clinical needs. It is not merely defensive storage.</w:t>
      </w:r>
    </w:p>
    <w:p>
      <w:pPr>
        <w:pStyle w:val="ListBullet"/>
        <w:spacing w:after="30"/>
      </w:pPr>
      <w:r>
        <w:t>Use the memory phrase: Treatment ends. Confidentiality doesn’t.</w:t>
      </w:r>
    </w:p>
    <w:p>
      <w:pPr>
        <w:pStyle w:val="ListBullet"/>
        <w:spacing w:after="30"/>
      </w:pPr>
      <w:r>
        <w:t>Remember: Retained does not merely mean stored. It also means retrievable.</w:t>
      </w:r>
    </w:p>
    <w:p>
      <w:pPr>
        <w:pStyle w:val="ListBullet"/>
        <w:spacing w:after="30"/>
      </w:pPr>
      <w:r>
        <w:t>For electronic retention, ask: Can the record still be opened, understood, protected, and produced when needed?</w:t>
      </w:r>
    </w:p>
    <w:p>
      <w:pPr>
        <w:pStyle w:val="ListBullet"/>
        <w:spacing w:after="30"/>
      </w:pPr>
      <w:r>
        <w:t>Remember: Ownership asks who maintains the record.Access asks who may inspect or receive information.</w:t>
      </w:r>
    </w:p>
    <w:p>
      <w:pPr>
        <w:pStyle w:val="ListBullet"/>
        <w:spacing w:after="30"/>
      </w:pPr>
      <w:r>
        <w:t>Practice changes do not erase record duties. Look for answers preserving: Confidentiality + accessibility + retention + continuity</w:t>
      </w:r>
    </w:p>
    <w:p>
      <w:pPr>
        <w:pStyle w:val="ListBullet"/>
        <w:spacing w:after="30"/>
      </w:pPr>
      <w:r>
        <w:t>Electronic retention requires both: Primary storage + recovery plan</w:t>
      </w:r>
    </w:p>
    <w:p>
      <w:pPr>
        <w:pStyle w:val="Heading2"/>
      </w:pPr>
      <w:r>
        <w:t>Chapter Rapid Review</w:t>
      </w:r>
    </w:p>
    <w:p>
      <w:r>
        <w:rPr>
          <w:b/>
        </w:rPr>
        <w:t xml:space="preserve">Know these concepts: </w:t>
      </w:r>
      <w:r>
        <w:t>Record Integrity; Purpose of Record Retention; Confidentiality After Treatment; Accessibility During Retention; Electronic Record Retention; Ownership vs. Client Access; Practice Closure and Retirement; Backups and Data Recovery; Premature Destruction; Integrated Electronic Retention and Practice Transition; Retention vs. Destruction; Confidentiality During Retention; Usable Record Accessibility; Sale or Transfer of a Practice; Obsolete Electronic Formats; Fragmented Hybrid Records; Comprehensive Record-Retention Planning</w:t>
      </w:r>
    </w:p>
    <w:p>
      <w:r>
        <w:br w:type="page"/>
      </w:r>
    </w:p>
    <w:p>
      <w:pPr>
        <w:pStyle w:val="Heading2"/>
      </w:pPr>
      <w:r>
        <w:t>Chapter 4</w:t>
      </w:r>
    </w:p>
    <w:p>
      <w:pPr>
        <w:pStyle w:val="Heading1"/>
      </w:pPr>
      <w:r>
        <w:t>Record Security, Storage, and Record Destruction</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Clinical records contain highly sensitive information, including diagnoses, assessments, treatment plans, progress notes, risk information, personal history, and billing data. Record security protects that information from unauthorized access, disclosure, alteration, loss, theft, damage, and improper disposal throughout the record lifecycle. Paper records require physical safeguards just as electronic records require technological protections. Leaving files unattended in a public area creates a risk that unauthorized people could view, photograph, remove, or disclose confidential information. Appropriate physical safeguards may include locked cabinets, controlled-access spaces, supervised visitors, and secure handling procedures.</w:t>
            </w:r>
          </w:p>
        </w:tc>
      </w:tr>
    </w:tbl>
    <w:p>
      <w:pPr>
        <w:pStyle w:val="Heading2"/>
      </w:pPr>
      <w:r>
        <w:t>What to Learn</w:t>
      </w:r>
    </w:p>
    <w:p>
      <w:pPr>
        <w:pStyle w:val="ListBullet"/>
        <w:spacing w:after="30"/>
      </w:pPr>
      <w:r>
        <w:t>Explain and apply Purpose of Record Security.</w:t>
      </w:r>
    </w:p>
    <w:p>
      <w:pPr>
        <w:pStyle w:val="ListBullet"/>
        <w:spacing w:after="30"/>
      </w:pPr>
      <w:r>
        <w:t>Explain and apply Physical Record Security.</w:t>
      </w:r>
    </w:p>
    <w:p>
      <w:pPr>
        <w:pStyle w:val="ListBullet"/>
        <w:spacing w:after="30"/>
      </w:pPr>
      <w:r>
        <w:t>Explain and apply Physical, Administrative, and Electronic Safeguards.</w:t>
      </w:r>
    </w:p>
    <w:p>
      <w:pPr>
        <w:pStyle w:val="ListBullet"/>
        <w:spacing w:after="30"/>
      </w:pPr>
      <w:r>
        <w:t>Explain and apply Role-Based Access Controls.</w:t>
      </w:r>
    </w:p>
    <w:p>
      <w:pPr>
        <w:pStyle w:val="ListBullet"/>
        <w:spacing w:after="30"/>
      </w:pPr>
      <w:r>
        <w:t>Explain and apply Security During Record Transportation.</w:t>
      </w:r>
    </w:p>
    <w:p>
      <w:pPr>
        <w:pStyle w:val="ListBullet"/>
        <w:spacing w:after="30"/>
      </w:pPr>
      <w:r>
        <w:t>Explain and apply Secure Electronic Transmission.</w:t>
      </w:r>
    </w:p>
    <w:p>
      <w:pPr>
        <w:pStyle w:val="ListBullet"/>
        <w:spacing w:after="30"/>
      </w:pPr>
      <w:r>
        <w:t>Explain and apply Disaster Planning and Recovery.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Record Security</w:t>
            </w:r>
          </w:p>
        </w:tc>
        <w:tc>
          <w:tcPr>
            <w:tcW w:type="dxa" w:w="5256"/>
            <w:vAlign w:val="top"/>
          </w:tcPr>
          <w:p>
            <w:pPr>
              <w:spacing w:after="0"/>
            </w:pPr>
            <w:r/>
            <w:r>
              <w:rPr>
                <w:rFonts w:ascii="Aptos" w:hAnsi="Aptos"/>
                <w:b w:val="0"/>
                <w:sz w:val="16"/>
              </w:rPr>
              <w:t>Clinical records contain highly sensitive information, including diagnoses, assessments, treatment plans, progress notes, risk information, personal history, and billing data. Record security protects that information from unauthorized access, disclosure, alteration, loss, theft, damage, and improper disposal throughout the record lifecycle.</w:t>
            </w:r>
          </w:p>
        </w:tc>
        <w:tc>
          <w:tcPr>
            <w:tcW w:type="dxa" w:w="2520"/>
            <w:vAlign w:val="top"/>
          </w:tcPr>
          <w:p>
            <w:pPr>
              <w:spacing w:after="0"/>
            </w:pPr>
            <w:r/>
            <w:r>
              <w:rPr>
                <w:rFonts w:ascii="Aptos" w:hAnsi="Aptos"/>
                <w:b w:val="0"/>
                <w:sz w:val="16"/>
              </w:rPr>
              <w:t>Remember: Retention keeps the record. Security protects the record.</w:t>
            </w:r>
          </w:p>
        </w:tc>
      </w:tr>
      <w:tr>
        <w:tc>
          <w:tcPr>
            <w:tcW w:type="dxa" w:w="2376"/>
            <w:vAlign w:val="top"/>
            <w:shd w:fill="F7F9FA"/>
          </w:tcPr>
          <w:p>
            <w:pPr>
              <w:spacing w:after="0"/>
            </w:pPr>
            <w:r/>
            <w:r>
              <w:rPr>
                <w:rFonts w:ascii="Aptos" w:hAnsi="Aptos"/>
                <w:b/>
                <w:sz w:val="16"/>
              </w:rPr>
              <w:t>Physical Record Security</w:t>
            </w:r>
          </w:p>
        </w:tc>
        <w:tc>
          <w:tcPr>
            <w:tcW w:type="dxa" w:w="5256"/>
            <w:vAlign w:val="top"/>
            <w:shd w:fill="F7F9FA"/>
          </w:tcPr>
          <w:p>
            <w:pPr>
              <w:spacing w:after="0"/>
            </w:pPr>
            <w:r/>
            <w:r>
              <w:rPr>
                <w:rFonts w:ascii="Aptos" w:hAnsi="Aptos"/>
                <w:b w:val="0"/>
                <w:sz w:val="16"/>
              </w:rPr>
              <w:t>Paper records require physical safeguards just as electronic records require technological protections. Leaving files unattended in a public area creates a risk that unauthorized people could view, photograph, remove, or disclose confidential information. Appropriate physical safeguards may include locked cabinets, controlled-access spaces, supervised visitors, and secure handling procedures.</w:t>
            </w:r>
          </w:p>
        </w:tc>
        <w:tc>
          <w:tcPr>
            <w:tcW w:type="dxa" w:w="2520"/>
            <w:vAlign w:val="top"/>
            <w:shd w:fill="F7F9FA"/>
          </w:tcPr>
          <w:p>
            <w:pPr>
              <w:spacing w:after="0"/>
            </w:pPr>
            <w:r/>
            <w:r>
              <w:rPr>
                <w:rFonts w:ascii="Aptos" w:hAnsi="Aptos"/>
                <w:b w:val="0"/>
                <w:sz w:val="16"/>
              </w:rPr>
              <w:t>Do not assume security means only cybersecurity. An exposed paper file creates the same basic confidentiality concern as an exposed electronic file.</w:t>
            </w:r>
          </w:p>
        </w:tc>
      </w:tr>
      <w:tr>
        <w:tc>
          <w:tcPr>
            <w:tcW w:type="dxa" w:w="2376"/>
            <w:vAlign w:val="top"/>
          </w:tcPr>
          <w:p>
            <w:pPr>
              <w:spacing w:after="0"/>
            </w:pPr>
            <w:r/>
            <w:r>
              <w:rPr>
                <w:rFonts w:ascii="Aptos" w:hAnsi="Aptos"/>
                <w:b/>
                <w:sz w:val="16"/>
              </w:rPr>
              <w:t>Physical, Administrative, and Electronic Safeguards</w:t>
            </w:r>
          </w:p>
        </w:tc>
        <w:tc>
          <w:tcPr>
            <w:tcW w:type="dxa" w:w="5256"/>
            <w:vAlign w:val="top"/>
          </w:tcPr>
          <w:p>
            <w:pPr>
              <w:spacing w:after="0"/>
            </w:pPr>
            <w:r/>
            <w:r>
              <w:rPr>
                <w:rFonts w:ascii="Aptos" w:hAnsi="Aptos"/>
                <w:b w:val="0"/>
                <w:sz w:val="16"/>
              </w:rPr>
              <w:t>Effective record security depends on more than technology. Administrative safeguards help ensure that people understand how information may be accessed, used, disclosed, and protected. The practice should provide staff training, prohibit shared credentials, assign access according to role, establish security policies, and create procedures for identifying and reporting incidents.</w:t>
            </w:r>
          </w:p>
        </w:tc>
        <w:tc>
          <w:tcPr>
            <w:tcW w:type="dxa" w:w="2520"/>
            <w:vAlign w:val="top"/>
          </w:tcPr>
          <w:p>
            <w:pPr>
              <w:spacing w:after="0"/>
            </w:pPr>
            <w:r/>
            <w:r>
              <w:rPr>
                <w:rFonts w:ascii="Aptos" w:hAnsi="Aptos"/>
                <w:b w:val="0"/>
                <w:sz w:val="16"/>
              </w:rPr>
              <w:t>Use the P-A-E framework: Physical safeguards Administrative safeguards Electronic safeguards The strongest security system uses all three.</w:t>
            </w:r>
          </w:p>
        </w:tc>
      </w:tr>
      <w:tr>
        <w:tc>
          <w:tcPr>
            <w:tcW w:type="dxa" w:w="2376"/>
            <w:vAlign w:val="top"/>
            <w:shd w:fill="F7F9FA"/>
          </w:tcPr>
          <w:p>
            <w:pPr>
              <w:spacing w:after="0"/>
            </w:pPr>
            <w:r/>
            <w:r>
              <w:rPr>
                <w:rFonts w:ascii="Aptos" w:hAnsi="Aptos"/>
                <w:b/>
                <w:sz w:val="16"/>
              </w:rPr>
              <w:t>Role-Based Access Controls</w:t>
            </w:r>
          </w:p>
        </w:tc>
        <w:tc>
          <w:tcPr>
            <w:tcW w:type="dxa" w:w="5256"/>
            <w:vAlign w:val="top"/>
            <w:shd w:fill="F7F9FA"/>
          </w:tcPr>
          <w:p>
            <w:pPr>
              <w:spacing w:after="0"/>
            </w:pPr>
            <w:r/>
            <w:r>
              <w:rPr>
                <w:rFonts w:ascii="Aptos" w:hAnsi="Aptos"/>
                <w:b w:val="0"/>
                <w:sz w:val="16"/>
              </w:rPr>
              <w:t>Access to clinical records should be based on need, authorization, and appropriate purpose. A receptionist may need access to scheduling, contact, or billing information without needing unrestricted access to diagnoses, progress notes, risk assessments, or psychotherapy content. Role-based access controls reduce unnecessary exposure while allowing employees to perform authorized responsibilities.</w:t>
            </w:r>
          </w:p>
        </w:tc>
        <w:tc>
          <w:tcPr>
            <w:tcW w:type="dxa" w:w="2520"/>
            <w:vAlign w:val="top"/>
            <w:shd w:fill="F7F9FA"/>
          </w:tcPr>
          <w:p>
            <w:pPr>
              <w:spacing w:after="0"/>
            </w:pPr>
            <w:r/>
            <w:r>
              <w:rPr>
                <w:rFonts w:ascii="Aptos" w:hAnsi="Aptos"/>
                <w:b w:val="0"/>
                <w:sz w:val="16"/>
              </w:rPr>
              <w:t>Use the access formula: Need + Authorization + Purpose = Appropriate Access</w:t>
            </w:r>
          </w:p>
        </w:tc>
      </w:tr>
      <w:tr>
        <w:tc>
          <w:tcPr>
            <w:tcW w:type="dxa" w:w="2376"/>
            <w:vAlign w:val="top"/>
          </w:tcPr>
          <w:p>
            <w:pPr>
              <w:spacing w:after="0"/>
            </w:pPr>
            <w:r/>
            <w:r>
              <w:rPr>
                <w:rFonts w:ascii="Aptos" w:hAnsi="Aptos"/>
                <w:b/>
                <w:sz w:val="16"/>
              </w:rPr>
              <w:t>Security During Record Transportation</w:t>
            </w:r>
          </w:p>
        </w:tc>
        <w:tc>
          <w:tcPr>
            <w:tcW w:type="dxa" w:w="5256"/>
            <w:vAlign w:val="top"/>
          </w:tcPr>
          <w:p>
            <w:pPr>
              <w:spacing w:after="0"/>
            </w:pPr>
            <w:r/>
            <w:r>
              <w:rPr>
                <w:rFonts w:ascii="Aptos" w:hAnsi="Aptos"/>
                <w:b w:val="0"/>
                <w:sz w:val="16"/>
              </w:rPr>
              <w:t>Records remain confidential while being transported. Appropriate safeguards may include secure containers, controlled possession, direct transportation, tracking procedures, and limiting opportunities for theft, loss, or unauthorized viewing. Changing the record’s location does not reduce the therapist’s duty to protect it.</w:t>
            </w:r>
          </w:p>
        </w:tc>
        <w:tc>
          <w:tcPr>
            <w:tcW w:type="dxa" w:w="2520"/>
            <w:vAlign w:val="top"/>
          </w:tcPr>
          <w:p>
            <w:pPr>
              <w:spacing w:after="0"/>
            </w:pPr>
            <w:r/>
            <w:r>
              <w:rPr>
                <w:rFonts w:ascii="Aptos" w:hAnsi="Aptos"/>
                <w:b w:val="0"/>
                <w:sz w:val="16"/>
              </w:rPr>
              <w:t>Remember: Confidentiality follows the record wherever it goes.</w:t>
            </w:r>
          </w:p>
        </w:tc>
      </w:tr>
      <w:tr>
        <w:tc>
          <w:tcPr>
            <w:tcW w:type="dxa" w:w="2376"/>
            <w:vAlign w:val="top"/>
            <w:shd w:fill="F7F9FA"/>
          </w:tcPr>
          <w:p>
            <w:pPr>
              <w:spacing w:after="0"/>
            </w:pPr>
            <w:r/>
            <w:r>
              <w:rPr>
                <w:rFonts w:ascii="Aptos" w:hAnsi="Aptos"/>
                <w:b/>
                <w:sz w:val="16"/>
              </w:rPr>
              <w:t>Secure Electronic Transmission</w:t>
            </w:r>
          </w:p>
        </w:tc>
        <w:tc>
          <w:tcPr>
            <w:tcW w:type="dxa" w:w="5256"/>
            <w:vAlign w:val="top"/>
            <w:shd w:fill="F7F9FA"/>
          </w:tcPr>
          <w:p>
            <w:pPr>
              <w:spacing w:after="0"/>
            </w:pPr>
            <w:r/>
            <w:r>
              <w:rPr>
                <w:rFonts w:ascii="Aptos" w:hAnsi="Aptos"/>
                <w:b w:val="0"/>
                <w:sz w:val="16"/>
              </w:rPr>
              <w:t>Before transmitting confidential information electronically, the therapist should verify: The recipient’s identity and address The existence and scope of authorization The correct client and attachment The appropriateness of the information being sent The security of the transmission method Catching the mistake before sending prevents an avoidable unauthorized disclosure.</w:t>
            </w:r>
          </w:p>
        </w:tc>
        <w:tc>
          <w:tcPr>
            <w:tcW w:type="dxa" w:w="2520"/>
            <w:vAlign w:val="top"/>
            <w:shd w:fill="F7F9FA"/>
          </w:tcPr>
          <w:p>
            <w:pPr>
              <w:spacing w:after="0"/>
            </w:pPr>
            <w:r/>
            <w:r>
              <w:rPr>
                <w:rFonts w:ascii="Aptos" w:hAnsi="Aptos"/>
                <w:b w:val="0"/>
                <w:sz w:val="16"/>
              </w:rPr>
              <w:t>Before pressing Send, verify: Client + recipient + authority + attachment + method</w:t>
            </w:r>
          </w:p>
        </w:tc>
      </w:tr>
      <w:tr>
        <w:tc>
          <w:tcPr>
            <w:tcW w:type="dxa" w:w="2376"/>
            <w:vAlign w:val="top"/>
          </w:tcPr>
          <w:p>
            <w:pPr>
              <w:spacing w:after="0"/>
            </w:pPr>
            <w:r/>
            <w:r>
              <w:rPr>
                <w:rFonts w:ascii="Aptos" w:hAnsi="Aptos"/>
                <w:b/>
                <w:sz w:val="16"/>
              </w:rPr>
              <w:t>Disaster Planning and Recovery</w:t>
            </w:r>
          </w:p>
        </w:tc>
        <w:tc>
          <w:tcPr>
            <w:tcW w:type="dxa" w:w="5256"/>
            <w:vAlign w:val="top"/>
          </w:tcPr>
          <w:p>
            <w:pPr>
              <w:spacing w:after="0"/>
            </w:pPr>
            <w:r/>
            <w:r>
              <w:rPr>
                <w:rFonts w:ascii="Aptos" w:hAnsi="Aptos"/>
                <w:b w:val="0"/>
                <w:sz w:val="16"/>
              </w:rPr>
              <w:t>Record security includes protection from more than unauthorized viewing. Practices should also prepare for fire, flood, theft, hardware failure, human error, and other events that could make records unavailable. A reasonable plan may include safer physical storage, redundant or electronic backups, disaster procedures, recovery protocols, and assignment of responsibility.</w:t>
            </w:r>
          </w:p>
        </w:tc>
        <w:tc>
          <w:tcPr>
            <w:tcW w:type="dxa" w:w="2520"/>
            <w:vAlign w:val="top"/>
          </w:tcPr>
          <w:p>
            <w:pPr>
              <w:spacing w:after="0"/>
            </w:pPr>
            <w:r/>
            <w:r>
              <w:rPr>
                <w:rFonts w:ascii="Aptos" w:hAnsi="Aptos"/>
                <w:b w:val="0"/>
                <w:sz w:val="16"/>
              </w:rPr>
              <w:t>Security protects against: Unauthorized access and unexpected loss</w:t>
            </w:r>
          </w:p>
        </w:tc>
      </w:tr>
      <w:tr>
        <w:tc>
          <w:tcPr>
            <w:tcW w:type="dxa" w:w="2376"/>
            <w:vAlign w:val="top"/>
            <w:shd w:fill="F7F9FA"/>
          </w:tcPr>
          <w:p>
            <w:pPr>
              <w:spacing w:after="0"/>
            </w:pPr>
            <w:r/>
            <w:r>
              <w:rPr>
                <w:rFonts w:ascii="Aptos" w:hAnsi="Aptos"/>
                <w:b/>
                <w:sz w:val="16"/>
              </w:rPr>
              <w:t>Secure Record Destruction</w:t>
            </w:r>
          </w:p>
        </w:tc>
        <w:tc>
          <w:tcPr>
            <w:tcW w:type="dxa" w:w="5256"/>
            <w:vAlign w:val="top"/>
            <w:shd w:fill="F7F9FA"/>
          </w:tcPr>
          <w:p>
            <w:pPr>
              <w:spacing w:after="0"/>
            </w:pPr>
            <w:r/>
            <w:r>
              <w:rPr>
                <w:rFonts w:ascii="Aptos" w:hAnsi="Aptos"/>
                <w:b w:val="0"/>
                <w:sz w:val="16"/>
              </w:rPr>
              <w:t>The purpose of secure destruction is to prevent unauthorized reconstruction or recovery. Paper records may require shredding or an approved confidential-destruction service. Electronic information may require secure deletion, media sanitization, or physical destruction of the storage device. The practice should follow applicable policies and may document what was destroyed, when, how, and by whom.</w:t>
            </w:r>
          </w:p>
        </w:tc>
        <w:tc>
          <w:tcPr>
            <w:tcW w:type="dxa" w:w="2520"/>
            <w:vAlign w:val="top"/>
            <w:shd w:fill="F7F9FA"/>
          </w:tcPr>
          <w:p>
            <w:pPr>
              <w:spacing w:after="0"/>
            </w:pPr>
            <w:r/>
            <w:r>
              <w:rPr>
                <w:rFonts w:ascii="Aptos" w:hAnsi="Aptos"/>
                <w:b w:val="0"/>
                <w:sz w:val="16"/>
              </w:rPr>
              <w:t>Use the destruction rule: Destroy → Prevent recovery → Protect confidentiality</w:t>
            </w:r>
          </w:p>
        </w:tc>
      </w:tr>
      <w:tr>
        <w:tc>
          <w:tcPr>
            <w:tcW w:type="dxa" w:w="2376"/>
            <w:vAlign w:val="top"/>
          </w:tcPr>
          <w:p>
            <w:pPr>
              <w:spacing w:after="0"/>
            </w:pPr>
            <w:r/>
            <w:r>
              <w:rPr>
                <w:rFonts w:ascii="Aptos" w:hAnsi="Aptos"/>
                <w:b/>
                <w:sz w:val="16"/>
              </w:rPr>
              <w:t>Lost Device and Security-Incident Response</w:t>
            </w:r>
          </w:p>
        </w:tc>
        <w:tc>
          <w:tcPr>
            <w:tcW w:type="dxa" w:w="5256"/>
            <w:vAlign w:val="top"/>
          </w:tcPr>
          <w:p>
            <w:pPr>
              <w:spacing w:after="0"/>
            </w:pPr>
            <w:r/>
            <w:r>
              <w:rPr>
                <w:rFonts w:ascii="Aptos" w:hAnsi="Aptos"/>
                <w:b w:val="0"/>
                <w:sz w:val="16"/>
              </w:rPr>
              <w:t>A lost or stolen device requires prompt and organized action. The therapist or practice should determine: What information was stored Whether it was identifiable What security protections were present Whether remote locking or deletion is possible Who must be notified internally or externally What corrective measures are needed How the incident and response should be documented The exact notification obligations depend on the facts, but delaying the initial assessment is not appropriate.</w:t>
            </w:r>
          </w:p>
        </w:tc>
        <w:tc>
          <w:tcPr>
            <w:tcW w:type="dxa" w:w="2520"/>
            <w:vAlign w:val="top"/>
          </w:tcPr>
          <w:p>
            <w:pPr>
              <w:spacing w:after="0"/>
            </w:pPr>
            <w:r/>
            <w:r>
              <w:rPr>
                <w:rFonts w:ascii="Aptos" w:hAnsi="Aptos"/>
                <w:b w:val="0"/>
                <w:sz w:val="16"/>
              </w:rPr>
              <w:t>For a security incident, use: Identify → Contain → Assess → Report → Correct → Document</w:t>
            </w:r>
          </w:p>
        </w:tc>
      </w:tr>
      <w:tr>
        <w:tc>
          <w:tcPr>
            <w:tcW w:type="dxa" w:w="2376"/>
            <w:vAlign w:val="top"/>
            <w:shd w:fill="F7F9FA"/>
          </w:tcPr>
          <w:p>
            <w:pPr>
              <w:spacing w:after="0"/>
            </w:pPr>
            <w:r/>
            <w:r>
              <w:rPr>
                <w:rFonts w:ascii="Aptos" w:hAnsi="Aptos"/>
                <w:b/>
                <w:sz w:val="16"/>
              </w:rPr>
              <w:t>Destruction Vendor and Professional Responsibility</w:t>
            </w:r>
          </w:p>
        </w:tc>
        <w:tc>
          <w:tcPr>
            <w:tcW w:type="dxa" w:w="5256"/>
            <w:vAlign w:val="top"/>
            <w:shd w:fill="F7F9FA"/>
          </w:tcPr>
          <w:p>
            <w:pPr>
              <w:spacing w:after="0"/>
            </w:pPr>
            <w:r/>
            <w:r>
              <w:rPr>
                <w:rFonts w:ascii="Aptos" w:hAnsi="Aptos"/>
                <w:b w:val="0"/>
                <w:sz w:val="16"/>
              </w:rPr>
              <w:t>Using an outside vendor does not eliminate the practice’s responsibility to protect confidential information. The practice should evaluate the vendor’s safeguards, destruction methods, handling procedures, contractual responsibilities, and ability to document completion. Appropriate oversight may include secure transfer, controlled access, verified destruction, and a certificate or other record identifying what was destroyed and when.</w:t>
            </w:r>
          </w:p>
        </w:tc>
        <w:tc>
          <w:tcPr>
            <w:tcW w:type="dxa" w:w="2520"/>
            <w:vAlign w:val="top"/>
            <w:shd w:fill="F7F9FA"/>
          </w:tcPr>
          <w:p>
            <w:pPr>
              <w:spacing w:after="0"/>
            </w:pPr>
            <w:r/>
            <w:r>
              <w:rPr>
                <w:rFonts w:ascii="Aptos" w:hAnsi="Aptos"/>
                <w:b w:val="0"/>
                <w:sz w:val="16"/>
              </w:rPr>
              <w:t>Outsourcing the task does not outsource accountability. Look for: Secure process + defined responsibility + verified destruction</w:t>
            </w:r>
          </w:p>
        </w:tc>
      </w:tr>
      <w:tr>
        <w:tc>
          <w:tcPr>
            <w:tcW w:type="dxa" w:w="2376"/>
            <w:vAlign w:val="top"/>
          </w:tcPr>
          <w:p>
            <w:pPr>
              <w:spacing w:after="0"/>
            </w:pPr>
            <w:r/>
            <w:r>
              <w:rPr>
                <w:rFonts w:ascii="Aptos" w:hAnsi="Aptos"/>
                <w:b/>
                <w:sz w:val="16"/>
              </w:rPr>
              <w:t>Retention vs. Security</w:t>
            </w:r>
          </w:p>
        </w:tc>
        <w:tc>
          <w:tcPr>
            <w:tcW w:type="dxa" w:w="5256"/>
            <w:vAlign w:val="top"/>
          </w:tcPr>
          <w:p>
            <w:pPr>
              <w:spacing w:after="0"/>
            </w:pPr>
            <w:r/>
            <w:r>
              <w:rPr>
                <w:rFonts w:ascii="Aptos" w:hAnsi="Aptos"/>
                <w:b w:val="0"/>
                <w:sz w:val="16"/>
              </w:rPr>
              <w:t>Record retention focuses on preserving records for the applicable period. Record security focuses on protecting those records from unauthorized access, loss, theft, alteration, damage, disclosure, and improper destruction. The responsibilities overlap because retained records must also remain secure, accessible, and reliable.</w:t>
            </w:r>
          </w:p>
        </w:tc>
        <w:tc>
          <w:tcPr>
            <w:tcW w:type="dxa" w:w="2520"/>
            <w:vAlign w:val="top"/>
          </w:tcPr>
          <w:p>
            <w:pPr>
              <w:spacing w:after="0"/>
            </w:pPr>
            <w:r/>
            <w:r>
              <w:rPr>
                <w:rFonts w:ascii="Aptos" w:hAnsi="Aptos"/>
                <w:b w:val="0"/>
                <w:sz w:val="16"/>
              </w:rPr>
              <w:t>Use the memory aid: Retention = KeepSecurity = Protect</w:t>
            </w:r>
          </w:p>
        </w:tc>
      </w:tr>
      <w:tr>
        <w:tc>
          <w:tcPr>
            <w:tcW w:type="dxa" w:w="2376"/>
            <w:vAlign w:val="top"/>
            <w:shd w:fill="F7F9FA"/>
          </w:tcPr>
          <w:p>
            <w:pPr>
              <w:spacing w:after="0"/>
            </w:pPr>
            <w:r/>
            <w:r>
              <w:rPr>
                <w:rFonts w:ascii="Aptos" w:hAnsi="Aptos"/>
                <w:b/>
                <w:sz w:val="16"/>
              </w:rPr>
              <w:t>Shared Passwords</w:t>
            </w:r>
          </w:p>
        </w:tc>
        <w:tc>
          <w:tcPr>
            <w:tcW w:type="dxa" w:w="5256"/>
            <w:vAlign w:val="top"/>
            <w:shd w:fill="F7F9FA"/>
          </w:tcPr>
          <w:p>
            <w:pPr>
              <w:spacing w:after="0"/>
            </w:pPr>
            <w:r/>
            <w:r>
              <w:rPr>
                <w:rFonts w:ascii="Aptos" w:hAnsi="Aptos"/>
                <w:b w:val="0"/>
                <w:sz w:val="16"/>
              </w:rPr>
              <w:t>Individual credentials help limit access, support accountability, and create reliable audit trails. Shared passwords make it difficult to determine who viewed, entered, altered, or disclosed information. Access should be based on each person’s authorization, role, and appropriate professional purpose.</w:t>
            </w:r>
          </w:p>
        </w:tc>
        <w:tc>
          <w:tcPr>
            <w:tcW w:type="dxa" w:w="2520"/>
            <w:vAlign w:val="top"/>
            <w:shd w:fill="F7F9FA"/>
          </w:tcPr>
          <w:p>
            <w:pPr>
              <w:spacing w:after="0"/>
            </w:pPr>
            <w:r/>
            <w:r>
              <w:rPr>
                <w:rFonts w:ascii="Aptos" w:hAnsi="Aptos"/>
                <w:b w:val="0"/>
                <w:sz w:val="16"/>
              </w:rPr>
              <w:t>Look for security measures that create: Individual access + role limits + accountability</w:t>
            </w:r>
          </w:p>
        </w:tc>
      </w:tr>
      <w:tr>
        <w:tc>
          <w:tcPr>
            <w:tcW w:type="dxa" w:w="2376"/>
            <w:vAlign w:val="top"/>
          </w:tcPr>
          <w:p>
            <w:pPr>
              <w:spacing w:after="0"/>
            </w:pPr>
            <w:r/>
            <w:r>
              <w:rPr>
                <w:rFonts w:ascii="Aptos" w:hAnsi="Aptos"/>
                <w:b/>
                <w:sz w:val="16"/>
              </w:rPr>
              <w:t>Confidential Disposal</w:t>
            </w:r>
          </w:p>
        </w:tc>
        <w:tc>
          <w:tcPr>
            <w:tcW w:type="dxa" w:w="5256"/>
            <w:vAlign w:val="top"/>
          </w:tcPr>
          <w:p>
            <w:pPr>
              <w:spacing w:after="0"/>
            </w:pPr>
            <w:r/>
            <w:r>
              <w:rPr>
                <w:rFonts w:ascii="Aptos" w:hAnsi="Aptos"/>
                <w:b w:val="0"/>
                <w:sz w:val="16"/>
              </w:rPr>
              <w:t>Record destruction should prevent unauthorized reconstruction or recovery. Paper clinical records generally require shredding, an approved confidential-destruction service, or another secure method. Ordinary trash leaves sensitive information vulnerable to viewing, removal, or disclosure.</w:t>
            </w:r>
          </w:p>
        </w:tc>
        <w:tc>
          <w:tcPr>
            <w:tcW w:type="dxa" w:w="2520"/>
            <w:vAlign w:val="top"/>
          </w:tcPr>
          <w:p>
            <w:pPr>
              <w:spacing w:after="0"/>
            </w:pPr>
            <w:r/>
            <w:r>
              <w:rPr>
                <w:rFonts w:ascii="Aptos" w:hAnsi="Aptos"/>
                <w:b w:val="0"/>
                <w:sz w:val="16"/>
              </w:rPr>
              <w:t>Secure destruction means: The information cannot reasonably be recovered.</w:t>
            </w:r>
          </w:p>
        </w:tc>
      </w:tr>
      <w:tr>
        <w:tc>
          <w:tcPr>
            <w:tcW w:type="dxa" w:w="2376"/>
            <w:vAlign w:val="top"/>
            <w:shd w:fill="F7F9FA"/>
          </w:tcPr>
          <w:p>
            <w:pPr>
              <w:spacing w:after="0"/>
            </w:pPr>
            <w:r/>
            <w:r>
              <w:rPr>
                <w:rFonts w:ascii="Aptos" w:hAnsi="Aptos"/>
                <w:b/>
                <w:sz w:val="16"/>
              </w:rPr>
              <w:t>Use of an Unsecured Network</w:t>
            </w:r>
          </w:p>
        </w:tc>
        <w:tc>
          <w:tcPr>
            <w:tcW w:type="dxa" w:w="5256"/>
            <w:vAlign w:val="top"/>
            <w:shd w:fill="F7F9FA"/>
          </w:tcPr>
          <w:p>
            <w:pPr>
              <w:spacing w:after="0"/>
            </w:pPr>
            <w:r/>
            <w:r>
              <w:rPr>
                <w:rFonts w:ascii="Aptos" w:hAnsi="Aptos"/>
                <w:b w:val="0"/>
                <w:sz w:val="16"/>
              </w:rPr>
              <w:t>Electronic security includes protecting information during access and transmission. Public networks and visible screens may expose client information through interception, unauthorized viewing, or device compromise. The therapist should use appropriate technical safeguards and work in a setting that protects privacy before accessing identifiable records.</w:t>
            </w:r>
          </w:p>
        </w:tc>
        <w:tc>
          <w:tcPr>
            <w:tcW w:type="dxa" w:w="2520"/>
            <w:vAlign w:val="top"/>
            <w:shd w:fill="F7F9FA"/>
          </w:tcPr>
          <w:p>
            <w:pPr>
              <w:spacing w:after="0"/>
            </w:pPr>
            <w:r/>
            <w:r>
              <w:rPr>
                <w:rFonts w:ascii="Aptos" w:hAnsi="Aptos"/>
                <w:b w:val="0"/>
                <w:sz w:val="16"/>
              </w:rPr>
              <w:t>Remote access requires protection of both: The connection and the physical environment</w:t>
            </w:r>
          </w:p>
        </w:tc>
      </w:tr>
      <w:tr>
        <w:tc>
          <w:tcPr>
            <w:tcW w:type="dxa" w:w="2376"/>
            <w:vAlign w:val="top"/>
          </w:tcPr>
          <w:p>
            <w:pPr>
              <w:spacing w:after="0"/>
            </w:pPr>
            <w:r/>
            <w:r>
              <w:rPr>
                <w:rFonts w:ascii="Aptos" w:hAnsi="Aptos"/>
                <w:b/>
                <w:sz w:val="16"/>
              </w:rPr>
              <w:t>Suspected Unauthorized Electronic Access</w:t>
            </w:r>
          </w:p>
        </w:tc>
        <w:tc>
          <w:tcPr>
            <w:tcW w:type="dxa" w:w="5256"/>
            <w:vAlign w:val="top"/>
          </w:tcPr>
          <w:p>
            <w:pPr>
              <w:spacing w:after="0"/>
            </w:pPr>
            <w:r/>
            <w:r>
              <w:rPr>
                <w:rFonts w:ascii="Aptos" w:hAnsi="Aptos"/>
                <w:b w:val="0"/>
                <w:sz w:val="16"/>
              </w:rPr>
              <w:t>Possible unauthorized access is a security incident that requires a prompt and organized response. The practice should determine: Which records were accessed Whether the employee was authorized Why the access occurred Whether information was viewed, altered, or disclosed What containment and reporting steps are required What training, discipline, or system corrections are appropriate Audit information should be preserved as part of the investigation and documentation process.</w:t>
            </w:r>
          </w:p>
        </w:tc>
        <w:tc>
          <w:tcPr>
            <w:tcW w:type="dxa" w:w="2520"/>
            <w:vAlign w:val="top"/>
          </w:tcPr>
          <w:p>
            <w:pPr>
              <w:spacing w:after="0"/>
            </w:pPr>
            <w:r/>
            <w:r>
              <w:rPr>
                <w:rFonts w:ascii="Aptos" w:hAnsi="Aptos"/>
                <w:b w:val="0"/>
                <w:sz w:val="16"/>
              </w:rPr>
              <w:t>When suspicious access appears, choose: Contain → Investigate → Assess → Report → Correct → Document</w:t>
            </w:r>
          </w:p>
        </w:tc>
      </w:tr>
      <w:tr>
        <w:tc>
          <w:tcPr>
            <w:tcW w:type="dxa" w:w="2376"/>
            <w:vAlign w:val="top"/>
            <w:shd w:fill="F7F9FA"/>
          </w:tcPr>
          <w:p>
            <w:pPr>
              <w:spacing w:after="0"/>
            </w:pPr>
            <w:r/>
            <w:r>
              <w:rPr>
                <w:rFonts w:ascii="Aptos" w:hAnsi="Aptos"/>
                <w:b/>
                <w:sz w:val="16"/>
              </w:rPr>
              <w:t>Destruction During an Investigation or Legal Hold</w:t>
            </w:r>
          </w:p>
        </w:tc>
        <w:tc>
          <w:tcPr>
            <w:tcW w:type="dxa" w:w="5256"/>
            <w:vAlign w:val="top"/>
            <w:shd w:fill="F7F9FA"/>
          </w:tcPr>
          <w:p>
            <w:pPr>
              <w:spacing w:after="0"/>
            </w:pPr>
            <w:r/>
            <w:r>
              <w:rPr>
                <w:rFonts w:ascii="Aptos" w:hAnsi="Aptos"/>
                <w:b w:val="0"/>
                <w:sz w:val="16"/>
              </w:rPr>
              <w:t>A routine destruction schedule does not override a pending investigation, legal hold, complaint, audit, or other preservation obligation. When uncertainty exists, preservation is generally favored until the practice determines whether destruction is legally and professionally permissible. The decision and any consultation should be documented appropriately.</w:t>
            </w:r>
          </w:p>
        </w:tc>
        <w:tc>
          <w:tcPr>
            <w:tcW w:type="dxa" w:w="2520"/>
            <w:vAlign w:val="top"/>
            <w:shd w:fill="F7F9FA"/>
          </w:tcPr>
          <w:p>
            <w:pPr>
              <w:spacing w:after="0"/>
            </w:pPr>
            <w:r/>
            <w:r>
              <w:rPr>
                <w:rFonts w:ascii="Aptos" w:hAnsi="Aptos"/>
                <w:b w:val="0"/>
                <w:sz w:val="16"/>
              </w:rPr>
              <w:t>Before destroying records, always ask: Is any complaint, investigation, audit, litigation, or legal hold pending?</w:t>
            </w:r>
          </w:p>
        </w:tc>
      </w:tr>
      <w:tr>
        <w:tc>
          <w:tcPr>
            <w:tcW w:type="dxa" w:w="2376"/>
            <w:vAlign w:val="top"/>
          </w:tcPr>
          <w:p>
            <w:pPr>
              <w:spacing w:after="0"/>
            </w:pPr>
            <w:r/>
            <w:r>
              <w:rPr>
                <w:rFonts w:ascii="Aptos" w:hAnsi="Aptos"/>
                <w:b/>
                <w:sz w:val="16"/>
              </w:rPr>
              <w:t>Comprehensive Record-Lifecycle Security — Part 1 of 3</w:t>
            </w:r>
          </w:p>
        </w:tc>
        <w:tc>
          <w:tcPr>
            <w:tcW w:type="dxa" w:w="5256"/>
            <w:vAlign w:val="top"/>
          </w:tcPr>
          <w:p>
            <w:pPr>
              <w:spacing w:after="0"/>
            </w:pPr>
            <w:r/>
            <w:r>
              <w:rPr>
                <w:rFonts w:ascii="Aptos" w:hAnsi="Aptos"/>
                <w:b w:val="0"/>
                <w:sz w:val="16"/>
              </w:rPr>
              <w:t>Record security applies throughout the entire lifecycle and during every stage of the relocation.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Comprehensive Record-Lifecycle Security — Part 2 of 3</w:t>
            </w:r>
          </w:p>
        </w:tc>
        <w:tc>
          <w:tcPr>
            <w:tcW w:type="dxa" w:w="5256"/>
            <w:vAlign w:val="top"/>
            <w:shd w:fill="F7F9FA"/>
          </w:tcPr>
          <w:p>
            <w:pPr>
              <w:spacing w:after="0"/>
            </w:pPr>
            <w:r/>
            <w:r>
              <w:rPr>
                <w:rFonts w:ascii="Aptos" w:hAnsi="Aptos"/>
                <w:b w:val="0"/>
                <w:sz w:val="16"/>
              </w:rPr>
              <w:t>A sound plan should include: Physical safeguards: Locked storage, inventories, secure containers, supervised transport, and controlled possession Administrative safeguards: Written procedures, authorized vendors, staff responsibilities, training, and incident reporting Electronic safeguards: Individual credentials, access controls, secure backups, encryption when appropriate, and reliable audit trails Preservation: Continued retention of records connected to complaints, investigations, or legal holds Secure destruction: Verified destruction only for records and media that are truly eligible Incident readiness: Procedures to identify, contain, assess, report, correct, and document a security failure This approach protects confidentiality, accessibility, integrity, and professional accountability</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Comprehensive Record-Lifecycle Security — Part 3 of 3</w:t>
            </w:r>
          </w:p>
        </w:tc>
        <w:tc>
          <w:tcPr>
            <w:tcW w:type="dxa" w:w="5256"/>
            <w:vAlign w:val="top"/>
          </w:tcPr>
          <w:p>
            <w:pPr>
              <w:spacing w:after="0"/>
            </w:pPr>
            <w:r/>
            <w:r>
              <w:rPr>
                <w:rFonts w:ascii="Aptos" w:hAnsi="Aptos"/>
                <w:b w:val="0"/>
                <w:sz w:val="16"/>
              </w:rPr>
              <w:t>throughout the transition.</w:t>
            </w:r>
          </w:p>
        </w:tc>
        <w:tc>
          <w:tcPr>
            <w:tcW w:type="dxa" w:w="2520"/>
            <w:vAlign w:val="top"/>
          </w:tcPr>
          <w:p>
            <w:pPr>
              <w:spacing w:after="0"/>
            </w:pPr>
            <w:r/>
            <w:r>
              <w:rPr>
                <w:rFonts w:ascii="Aptos" w:hAnsi="Aptos"/>
                <w:b w:val="0"/>
                <w:sz w:val="16"/>
              </w:rPr>
              <w:t>For integrated security questions, apply: Physical + Administrative + Electronic safeguards Then check every lifecycle stage: Create → Store → Access → Transfer → Retain → Destroy</w:t>
            </w:r>
          </w:p>
        </w:tc>
      </w:tr>
    </w:tbl>
    <w:p>
      <w:pPr>
        <w:pStyle w:val="Heading2"/>
      </w:pPr>
      <w:r>
        <w:t>Exam Reasoning Checklist</w:t>
      </w:r>
    </w:p>
    <w:p>
      <w:pPr>
        <w:pStyle w:val="ListBullet"/>
        <w:spacing w:after="30"/>
      </w:pPr>
      <w:r>
        <w:t>Remember: Retention keeps the record. Security protects the record.</w:t>
      </w:r>
    </w:p>
    <w:p>
      <w:pPr>
        <w:pStyle w:val="ListBullet"/>
        <w:spacing w:after="30"/>
      </w:pPr>
      <w:r>
        <w:t>Do not assume security means only cybersecurity. An exposed paper file creates the same basic confidentiality concern as an exposed electronic file.</w:t>
      </w:r>
    </w:p>
    <w:p>
      <w:pPr>
        <w:pStyle w:val="ListBullet"/>
        <w:spacing w:after="30"/>
      </w:pPr>
      <w:r>
        <w:t>Use the P-A-E framework: Physical safeguards Administrative safeguards Electronic safeguards The strongest security system uses all three.</w:t>
      </w:r>
    </w:p>
    <w:p>
      <w:pPr>
        <w:pStyle w:val="ListBullet"/>
        <w:spacing w:after="30"/>
      </w:pPr>
      <w:r>
        <w:t>Use the access formula: Need + Authorization + Purpose = Appropriate Access</w:t>
      </w:r>
    </w:p>
    <w:p>
      <w:pPr>
        <w:pStyle w:val="ListBullet"/>
        <w:spacing w:after="30"/>
      </w:pPr>
      <w:r>
        <w:t>Remember: Confidentiality follows the record wherever it goes.</w:t>
      </w:r>
    </w:p>
    <w:p>
      <w:pPr>
        <w:pStyle w:val="ListBullet"/>
        <w:spacing w:after="30"/>
      </w:pPr>
      <w:r>
        <w:t>Before pressing Send, verify: Client + recipient + authority + attachment + method</w:t>
      </w:r>
    </w:p>
    <w:p>
      <w:pPr>
        <w:pStyle w:val="ListBullet"/>
        <w:spacing w:after="30"/>
      </w:pPr>
      <w:r>
        <w:t>Security protects against: Unauthorized access and unexpected loss</w:t>
      </w:r>
    </w:p>
    <w:p>
      <w:pPr>
        <w:pStyle w:val="ListBullet"/>
        <w:spacing w:after="30"/>
      </w:pPr>
      <w:r>
        <w:t>Use the destruction rule: Destroy → Prevent recovery → Protect confidentiality</w:t>
      </w:r>
    </w:p>
    <w:p>
      <w:pPr>
        <w:pStyle w:val="Heading2"/>
      </w:pPr>
      <w:r>
        <w:t>Chapter Rapid Review</w:t>
      </w:r>
    </w:p>
    <w:p>
      <w:r>
        <w:rPr>
          <w:b/>
        </w:rPr>
        <w:t xml:space="preserve">Know these concepts: </w:t>
      </w:r>
      <w:r>
        <w:t>Purpose of Record Security; Physical Record Security; Physical, Administrative, and Electronic Safeguards; Role-Based Access Controls; Security During Record Transportation; Secure Electronic Transmission; Disaster Planning and Recovery; Secure Record Destruction; Lost Device and Security-Incident Response; Destruction Vendor and Professional Responsibility; Retention vs. Security; Shared Passwords; Confidential Disposal; Use of an Unsecured Network; Suspected Unauthorized Electronic Access; Destruction During an Investigation or Legal Hold; Comprehensive Record-Lifecycle Security — Part 1 of 3; Comprehensive Record-Lifecycle Security — Part 2 of 3; Comprehensive Record-Lifecycle Security — Part 3 of 3</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9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9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