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" cy="713848"/>
            <wp:docPr id="1" name="Picture 1" descr="Clinical Training Academy logo" title="Clinical Training Academ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713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A9D8F"/>
          <w:sz w:val="22"/>
        </w:rPr>
        <w:t>LCSW CLINICAL EXAM PREPARATION PROGRAM</w:t>
      </w:r>
    </w:p>
    <w:p>
      <w:pPr>
        <w:pStyle w:val="Title"/>
        <w:jc w:val="center"/>
      </w:pPr>
      <w:r>
        <w:t>LCSW Clinical Question Bank</w:t>
      </w:r>
    </w:p>
    <w:p>
      <w:pPr>
        <w:pStyle w:val="Subtitle"/>
        <w:jc w:val="center"/>
      </w:pPr>
      <w:r>
        <w:t>Workbook 1: ASWB Exam Strategy and Applied Reasoning</w:t>
      </w:r>
    </w:p>
    <w:p>
      <w:pPr>
        <w:jc w:val="center"/>
      </w:pPr>
      <w:r>
        <w:rPr>
          <w:b/>
          <w:color w:val="1B2A41"/>
          <w:sz w:val="22"/>
        </w:rPr>
        <w:t>17 QUESTIONS WITH COMPLETE RATIONALES AND EXAM STRATEGIES</w:t>
      </w:r>
    </w:p>
    <w:p/>
    <w:p>
      <w:pPr>
        <w:jc w:val="center"/>
      </w:pPr>
      <w:r>
        <w:rPr>
          <w:color w:val="696969"/>
          <w:sz w:val="20"/>
        </w:rPr>
        <w:t>Version 1.0 • July 2026</w:t>
      </w:r>
    </w:p>
    <w:p>
      <w:pPr>
        <w:jc w:val="center"/>
      </w:pPr>
      <w:r>
        <w:rPr>
          <w:b/>
          <w:color w:val="1B2A41"/>
          <w:sz w:val="24"/>
        </w:rPr>
        <w:t>Clinical Training Academy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Publication and Use Notice</w:t>
              <w:br/>
            </w:r>
            <w:r>
              <w:rPr>
                <w:sz w:val="19"/>
              </w:rPr>
              <w:t>This original Clinical Training Academy resource is designed for licensing-examination preparation and professional education. It is not an official licensing examination, is not affiliated with or endorsed by a licensing or testing organization, and does not replace current law, professional standards, supervision, consultation, or case-specific guidance.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Question Bank Structure</w:t>
              <w:br/>
            </w:r>
            <w:r>
              <w:rPr>
                <w:sz w:val="19"/>
              </w:rPr>
              <w:t>This workbook question bank contains 17 selected questions: 5 Easy, 7 Moderate, and 5 Difficult. Question type and difficulty are separate classifications. Every item includes one best answer, complete option-by-option rationales, and a CTA exam strategy.</w:t>
            </w:r>
          </w:p>
        </w:tc>
      </w:tr>
    </w:tbl>
    <w:p/>
    <w:p>
      <w:pPr>
        <w:pStyle w:val="Heading1"/>
      </w:pPr>
      <w:r>
        <w:t>Question Bank Blueprint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Control</w:t>
            </w:r>
          </w:p>
        </w:tc>
        <w:tc>
          <w:tcPr>
            <w:tcW w:type="dxa" w:w="6984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Final Design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Total questions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17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Difficulty distribution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Easy: 5 | Moderate: 7 | Difficult: 5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Question-type distribution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Application: 6 | Integrated Clinical Reasoning: 3 | Knowledge &amp; Recall: 4 | Scenario-Based: 4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Answer distribution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A: 5 | B: 4 | C: 4 | D: 4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Option format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10 three-option questions | 7 four-option questions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Source-item status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17 selected for the Workbook 1 bank; 33 retained in the internal development reserve</w:t>
            </w:r>
          </w:p>
        </w:tc>
      </w:tr>
    </w:tbl>
    <w:p>
      <w:pPr>
        <w:pStyle w:val="Heading1"/>
      </w:pPr>
      <w:r>
        <w:t>How to Use This Question Bank</w:t>
      </w:r>
    </w:p>
    <w:p>
      <w:pPr>
        <w:pStyle w:val="ListBullet"/>
      </w:pPr>
      <w:r>
        <w:t>Work through one difficulty section at a time or complete all 17 questions as a mixed review.</w:t>
      </w:r>
    </w:p>
    <w:p>
      <w:pPr>
        <w:pStyle w:val="ListBullet"/>
      </w:pPr>
      <w:r>
        <w:t>Cover the answer and rationale area before choosing your response.</w:t>
      </w:r>
    </w:p>
    <w:p>
      <w:pPr>
        <w:pStyle w:val="ListBullet"/>
      </w:pPr>
      <w:r>
        <w:t>After answering, study why the keyed option fits the exact qualifier, timing, role, and facts.</w:t>
      </w:r>
    </w:p>
    <w:p>
      <w:pPr>
        <w:pStyle w:val="ListBullet"/>
      </w:pPr>
      <w:r>
        <w:t>Record both incorrect answers and low-confidence correct answers in your study notes.</w:t>
      </w:r>
    </w:p>
    <w:p>
      <w:r>
        <w:br w:type="page"/>
      </w:r>
    </w:p>
    <w:p>
      <w:pPr>
        <w:pStyle w:val="Heading1"/>
      </w:pPr>
      <w:r>
        <w:t>Easy Questions</w:t>
      </w:r>
    </w:p>
    <w:p>
      <w:r>
        <w:rPr>
          <w:i/>
          <w:color w:val="696969"/>
        </w:rPr>
        <w:t>5 questions | Foundational distinctions, examination language, and direct application.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LCSW-WB01-QB-Q001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Knowledge &amp; Recall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Meaning of MOST appropriate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When an ASWB-style question asks for the MOST appropriate response, what should control the test-taker’s choice?</w:t>
      </w:r>
    </w:p>
    <w:p>
      <w:pPr>
        <w:pStyle w:val="Option"/>
        <w:keepNext/>
      </w:pPr>
      <w:r>
        <w:rPr>
          <w:b/>
        </w:rPr>
        <w:t xml:space="preserve">A. </w:t>
      </w:r>
      <w:r>
        <w:t>The option that is most intensive.</w:t>
      </w:r>
    </w:p>
    <w:p>
      <w:pPr>
        <w:pStyle w:val="Option"/>
        <w:keepNext/>
      </w:pPr>
      <w:r>
        <w:rPr>
          <w:b/>
        </w:rPr>
        <w:t xml:space="preserve">B. </w:t>
      </w:r>
      <w:r>
        <w:t>The option that best fits the exact task, facts, role, timing, ethics, and client or client-system needs.</w:t>
      </w:r>
    </w:p>
    <w:p>
      <w:pPr>
        <w:pStyle w:val="Option"/>
        <w:keepNext/>
      </w:pPr>
      <w:r>
        <w:rPr>
          <w:b/>
        </w:rPr>
        <w:t xml:space="preserve">C. </w:t>
      </w:r>
      <w:r>
        <w:t>The option that names the greatest number of services.</w:t>
      </w:r>
    </w:p>
    <w:p>
      <w:r>
        <w:rPr>
          <w:b/>
          <w:color w:val="237852"/>
        </w:rPr>
        <w:t>Correct Answer: B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Greater intensity can be excessive or mistimed.</w:t>
      </w:r>
    </w:p>
    <w:p>
      <w:pPr>
        <w:pStyle w:val="Rationale"/>
      </w:pPr>
      <w:r>
        <w:rPr>
          <w:b/>
          <w:color w:val="237852"/>
        </w:rPr>
        <w:t xml:space="preserve">B. </w:t>
      </w:r>
      <w:r>
        <w:t>Correct. MOST appropriate requires comparison of plausible responses and selection of the one with the strongest whole-vignette fit and fewest unsupported assumptions.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A long service list may avoid the actual decision or skip engagement and assessment.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Compare each option against the exact task and stage; the best answer is not automatically the biggest action.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LCSW-WB01-QB-Q002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Knowledge &amp; Recall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Meaning of NEXT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What does NEXT most directly ask in a social work licensing vignette?</w:t>
      </w:r>
    </w:p>
    <w:p>
      <w:pPr>
        <w:pStyle w:val="Option"/>
        <w:keepNext/>
      </w:pPr>
      <w:r>
        <w:rPr>
          <w:b/>
        </w:rPr>
        <w:t xml:space="preserve">A. </w:t>
      </w:r>
      <w:r>
        <w:t>What should follow the step or stage the vignette says has already occurred.</w:t>
      </w:r>
    </w:p>
    <w:p>
      <w:pPr>
        <w:pStyle w:val="Option"/>
        <w:keepNext/>
      </w:pPr>
      <w:r>
        <w:rPr>
          <w:b/>
        </w:rPr>
        <w:t xml:space="preserve">B. </w:t>
      </w:r>
      <w:r>
        <w:t>What the social worker should have done at the beginning of the case.</w:t>
      </w:r>
    </w:p>
    <w:p>
      <w:pPr>
        <w:pStyle w:val="Option"/>
        <w:keepNext/>
      </w:pPr>
      <w:r>
        <w:rPr>
          <w:b/>
        </w:rPr>
        <w:t xml:space="preserve">C. </w:t>
      </w:r>
      <w:r>
        <w:t>What the final outcome of services should be.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NEXT requires attention to completed actions and the immediate subsequent professional task.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NEXT is forward-looking from the current stage, not a request to restart the case.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The question asks for the immediate subsequent action, not the ultimate result.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Mark what has already happened; do not repeat it or skip over the next required step.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LCSW-WB01-QB-Q003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Knowledge &amp; Recall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2026 exam structure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For the 2026 ASWB Clinical examination structure used by CTA, which description is correct?</w:t>
      </w:r>
    </w:p>
    <w:p>
      <w:pPr>
        <w:pStyle w:val="Option"/>
        <w:keepNext/>
      </w:pPr>
      <w:r>
        <w:rPr>
          <w:b/>
        </w:rPr>
        <w:t xml:space="preserve">A. </w:t>
      </w:r>
      <w:r>
        <w:t>150 scored questions plus 20 unscored questions in four hours.</w:t>
      </w:r>
    </w:p>
    <w:p>
      <w:pPr>
        <w:pStyle w:val="Option"/>
        <w:keepNext/>
      </w:pPr>
      <w:r>
        <w:rPr>
          <w:b/>
        </w:rPr>
        <w:t xml:space="preserve">B. </w:t>
      </w:r>
      <w:r>
        <w:t>110 total questions with no unscored items in three hours.</w:t>
      </w:r>
    </w:p>
    <w:p>
      <w:pPr>
        <w:pStyle w:val="Option"/>
        <w:keepNext/>
      </w:pPr>
      <w:r>
        <w:rPr>
          <w:b/>
        </w:rPr>
        <w:t xml:space="preserve">C. </w:t>
      </w:r>
      <w:r>
        <w:t>122 total questions, including 110 scored and 12 unscored questions, completed within four hours.</w:t>
      </w:r>
    </w:p>
    <w:p>
      <w:pPr>
        <w:pStyle w:val="Option"/>
        <w:keepNext/>
      </w:pPr>
      <w:r>
        <w:rPr>
          <w:b/>
        </w:rPr>
        <w:t xml:space="preserve">D. </w:t>
      </w:r>
      <w:r>
        <w:t>75 questions focused only on California law and ethics.</w:t>
      </w:r>
    </w:p>
    <w:p>
      <w:r>
        <w:rPr>
          <w:b/>
          <w:color w:val="237852"/>
        </w:rPr>
        <w:t>Correct Answer: C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That describes the prior 170-item structure, not the 2026 examination used by this program.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The official structure includes 12 unscored questions and a four-hour limit.</w:t>
      </w:r>
    </w:p>
    <w:p>
      <w:pPr>
        <w:pStyle w:val="Rationale"/>
      </w:pPr>
      <w:r>
        <w:rPr>
          <w:b/>
          <w:color w:val="237852"/>
        </w:rPr>
        <w:t xml:space="preserve">C. </w:t>
      </w:r>
      <w:r>
        <w:t>Correct. The 2026 structure contains 122 total items, with 110 scored and 12 unscored, under a four-hour limit.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The ASWB Clinical examination is a national clinical licensing examination, not the California law-and-ethics exam.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Know the current format, but spend study time primarily on applied reasoning and content rather than memorizing logistics.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LCSW-WB01-QB-Q004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Knowledge &amp; Recall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Person-in-environment purpose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What is the PRIMARY purpose of a person-in-environment assessment?</w:t>
      </w:r>
    </w:p>
    <w:p>
      <w:pPr>
        <w:pStyle w:val="Option"/>
        <w:keepNext/>
      </w:pPr>
      <w:r>
        <w:rPr>
          <w:b/>
        </w:rPr>
        <w:t xml:space="preserve">A. </w:t>
      </w:r>
      <w:r>
        <w:t>To replace assessment of symptoms and safety with resource referral.</w:t>
      </w:r>
    </w:p>
    <w:p>
      <w:pPr>
        <w:pStyle w:val="Option"/>
        <w:keepNext/>
      </w:pPr>
      <w:r>
        <w:rPr>
          <w:b/>
        </w:rPr>
        <w:t xml:space="preserve">B. </w:t>
      </w:r>
      <w:r>
        <w:t>To prove that social conditions are the sole cause of every problem.</w:t>
      </w:r>
    </w:p>
    <w:p>
      <w:pPr>
        <w:pStyle w:val="Option"/>
        <w:keepNext/>
      </w:pPr>
      <w:r>
        <w:rPr>
          <w:b/>
        </w:rPr>
        <w:t xml:space="preserve">C. </w:t>
      </w:r>
      <w:r>
        <w:t>To determine which family member is responsible for the client’s difficulties.</w:t>
      </w:r>
    </w:p>
    <w:p>
      <w:pPr>
        <w:pStyle w:val="Option"/>
        <w:keepNext/>
      </w:pPr>
      <w:r>
        <w:rPr>
          <w:b/>
        </w:rPr>
        <w:t xml:space="preserve">D. </w:t>
      </w:r>
      <w:r>
        <w:t>To understand how personal, relational, cultural, environmental, and system factors interact with functioning and needs.</w:t>
      </w:r>
    </w:p>
    <w:p>
      <w:r>
        <w:rPr>
          <w:b/>
          <w:color w:val="237852"/>
        </w:rPr>
        <w:t>Correct Answer: D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Environmental assessment complements rather than replaces clinical and safety assessment.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The approach is integrative and does not assume a single cause.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The purpose is contextual understanding, not blame assignment.</w:t>
      </w:r>
    </w:p>
    <w:p>
      <w:pPr>
        <w:pStyle w:val="Rationale"/>
      </w:pPr>
      <w:r>
        <w:rPr>
          <w:b/>
          <w:color w:val="237852"/>
        </w:rPr>
        <w:t xml:space="preserve">D. </w:t>
      </w:r>
      <w:r>
        <w:t>Correct. Person-in-environment reasoning integrates the individual with family, community, resources, barriers, institutions, and social conditions.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Look beyond symptoms without losing the person: strengths, risks, relationships, resources, barriers, culture, and systems all matter.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LCSW-WB01-QB-Q005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Engaging an involuntary client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court-referred client says, “I am only here because I have to be.”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Acknowledge the client’s lack of choice, clarify the social worker’s role and limits, and ask what would make the contact useful to the client.</w:t>
      </w:r>
    </w:p>
    <w:p>
      <w:pPr>
        <w:pStyle w:val="Option"/>
        <w:keepNext/>
      </w:pPr>
      <w:r>
        <w:rPr>
          <w:b/>
        </w:rPr>
        <w:t xml:space="preserve">B. </w:t>
      </w:r>
      <w:r>
        <w:t>Warn the client that resistance will be reported immediately.</w:t>
      </w:r>
    </w:p>
    <w:p>
      <w:pPr>
        <w:pStyle w:val="Option"/>
        <w:keepNext/>
      </w:pPr>
      <w:r>
        <w:rPr>
          <w:b/>
        </w:rPr>
        <w:t xml:space="preserve">C. </w:t>
      </w:r>
      <w:r>
        <w:t>Begin a standardized treatment plan without discussing the referral.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Transparent engagement respects the involuntary context while inviting client-defined goals and reducing unnecessary power struggles.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Threatening language intensifies coercion and does not support engagement or accurate assessment.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Planning before role clarification and engagement is premature.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Name the mandate honestly, preserve available choices, and identify the client’s own concerns before planning.</w:t>
            </w:r>
          </w:p>
        </w:tc>
      </w:tr>
    </w:tbl>
    <w:p/>
    <w:p>
      <w:r>
        <w:br w:type="page"/>
      </w:r>
    </w:p>
    <w:p>
      <w:pPr>
        <w:pStyle w:val="Heading1"/>
      </w:pPr>
      <w:r>
        <w:t>Moderate Questions</w:t>
      </w:r>
    </w:p>
    <w:p>
      <w:r>
        <w:rPr>
          <w:i/>
          <w:color w:val="696969"/>
        </w:rPr>
        <w:t>7 questions | Applied sequencing and realistic clinical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LCSW-WB01-QB-Q006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Client choice about family involvement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An adult client asks that family members receive no information about treatment. There is no immediate safety concern and no other authorization. What should the social worker do?</w:t>
      </w:r>
    </w:p>
    <w:p>
      <w:pPr>
        <w:pStyle w:val="Option"/>
        <w:keepNext/>
      </w:pPr>
      <w:r>
        <w:rPr>
          <w:b/>
        </w:rPr>
        <w:t xml:space="preserve">A. </w:t>
      </w:r>
      <w:r>
        <w:t>Give the family general progress updates because they are concerned.</w:t>
      </w:r>
    </w:p>
    <w:p>
      <w:pPr>
        <w:pStyle w:val="Option"/>
        <w:keepNext/>
      </w:pPr>
      <w:r>
        <w:rPr>
          <w:b/>
        </w:rPr>
        <w:t xml:space="preserve">B. </w:t>
      </w:r>
      <w:r>
        <w:t>Respect the client’s decision and explore whether the client wants any alternative support or limited involvement.</w:t>
      </w:r>
    </w:p>
    <w:p>
      <w:pPr>
        <w:pStyle w:val="Option"/>
        <w:keepNext/>
      </w:pPr>
      <w:r>
        <w:rPr>
          <w:b/>
        </w:rPr>
        <w:t xml:space="preserve">C. </w:t>
      </w:r>
      <w:r>
        <w:t>Tell the family the client is refusing collaboration.</w:t>
      </w:r>
    </w:p>
    <w:p>
      <w:r>
        <w:rPr>
          <w:b/>
          <w:color w:val="237852"/>
        </w:rPr>
        <w:t>Correct Answer: B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Concern alone does not authorize disclosure.</w:t>
      </w:r>
    </w:p>
    <w:p>
      <w:pPr>
        <w:pStyle w:val="Rationale"/>
      </w:pPr>
      <w:r>
        <w:rPr>
          <w:b/>
          <w:color w:val="237852"/>
        </w:rPr>
        <w:t xml:space="preserve">B. </w:t>
      </w:r>
      <w:r>
        <w:t>Correct. A competent adult controls ordinary disclosure. The social worker may explore support preferences without providing unauthorized updates.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This itself discloses treatment information and frames autonomy as misconduct.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Do not confuse family concern with permission. Follow the client’s informed preferences unless a valid exception applies.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LCSW-WB01-QB-Q007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Evaluate intervention outcomes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client and social worker agreed on a plan to reduce panic-related avoidance. After several weeks, what should the social worker do NEXT?</w:t>
      </w:r>
    </w:p>
    <w:p>
      <w:pPr>
        <w:pStyle w:val="Option"/>
        <w:keepNext/>
      </w:pPr>
      <w:r>
        <w:rPr>
          <w:b/>
        </w:rPr>
        <w:t xml:space="preserve">A. </w:t>
      </w:r>
      <w:r>
        <w:t>Assume the plan is effective because the client attended sessions.</w:t>
      </w:r>
    </w:p>
    <w:p>
      <w:pPr>
        <w:pStyle w:val="Option"/>
        <w:keepNext/>
      </w:pPr>
      <w:r>
        <w:rPr>
          <w:b/>
        </w:rPr>
        <w:t xml:space="preserve">B. </w:t>
      </w:r>
      <w:r>
        <w:t>Add another intervention before asking what changed.</w:t>
      </w:r>
    </w:p>
    <w:p>
      <w:pPr>
        <w:pStyle w:val="Option"/>
        <w:keepNext/>
      </w:pPr>
      <w:r>
        <w:rPr>
          <w:b/>
        </w:rPr>
        <w:t xml:space="preserve">C. </w:t>
      </w:r>
      <w:r>
        <w:t>Review symptom, functioning, client-experience, and goal data and revise the plan based on the response.</w:t>
      </w:r>
    </w:p>
    <w:p>
      <w:pPr>
        <w:pStyle w:val="Option"/>
        <w:keepNext/>
      </w:pPr>
      <w:r>
        <w:rPr>
          <w:b/>
        </w:rPr>
        <w:t xml:space="preserve">D. </w:t>
      </w:r>
      <w:r>
        <w:t>End services because the planned time period has passed.</w:t>
      </w:r>
    </w:p>
    <w:p>
      <w:r>
        <w:rPr>
          <w:b/>
          <w:color w:val="237852"/>
        </w:rPr>
        <w:t>Correct Answer: C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Attendance does not establish clinical or functional improvement.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Adding methods without evaluation obscures effectiveness and fit.</w:t>
      </w:r>
    </w:p>
    <w:p>
      <w:pPr>
        <w:pStyle w:val="Rationale"/>
      </w:pPr>
      <w:r>
        <w:rPr>
          <w:b/>
          <w:color w:val="237852"/>
        </w:rPr>
        <w:t xml:space="preserve">C. </w:t>
      </w:r>
      <w:r>
        <w:t>Correct. Intervention should be followed by evaluation. Outcome information determines whether to continue, adapt, consult, or change level of care.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Time alone does not establish goal attainment or readiness for termination.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After implementing, measure. Ask what changed in symptoms, functioning, access, and client-defined goals.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LCSW-WB01-QB-Q008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Third-party referral role clarity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An employer refers a worker and asks the social worker for weekly reports.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Promise the employer complete access because it pays for services.</w:t>
      </w:r>
    </w:p>
    <w:p>
      <w:pPr>
        <w:pStyle w:val="Option"/>
        <w:keepNext/>
      </w:pPr>
      <w:r>
        <w:rPr>
          <w:b/>
        </w:rPr>
        <w:t xml:space="preserve">B. </w:t>
      </w:r>
      <w:r>
        <w:t>Refuse all employer communication under every circumstance.</w:t>
      </w:r>
    </w:p>
    <w:p>
      <w:pPr>
        <w:pStyle w:val="Option"/>
        <w:keepNext/>
      </w:pPr>
      <w:r>
        <w:rPr>
          <w:b/>
        </w:rPr>
        <w:t xml:space="preserve">C. </w:t>
      </w:r>
      <w:r>
        <w:t>Begin treatment and decide what to report after several sessions.</w:t>
      </w:r>
    </w:p>
    <w:p>
      <w:pPr>
        <w:pStyle w:val="Option"/>
        <w:keepNext/>
      </w:pPr>
      <w:r>
        <w:rPr>
          <w:b/>
        </w:rPr>
        <w:t xml:space="preserve">D. </w:t>
      </w:r>
      <w:r>
        <w:t>Clarify the social worker’s role, who the client is, what information is authorized, and the limits of confidentiality before services begin.</w:t>
      </w:r>
    </w:p>
    <w:p>
      <w:r>
        <w:rPr>
          <w:b/>
          <w:color w:val="237852"/>
        </w:rPr>
        <w:t>Correct Answer: D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Payment does not create unlimited authority to receive clinical information.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Limited communication may be appropriate when properly authorized and relevant.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Waiting creates avoidable confusion and undermines informed participation.</w:t>
      </w:r>
    </w:p>
    <w:p>
      <w:pPr>
        <w:pStyle w:val="Rationale"/>
      </w:pPr>
      <w:r>
        <w:rPr>
          <w:b/>
          <w:color w:val="237852"/>
        </w:rPr>
        <w:t xml:space="preserve">D. </w:t>
      </w:r>
      <w:r>
        <w:t>Correct. Third-party referrals require transparent role and information boundaries so the client can give informed consent and understand reporting expectations.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Before assessment content, establish who the client is and what information may flow to whom.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LCSW-WB01-QB-Q009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Capacity and least restrictive support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An older adult with decision-making capacity chooses to remain at home despite fall risk. Which response is MOST appropriate?</w:t>
      </w:r>
    </w:p>
    <w:p>
      <w:pPr>
        <w:pStyle w:val="Option"/>
        <w:keepNext/>
      </w:pPr>
      <w:r>
        <w:rPr>
          <w:b/>
        </w:rPr>
        <w:t xml:space="preserve">A. </w:t>
      </w:r>
      <w:r>
        <w:t>Explore the person’s goals, provide understandable risk information, and collaborate on the least restrictive safety supports the person will accept.</w:t>
      </w:r>
    </w:p>
    <w:p>
      <w:pPr>
        <w:pStyle w:val="Option"/>
        <w:keepNext/>
      </w:pPr>
      <w:r>
        <w:rPr>
          <w:b/>
        </w:rPr>
        <w:t xml:space="preserve">B. </w:t>
      </w:r>
      <w:r>
        <w:t>Arrange placement over the client’s objection because falls are possible.</w:t>
      </w:r>
    </w:p>
    <w:p>
      <w:pPr>
        <w:pStyle w:val="Option"/>
        <w:keepNext/>
      </w:pPr>
      <w:r>
        <w:rPr>
          <w:b/>
        </w:rPr>
        <w:t xml:space="preserve">C. </w:t>
      </w:r>
      <w:r>
        <w:t>Withdraw services because the client declined the safest recommendation.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Capacity allows the client to make a risky choice. The social worker should support informed decision-making and harm reduction rather than impose placement.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Risk alone does not eliminate autonomy when capacity is intact and no legal basis for override exists.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The social worker can continue working on acceptable supports.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Capacity changes the response: inform, collaborate, reduce harm, and preserve the client’s decision.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LCSW-WB01-QB-Q010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Review of competing options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test-taker flags an item because two answers appear plausible. What should the test-taker do during review?</w:t>
      </w:r>
    </w:p>
    <w:p>
      <w:pPr>
        <w:pStyle w:val="Option"/>
        <w:keepNext/>
      </w:pPr>
      <w:r>
        <w:rPr>
          <w:b/>
        </w:rPr>
        <w:t xml:space="preserve">A. </w:t>
      </w:r>
      <w:r>
        <w:t>Choose the longer answer because it is more complete.</w:t>
      </w:r>
    </w:p>
    <w:p>
      <w:pPr>
        <w:pStyle w:val="Option"/>
        <w:keepNext/>
      </w:pPr>
      <w:r>
        <w:rPr>
          <w:b/>
        </w:rPr>
        <w:t xml:space="preserve">B. </w:t>
      </w:r>
      <w:r>
        <w:t>Re-read the qualifier and identify which option fits the stage, role, and stated facts with fewer assumptions.</w:t>
      </w:r>
    </w:p>
    <w:p>
      <w:pPr>
        <w:pStyle w:val="Option"/>
        <w:keepNext/>
      </w:pPr>
      <w:r>
        <w:rPr>
          <w:b/>
        </w:rPr>
        <w:t xml:space="preserve">C. </w:t>
      </w:r>
      <w:r>
        <w:t>Change to the answer letter used least often.</w:t>
      </w:r>
    </w:p>
    <w:p>
      <w:r>
        <w:rPr>
          <w:b/>
          <w:color w:val="237852"/>
        </w:rPr>
        <w:t>Correct Answer: B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Length does not establish relevance or sequence.</w:t>
      </w:r>
    </w:p>
    <w:p>
      <w:pPr>
        <w:pStyle w:val="Rationale"/>
      </w:pPr>
      <w:r>
        <w:rPr>
          <w:b/>
          <w:color w:val="237852"/>
        </w:rPr>
        <w:t xml:space="preserve">B. </w:t>
      </w:r>
      <w:r>
        <w:t>Correct. Focused review compares timing and support rather than choosing by tone, length, or answer-letter pattern.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Answer-position patterns are not a valid content strategy.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When two answers could eventually help, choose the one that is supported now and answers the exact question.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LCSW-WB01-QB-Q011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Engagement after confidentiality harm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refugee client says previous agencies shared information without permission and refuses to complete intake paperwork.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Insist that every form be completed before any conversation.</w:t>
      </w:r>
    </w:p>
    <w:p>
      <w:pPr>
        <w:pStyle w:val="Option"/>
        <w:keepNext/>
      </w:pPr>
      <w:r>
        <w:rPr>
          <w:b/>
        </w:rPr>
        <w:t xml:space="preserve">B. </w:t>
      </w:r>
      <w:r>
        <w:t>Promise that no information will ever be shared under any circumstance.</w:t>
      </w:r>
    </w:p>
    <w:p>
      <w:pPr>
        <w:pStyle w:val="Option"/>
        <w:keepNext/>
      </w:pPr>
      <w:r>
        <w:rPr>
          <w:b/>
        </w:rPr>
        <w:t xml:space="preserve">C. </w:t>
      </w:r>
      <w:r>
        <w:t>Acknowledge the prior harm, explain the current role and confidentiality limits clearly, identify available choices, and ask about the client’s most immediate concern.</w:t>
      </w:r>
    </w:p>
    <w:p>
      <w:r>
        <w:rPr>
          <w:b/>
          <w:color w:val="237852"/>
        </w:rPr>
        <w:t>Correct Answer: C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Rigid form completion can repeat the client’s experience of lost control and reduce accurate engagement.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An absolute promise may be inaccurate because legal or safety exceptions can apply.</w:t>
      </w:r>
    </w:p>
    <w:p>
      <w:pPr>
        <w:pStyle w:val="Rationale"/>
      </w:pPr>
      <w:r>
        <w:rPr>
          <w:b/>
          <w:color w:val="237852"/>
        </w:rPr>
        <w:t xml:space="preserve">C. </w:t>
      </w:r>
      <w:r>
        <w:t>Correct. Transparent engagement addresses mistrust and power without demanding disclosure before safety and informed participation are established.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Repair trust with accuracy and choice; do not overpromise or force disclosure.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LCSW-WB01-QB-Q012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Language access and warm handoff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client with limited English proficiency reports that food-assistance offices have no interpreter and online forms are unreadable. What should the social worker do NEXT?</w:t>
      </w:r>
    </w:p>
    <w:p>
      <w:pPr>
        <w:pStyle w:val="Option"/>
        <w:keepNext/>
      </w:pPr>
      <w:r>
        <w:rPr>
          <w:b/>
        </w:rPr>
        <w:t xml:space="preserve">A. </w:t>
      </w:r>
      <w:r>
        <w:t>Ask the client’s young child to interpret the benefits application.</w:t>
      </w:r>
    </w:p>
    <w:p>
      <w:pPr>
        <w:pStyle w:val="Option"/>
        <w:keepNext/>
      </w:pPr>
      <w:r>
        <w:rPr>
          <w:b/>
        </w:rPr>
        <w:t xml:space="preserve">B. </w:t>
      </w:r>
      <w:r>
        <w:t>Give the client the same online link again.</w:t>
      </w:r>
    </w:p>
    <w:p>
      <w:pPr>
        <w:pStyle w:val="Option"/>
        <w:keepNext/>
      </w:pPr>
      <w:r>
        <w:rPr>
          <w:b/>
        </w:rPr>
        <w:t xml:space="preserve">C. </w:t>
      </w:r>
      <w:r>
        <w:t>Complete and submit every form without involving the client.</w:t>
      </w:r>
    </w:p>
    <w:p>
      <w:pPr>
        <w:pStyle w:val="Option"/>
        <w:keepNext/>
      </w:pPr>
      <w:r>
        <w:rPr>
          <w:b/>
        </w:rPr>
        <w:t xml:space="preserve">D. </w:t>
      </w:r>
      <w:r>
        <w:t>Arrange qualified language access, verify accessible application options, and collaborate on a warm handoff while preserving the client’s choices.</w:t>
      </w:r>
    </w:p>
    <w:p>
      <w:r>
        <w:rPr>
          <w:b/>
          <w:color w:val="237852"/>
        </w:rPr>
        <w:t>Correct Answer: D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Using a child for complex confidential interpretation can create accuracy, burden, and privacy problems.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Repeating an inaccessible referral does not address the barrier.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This undermines informed participation and may introduce errors or unwanted choices.</w:t>
      </w:r>
    </w:p>
    <w:p>
      <w:pPr>
        <w:pStyle w:val="Rationale"/>
      </w:pPr>
      <w:r>
        <w:rPr>
          <w:b/>
          <w:color w:val="237852"/>
        </w:rPr>
        <w:t xml:space="preserve">D. </w:t>
      </w:r>
      <w:r>
        <w:t>Correct. The barrier is not lack of motivation; it is inaccessible service delivery. The social worker should reduce language and literacy barriers and confirm connection.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When the pathway is inaccessible, adapt the pathway—not the client’s motivation.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Difficult Questions</w:t>
      </w:r>
    </w:p>
    <w:p>
      <w:r>
        <w:rPr>
          <w:i/>
          <w:color w:val="696969"/>
        </w:rPr>
        <w:t>5 questions | Complex scenarios requiring prioritization and integrated professional reasoning.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LCSW-WB01-QB-Q013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Participatory community assessment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Residents ask a community social worker for help responding to escalating neighborhood violence.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Engage residents and relevant stakeholders to assess safety priorities, community strengths, affected groups, existing efforts, and desired participation.</w:t>
      </w:r>
    </w:p>
    <w:p>
      <w:pPr>
        <w:pStyle w:val="Option"/>
        <w:keepNext/>
      </w:pPr>
      <w:r>
        <w:rPr>
          <w:b/>
        </w:rPr>
        <w:t xml:space="preserve">B. </w:t>
      </w:r>
      <w:r>
        <w:t>Select a police-led strategy without resident input.</w:t>
      </w:r>
    </w:p>
    <w:p>
      <w:pPr>
        <w:pStyle w:val="Option"/>
        <w:keepNext/>
      </w:pPr>
      <w:r>
        <w:rPr>
          <w:b/>
        </w:rPr>
        <w:t xml:space="preserve">C. </w:t>
      </w:r>
      <w:r>
        <w:t>Create a media campaign before identifying the problem and goals.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Community practice begins with participatory assessment rather than imposing a professionally selected solution.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This bypasses community knowledge, trust, and self-determination.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A tactic should follow assessment of priorities, power, risks, and resources.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At the community level, assess with residents—not for them—before choosing a strategy.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LCSW-WB01-QB-Q014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Countertransference and supervision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social worker notices avoiding a client whose history resembles the social worker’s own trauma.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Tell the client detailed personal trauma history to explain the avoidance.</w:t>
      </w:r>
    </w:p>
    <w:p>
      <w:pPr>
        <w:pStyle w:val="Option"/>
        <w:keepNext/>
      </w:pPr>
      <w:r>
        <w:rPr>
          <w:b/>
        </w:rPr>
        <w:t xml:space="preserve">B. </w:t>
      </w:r>
      <w:r>
        <w:t>Seek supervision or consultation, assess the effect on care, and adjust practice as needed to protect the client.</w:t>
      </w:r>
    </w:p>
    <w:p>
      <w:pPr>
        <w:pStyle w:val="Option"/>
        <w:keepNext/>
      </w:pPr>
      <w:r>
        <w:rPr>
          <w:b/>
        </w:rPr>
        <w:t xml:space="preserve">C. </w:t>
      </w:r>
      <w:r>
        <w:t>Continue unchanged and rely on willpower.</w:t>
      </w:r>
    </w:p>
    <w:p>
      <w:r>
        <w:rPr>
          <w:b/>
          <w:color w:val="237852"/>
        </w:rPr>
        <w:t>Correct Answer: B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This shifts the burden to the client and may not serve the client’s needs.</w:t>
      </w:r>
    </w:p>
    <w:p>
      <w:pPr>
        <w:pStyle w:val="Rationale"/>
      </w:pPr>
      <w:r>
        <w:rPr>
          <w:b/>
          <w:color w:val="237852"/>
        </w:rPr>
        <w:t xml:space="preserve">B. </w:t>
      </w:r>
      <w:r>
        <w:t>Correct. Early recognition and consultation can prevent countertransference from distorting assessment, boundaries, attendance, or intervention.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Unexamined avoidance can impair care and should be addressed proactively.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Recognize the reaction, bring it to supervision, and change practice before the client bears the cost.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LCSW-WB01-QB-Q015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Integrated Clinical Reasoning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Language access, capacity, health, and autonomy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An older adult with limited English proficiency has utilities scheduled for shutoff, appears confused about medications, and refuses a facility placement proposed by family.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Accept the family’s placement decision because they know the client best.</w:t>
      </w:r>
    </w:p>
    <w:p>
      <w:pPr>
        <w:pStyle w:val="Option"/>
        <w:keepNext/>
      </w:pPr>
      <w:r>
        <w:rPr>
          <w:b/>
        </w:rPr>
        <w:t xml:space="preserve">B. </w:t>
      </w:r>
      <w:r>
        <w:t>Focus only on the utility shutoff because it has a clear deadline.</w:t>
      </w:r>
    </w:p>
    <w:p>
      <w:pPr>
        <w:pStyle w:val="Option"/>
        <w:keepNext/>
      </w:pPr>
      <w:r>
        <w:rPr>
          <w:b/>
        </w:rPr>
        <w:t xml:space="preserve">C. </w:t>
      </w:r>
      <w:r>
        <w:t>Use qualified language access to assess immediate safety, health and medication concerns, decision-making capacity, the client’s preferences, supports, and least restrictive options.</w:t>
      </w:r>
    </w:p>
    <w:p>
      <w:pPr>
        <w:pStyle w:val="Option"/>
        <w:keepNext/>
      </w:pPr>
      <w:r>
        <w:rPr>
          <w:b/>
        </w:rPr>
        <w:t xml:space="preserve">D. </w:t>
      </w:r>
      <w:r>
        <w:t>Ask a family member to interpret and decide whether the client understands.</w:t>
      </w:r>
    </w:p>
    <w:p>
      <w:r>
        <w:rPr>
          <w:b/>
          <w:color w:val="237852"/>
        </w:rPr>
        <w:t>Correct Answer: C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Family concern does not replace the client’s rights, capacity assessment, or informed preferences.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The case also contains possible medication and cognitive risk that may be more urgent.</w:t>
      </w:r>
    </w:p>
    <w:p>
      <w:pPr>
        <w:pStyle w:val="Rationale"/>
      </w:pPr>
      <w:r>
        <w:rPr>
          <w:b/>
          <w:color w:val="237852"/>
        </w:rPr>
        <w:t xml:space="preserve">C. </w:t>
      </w:r>
      <w:r>
        <w:t>Correct. The social worker must obtain accurate communication before evaluating capacity, medical risk, autonomy, resources, and the family’s proposed placement.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Family interpretation can distort sensitive information and cannot substitute for qualified language access in a high-stakes capacity assessment.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Make communication accurate first, then assess safety, capacity, preferences, and feasible supports.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LCSW-WB01-QB-Q016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Integrated Clinical Reasoning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Suicide risk and discharge access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hospitalized client remains suicidal, lacks insurance, cannot afford prescribed medication, and has no transportation to follow-up care. The team plans discharge today. What should the social worker do NEXT?</w:t>
      </w:r>
    </w:p>
    <w:p>
      <w:pPr>
        <w:pStyle w:val="Option"/>
        <w:keepNext/>
      </w:pPr>
      <w:r>
        <w:rPr>
          <w:b/>
        </w:rPr>
        <w:t xml:space="preserve">A. </w:t>
      </w:r>
      <w:r>
        <w:t>Provide a crisis-line number and proceed with discharge.</w:t>
      </w:r>
    </w:p>
    <w:p>
      <w:pPr>
        <w:pStyle w:val="Option"/>
        <w:keepNext/>
      </w:pPr>
      <w:r>
        <w:rPr>
          <w:b/>
        </w:rPr>
        <w:t xml:space="preserve">B. </w:t>
      </w:r>
      <w:r>
        <w:t>Tell the client to return to the emergency department if symptoms worsen.</w:t>
      </w:r>
    </w:p>
    <w:p>
      <w:pPr>
        <w:pStyle w:val="Option"/>
        <w:keepNext/>
      </w:pPr>
      <w:r>
        <w:rPr>
          <w:b/>
        </w:rPr>
        <w:t xml:space="preserve">C. </w:t>
      </w:r>
      <w:r>
        <w:t>Focus only on obtaining insurance because financial access is the main problem.</w:t>
      </w:r>
    </w:p>
    <w:p>
      <w:pPr>
        <w:pStyle w:val="Option"/>
        <w:keepNext/>
      </w:pPr>
      <w:r>
        <w:rPr>
          <w:b/>
        </w:rPr>
        <w:t xml:space="preserve">D. </w:t>
      </w:r>
      <w:r>
        <w:t>Communicate the current risk to the team and coordinate a safe, feasible plan addressing level of care, medication access, transportation, follow-up, and crisis supports before discharge.</w:t>
      </w:r>
    </w:p>
    <w:p>
      <w:r>
        <w:rPr>
          <w:b/>
          <w:color w:val="237852"/>
        </w:rPr>
        <w:t>Correct Answer: D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A number alone does not resolve current risk, medication, transportation, or follow-up barriers.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This shifts responsibility to the client without addressing foreseeable barriers and present risk.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Insurance is important, but immediate suicide risk and safe level of care are controlling priorities.</w:t>
      </w:r>
    </w:p>
    <w:p>
      <w:pPr>
        <w:pStyle w:val="Rationale"/>
      </w:pPr>
      <w:r>
        <w:rPr>
          <w:b/>
          <w:color w:val="237852"/>
        </w:rPr>
        <w:t xml:space="preserve">D. </w:t>
      </w:r>
      <w:r>
        <w:t>Correct. Current suicide risk and major access barriers make routine discharge unsafe without interdisciplinary reassessment and concrete continuity arrangements.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Discharge must be both clinically safe and practically executable; address risk and access together.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LCSW-WB01-QB-Q017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Integrated Clinical Reasoning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1B2A41"/>
                <w:sz w:val="16"/>
              </w:rPr>
              <w:t>Agency pressure, suicide risk, and accessibility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An agency pressures a social worker to close a case for low attendance. The client has intermittent suicidal ideation, transportation problems, and difficulty understanding written notices. What should the social worker do NEXT?</w:t>
      </w:r>
    </w:p>
    <w:p>
      <w:pPr>
        <w:pStyle w:val="Option"/>
        <w:keepNext/>
      </w:pPr>
      <w:r>
        <w:rPr>
          <w:b/>
        </w:rPr>
        <w:t xml:space="preserve">A. </w:t>
      </w:r>
      <w:r>
        <w:t>Reassess suicide risk and access barriers with the client, use accessible communication, consult supervision about the closure pressure, and create a documented continuity plan.</w:t>
      </w:r>
    </w:p>
    <w:p>
      <w:pPr>
        <w:pStyle w:val="Option"/>
        <w:keepNext/>
      </w:pPr>
      <w:r>
        <w:rPr>
          <w:b/>
        </w:rPr>
        <w:t xml:space="preserve">B. </w:t>
      </w:r>
      <w:r>
        <w:t>Close the case because uniform policy application is always equitable.</w:t>
      </w:r>
    </w:p>
    <w:p>
      <w:pPr>
        <w:pStyle w:val="Option"/>
        <w:keepNext/>
      </w:pPr>
      <w:r>
        <w:rPr>
          <w:b/>
        </w:rPr>
        <w:t xml:space="preserve">C. </w:t>
      </w:r>
      <w:r>
        <w:t>Ignore the agency indefinitely and continue services secretly.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The social worker must integrate safety, disability or literacy access, policy, supervision, and continuity rather than treating attendance as a simple compliance issue.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Identical procedure can be inequitable when known access and comprehension barriers are not addressed.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This avoids responsible consultation and can create additional organizational and continuity risks.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Before closure, make the process accessible, reassess danger, address barriers, and use supervision to protect continuity.</w:t>
            </w:r>
          </w:p>
        </w:tc>
      </w:tr>
    </w:tbl>
    <w:p/>
    <w:p>
      <w:r>
        <w:br w:type="page"/>
      </w:r>
    </w:p>
    <w:p>
      <w:pPr>
        <w:pStyle w:val="Heading1"/>
      </w:pPr>
      <w:r>
        <w:t>Final Quality-Control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Quality-Control Area</w:t>
            </w:r>
          </w:p>
        </w:tc>
        <w:tc>
          <w:tcPr>
            <w:tcW w:type="dxa" w:w="6984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Question count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17 unique questions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Difficulty balance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5 Easy | 7 Moderate | 5 Difficult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Answer balance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A=5 | B=4 | C=4 | D=4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Rationales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Complete rationale for every presented option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Exam strategy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Included for every question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Originality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Selected original CTA items; no official or third-party sample question is reproduced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Development reserve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33 nonselected Workbook 1 draft items retained internally and not presented as part of this student question bank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Currency review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Current examination resources reviewed through July 24, 2026; re-audit before future publication after material changes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Important</w:t>
              <w:br/>
            </w:r>
            <w:r>
              <w:rPr>
                <w:sz w:val="19"/>
              </w:rPr>
              <w:t>The larger comprehensive practice examinations will be developed separately from the official examination blueprints. They will not simply combine or repeat the workbook question banks.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07" w:right="1008" w:bottom="835" w:left="1008" w:header="317" w:footer="31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8"/>
      </w:rPr>
      <w:t xml:space="preserve">Clinical Training Academy • </w:t>
    </w:r>
    <w:r>
      <w:rPr>
        <w:color w:val="696969"/>
        <w:sz w:val="18"/>
      </w:rPr>
      <w:t xml:space="preserve">Page </w:t>
    </w:r>
    <w:fldSimple w:instr="PAGE">
      <w:r>
        <w:rPr>
          <w:color w:val="666666"/>
          <w:sz w:val="18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9" w:space="2" w:color="2A9D8F"/>
      </w:pBdr>
    </w:pPr>
    <w:r>
      <w:rPr>
        <w:rFonts w:ascii="Arial" w:hAnsi="Arial"/>
        <w:b/>
        <w:color w:val="1B2A41"/>
        <w:sz w:val="16"/>
      </w:rPr>
      <w:t>CTA LCSW Workbook 1 Question Bank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B2A4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2A9D8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temMetadata">
    <w:name w:val="Item Metadata"/>
    <w:pPr>
      <w:spacing w:after="40"/>
    </w:pPr>
    <w:rPr>
      <w:rFonts w:ascii="Arial" w:hAnsi="Arial"/>
      <w:color w:val="696969"/>
      <w:sz w:val="16"/>
    </w:rPr>
  </w:style>
  <w:style w:type="paragraph" w:customStyle="1" w:styleId="Option">
    <w:name w:val="Option"/>
    <w:pPr>
      <w:spacing w:after="50"/>
      <w:ind w:left="317" w:hanging="317"/>
    </w:pPr>
    <w:rPr>
      <w:rFonts w:ascii="Arial" w:hAnsi="Arial"/>
      <w:sz w:val="20"/>
    </w:rPr>
  </w:style>
  <w:style w:type="paragraph" w:customStyle="1" w:styleId="Rationale">
    <w:name w:val="Rationale"/>
    <w:pPr>
      <w:spacing w:after="60"/>
      <w:ind w:left="259" w:hanging="259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Workbook 1 Question Bank</dc:title>
  <dc:subject>LCSW Workbook 1 seventeen-question clinical examination question bank</dc:subject>
  <dc:creator>Clinical Training Academy</dc:creator>
  <cp:keywords>LMFT, LCSW, clinical exam preparation, practice examination, question bank</cp:keywords>
  <dc:description>Original Clinical Training Academy educational material.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