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87552" cy="713848"/>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987552" cy="713848"/>
                    </a:xfrm>
                    <a:prstGeom prst="rect"/>
                  </pic:spPr>
                </pic:pic>
              </a:graphicData>
            </a:graphic>
          </wp:inline>
        </w:drawing>
      </w:r>
    </w:p>
    <w:p>
      <w:pPr>
        <w:jc w:val="center"/>
      </w:pPr>
      <w:r>
        <w:rPr>
          <w:b/>
          <w:color w:val="2A9D8F"/>
          <w:sz w:val="22"/>
        </w:rPr>
        <w:t>LCSW CLINICAL EXAM PREPARATION PROGRAM</w:t>
      </w:r>
    </w:p>
    <w:p>
      <w:pPr>
        <w:pStyle w:val="Title"/>
        <w:jc w:val="center"/>
      </w:pPr>
      <w:r>
        <w:t>LCSW Clinical Question Bank</w:t>
      </w:r>
    </w:p>
    <w:p>
      <w:pPr>
        <w:pStyle w:val="Subtitle"/>
        <w:jc w:val="center"/>
      </w:pPr>
      <w:r>
        <w:t>Workbook 2: Values, Ethics, Self-Determination, and Social Justice</w:t>
      </w:r>
    </w:p>
    <w:p>
      <w:pPr>
        <w:jc w:val="center"/>
      </w:pPr>
      <w:r>
        <w:rPr>
          <w:b/>
          <w:color w:val="1B2A41"/>
          <w:sz w:val="22"/>
        </w:rPr>
        <w:t>17 QUESTIONS WITH COMPLETE RATIONALES AND EXAM STRATEGIES</w:t>
      </w:r>
    </w:p>
    <w:p/>
    <w:p>
      <w:pPr>
        <w:jc w:val="center"/>
      </w:pPr>
      <w:r>
        <w:rPr>
          <w:color w:val="696969"/>
          <w:sz w:val="20"/>
        </w:rPr>
        <w:t>Version 1.0 • July 2026</w:t>
      </w:r>
    </w:p>
    <w:p>
      <w:pPr>
        <w:jc w:val="center"/>
      </w:pPr>
      <w:r>
        <w:rPr>
          <w:b/>
          <w:color w:val="1B2A41"/>
          <w:sz w:val="24"/>
        </w:rPr>
        <w:t>Clinical Training Academy</w:t>
      </w:r>
    </w:p>
    <w:p>
      <w:r>
        <w:br w:type="page"/>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Publication and Use Notice</w:t>
              <w:br/>
            </w:r>
            <w:r>
              <w:rPr>
                <w:sz w:val="19"/>
              </w:rPr>
              <w:t>This original Clinical Training Academy resource is designed for licensing-examination preparation and professional education. It is not an official licensing examination, is not affiliated with or endorsed by a licensing or testing organization, and does not replace current law, professional standards, supervision, consultation, or case-specific guidance.</w:t>
            </w:r>
          </w:p>
        </w:tc>
      </w:tr>
    </w:tbl>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Question Bank Structure</w:t>
              <w:br/>
            </w:r>
            <w:r>
              <w:rPr>
                <w:sz w:val="19"/>
              </w:rPr>
              <w:t>This workbook question bank contains 17 selected questions: 5 Easy, 7 Moderate, and 5 Difficult. Question type and difficulty are separate classifications. Every item includes one best answer, complete option-by-option rationales, and a CTA exam strategy.</w:t>
            </w:r>
          </w:p>
        </w:tc>
      </w:tr>
    </w:tbl>
    <w:p/>
    <w:p>
      <w:pPr>
        <w:pStyle w:val="Heading1"/>
      </w:pPr>
      <w:r>
        <w:t>Question Bank Blueprint</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Control</w:t>
            </w:r>
          </w:p>
        </w:tc>
        <w:tc>
          <w:tcPr>
            <w:tcW w:type="dxa" w:w="6984"/>
            <w:shd w:fill="DCEDEA"/>
            <w:tcMar>
              <w:top w:w="90" w:type="dxa"/>
              <w:start w:w="100" w:type="dxa"/>
              <w:bottom w:w="90" w:type="dxa"/>
              <w:end w:w="100" w:type="dxa"/>
            </w:tcMar>
            <w:vAlign w:val="center"/>
          </w:tcPr>
          <w:p>
            <w:pPr>
              <w:jc w:val="center"/>
            </w:pPr>
            <w:r>
              <w:rPr>
                <w:b/>
                <w:color w:val="1B2A41"/>
                <w:sz w:val="17"/>
              </w:rPr>
              <w:t>Final Design</w:t>
            </w:r>
          </w:p>
        </w:tc>
      </w:tr>
      <w:tr>
        <w:trPr>
          <w:cantSplit w:val="true"/>
        </w:trPr>
        <w:tc>
          <w:tcPr>
            <w:tcW w:type="dxa" w:w="3240"/>
            <w:tcMar>
              <w:top w:w="90" w:type="dxa"/>
              <w:start w:w="100" w:type="dxa"/>
              <w:bottom w:w="90" w:type="dxa"/>
              <w:end w:w="100" w:type="dxa"/>
            </w:tcMar>
            <w:vAlign w:val="top"/>
          </w:tcPr>
          <w:p>
            <w:r>
              <w:rPr>
                <w:sz w:val="17"/>
              </w:rPr>
              <w:t>Total questions</w:t>
            </w:r>
          </w:p>
        </w:tc>
        <w:tc>
          <w:tcPr>
            <w:tcW w:type="dxa" w:w="6984"/>
            <w:tcMar>
              <w:top w:w="90" w:type="dxa"/>
              <w:start w:w="100" w:type="dxa"/>
              <w:bottom w:w="90" w:type="dxa"/>
              <w:end w:w="100" w:type="dxa"/>
            </w:tcMar>
            <w:vAlign w:val="top"/>
          </w:tcPr>
          <w:p>
            <w:r>
              <w:rPr>
                <w:sz w:val="17"/>
              </w:rPr>
              <w:t>17</w:t>
            </w:r>
          </w:p>
        </w:tc>
      </w:tr>
      <w:tr>
        <w:trPr>
          <w:cantSplit w:val="true"/>
        </w:trPr>
        <w:tc>
          <w:tcPr>
            <w:tcW w:type="dxa" w:w="3240"/>
            <w:tcMar>
              <w:top w:w="90" w:type="dxa"/>
              <w:start w:w="100" w:type="dxa"/>
              <w:bottom w:w="90" w:type="dxa"/>
              <w:end w:w="100" w:type="dxa"/>
            </w:tcMar>
            <w:vAlign w:val="top"/>
          </w:tcPr>
          <w:p>
            <w:r>
              <w:rPr>
                <w:sz w:val="17"/>
              </w:rPr>
              <w:t>Difficulty distribution</w:t>
            </w:r>
          </w:p>
        </w:tc>
        <w:tc>
          <w:tcPr>
            <w:tcW w:type="dxa" w:w="6984"/>
            <w:tcMar>
              <w:top w:w="90" w:type="dxa"/>
              <w:start w:w="100" w:type="dxa"/>
              <w:bottom w:w="90" w:type="dxa"/>
              <w:end w:w="100" w:type="dxa"/>
            </w:tcMar>
            <w:vAlign w:val="top"/>
          </w:tcPr>
          <w:p>
            <w:r>
              <w:rPr>
                <w:sz w:val="17"/>
              </w:rPr>
              <w:t>Easy: 5 | Moderate: 7 | Difficult: 5</w:t>
            </w:r>
          </w:p>
        </w:tc>
      </w:tr>
      <w:tr>
        <w:trPr>
          <w:cantSplit w:val="true"/>
        </w:trPr>
        <w:tc>
          <w:tcPr>
            <w:tcW w:type="dxa" w:w="3240"/>
            <w:tcMar>
              <w:top w:w="90" w:type="dxa"/>
              <w:start w:w="100" w:type="dxa"/>
              <w:bottom w:w="90" w:type="dxa"/>
              <w:end w:w="100" w:type="dxa"/>
            </w:tcMar>
            <w:vAlign w:val="top"/>
          </w:tcPr>
          <w:p>
            <w:r>
              <w:rPr>
                <w:sz w:val="17"/>
              </w:rPr>
              <w:t>Question-type distribution</w:t>
            </w:r>
          </w:p>
        </w:tc>
        <w:tc>
          <w:tcPr>
            <w:tcW w:type="dxa" w:w="6984"/>
            <w:tcMar>
              <w:top w:w="90" w:type="dxa"/>
              <w:start w:w="100" w:type="dxa"/>
              <w:bottom w:w="90" w:type="dxa"/>
              <w:end w:w="100" w:type="dxa"/>
            </w:tcMar>
            <w:vAlign w:val="top"/>
          </w:tcPr>
          <w:p>
            <w:r>
              <w:rPr>
                <w:sz w:val="17"/>
              </w:rPr>
              <w:t>Application: 5 | Integrated Clinical Reasoning: 2 | Knowledge &amp; Recall: 4 | Scenario-Based: 6</w:t>
            </w:r>
          </w:p>
        </w:tc>
      </w:tr>
      <w:tr>
        <w:trPr>
          <w:cantSplit w:val="true"/>
        </w:trPr>
        <w:tc>
          <w:tcPr>
            <w:tcW w:type="dxa" w:w="3240"/>
            <w:tcMar>
              <w:top w:w="90" w:type="dxa"/>
              <w:start w:w="100" w:type="dxa"/>
              <w:bottom w:w="90" w:type="dxa"/>
              <w:end w:w="100" w:type="dxa"/>
            </w:tcMar>
            <w:vAlign w:val="top"/>
          </w:tcPr>
          <w:p>
            <w:r>
              <w:rPr>
                <w:sz w:val="17"/>
              </w:rPr>
              <w:t>Answer distribution</w:t>
            </w:r>
          </w:p>
        </w:tc>
        <w:tc>
          <w:tcPr>
            <w:tcW w:type="dxa" w:w="6984"/>
            <w:tcMar>
              <w:top w:w="90" w:type="dxa"/>
              <w:start w:w="100" w:type="dxa"/>
              <w:bottom w:w="90" w:type="dxa"/>
              <w:end w:w="100" w:type="dxa"/>
            </w:tcMar>
            <w:vAlign w:val="top"/>
          </w:tcPr>
          <w:p>
            <w:r>
              <w:rPr>
                <w:sz w:val="17"/>
              </w:rPr>
              <w:t>A: 5 | B: 4 | C: 4 | D: 4</w:t>
            </w:r>
          </w:p>
        </w:tc>
      </w:tr>
      <w:tr>
        <w:trPr>
          <w:cantSplit w:val="true"/>
        </w:trPr>
        <w:tc>
          <w:tcPr>
            <w:tcW w:type="dxa" w:w="3240"/>
            <w:tcMar>
              <w:top w:w="90" w:type="dxa"/>
              <w:start w:w="100" w:type="dxa"/>
              <w:bottom w:w="90" w:type="dxa"/>
              <w:end w:w="100" w:type="dxa"/>
            </w:tcMar>
            <w:vAlign w:val="top"/>
          </w:tcPr>
          <w:p>
            <w:r>
              <w:rPr>
                <w:sz w:val="17"/>
              </w:rPr>
              <w:t>Option format</w:t>
            </w:r>
          </w:p>
        </w:tc>
        <w:tc>
          <w:tcPr>
            <w:tcW w:type="dxa" w:w="6984"/>
            <w:tcMar>
              <w:top w:w="90" w:type="dxa"/>
              <w:start w:w="100" w:type="dxa"/>
              <w:bottom w:w="90" w:type="dxa"/>
              <w:end w:w="100" w:type="dxa"/>
            </w:tcMar>
            <w:vAlign w:val="top"/>
          </w:tcPr>
          <w:p>
            <w:r>
              <w:rPr>
                <w:sz w:val="17"/>
              </w:rPr>
              <w:t>10 three-option questions | 7 four-option questions</w:t>
            </w:r>
          </w:p>
        </w:tc>
      </w:tr>
      <w:tr>
        <w:trPr>
          <w:cantSplit w:val="true"/>
        </w:trPr>
        <w:tc>
          <w:tcPr>
            <w:tcW w:type="dxa" w:w="3240"/>
            <w:tcMar>
              <w:top w:w="90" w:type="dxa"/>
              <w:start w:w="100" w:type="dxa"/>
              <w:bottom w:w="90" w:type="dxa"/>
              <w:end w:w="100" w:type="dxa"/>
            </w:tcMar>
            <w:vAlign w:val="top"/>
          </w:tcPr>
          <w:p>
            <w:r>
              <w:rPr>
                <w:sz w:val="17"/>
              </w:rPr>
              <w:t>Source-item status</w:t>
            </w:r>
          </w:p>
        </w:tc>
        <w:tc>
          <w:tcPr>
            <w:tcW w:type="dxa" w:w="6984"/>
            <w:tcMar>
              <w:top w:w="90" w:type="dxa"/>
              <w:start w:w="100" w:type="dxa"/>
              <w:bottom w:w="90" w:type="dxa"/>
              <w:end w:w="100" w:type="dxa"/>
            </w:tcMar>
            <w:vAlign w:val="top"/>
          </w:tcPr>
          <w:p>
            <w:r>
              <w:rPr>
                <w:sz w:val="17"/>
              </w:rPr>
              <w:t>17 selected for the Workbook 2 bank; 33 retained in the internal development reserve</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After answering, study why the keyed option fits the exact qualifier, timing, role, and facts.</w:t>
      </w:r>
    </w:p>
    <w:p>
      <w:pPr>
        <w:pStyle w:val="ListBullet"/>
      </w:pPr>
      <w:r>
        <w:t>Record both incorrect answers and low-confidence correct answers in your study notes.</w:t>
      </w:r>
    </w:p>
    <w:p>
      <w:r>
        <w:br w:type="page"/>
      </w:r>
    </w:p>
    <w:p>
      <w:pPr>
        <w:pStyle w:val="Heading1"/>
      </w:pPr>
      <w:r>
        <w:t>Easy Questions</w:t>
      </w:r>
    </w:p>
    <w:p>
      <w:r>
        <w:rPr>
          <w:i/>
          <w:color w:val="696969"/>
        </w:rPr>
        <w:t>5 questions | Foundational distinctions, examination language, and direct application.</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LCSW-WB02-QB-Q001</w:t>
            </w:r>
          </w:p>
        </w:tc>
        <w:tc>
          <w:tcPr>
            <w:tcW w:type="dxa" w:w="1728"/>
            <w:tcMar>
              <w:top w:w="90" w:type="dxa"/>
              <w:start w:w="100" w:type="dxa"/>
              <w:bottom w:w="90" w:type="dxa"/>
              <w:end w:w="100" w:type="dxa"/>
            </w:tcMar>
            <w:vAlign w:val="top"/>
          </w:tcPr>
          <w:p>
            <w:pPr>
              <w:jc w:val="center"/>
            </w:pPr>
            <w:r>
              <w:rPr>
                <w:b/>
                <w:color w:val="1B2A41"/>
                <w:sz w:val="16"/>
              </w:rPr>
              <w:t>Easy</w:t>
            </w:r>
          </w:p>
        </w:tc>
        <w:tc>
          <w:tcPr>
            <w:tcW w:type="dxa" w:w="2520"/>
            <w:tcMar>
              <w:top w:w="90" w:type="dxa"/>
              <w:start w:w="100" w:type="dxa"/>
              <w:bottom w:w="90" w:type="dxa"/>
              <w:end w:w="100" w:type="dxa"/>
            </w:tcMar>
            <w:vAlign w:val="top"/>
          </w:tcPr>
          <w:p>
            <w:pPr>
              <w:jc w:val="center"/>
            </w:pPr>
            <w:r>
              <w:rPr>
                <w:b/>
                <w:color w:val="1B2A41"/>
                <w:sz w:val="16"/>
              </w:rPr>
              <w:t>Knowledge &amp; Recall</w:t>
            </w:r>
          </w:p>
        </w:tc>
        <w:tc>
          <w:tcPr>
            <w:tcW w:type="dxa" w:w="3672"/>
            <w:tcMar>
              <w:top w:w="90" w:type="dxa"/>
              <w:start w:w="100" w:type="dxa"/>
              <w:bottom w:w="90" w:type="dxa"/>
              <w:end w:w="100" w:type="dxa"/>
            </w:tcMar>
            <w:vAlign w:val="top"/>
          </w:tcPr>
          <w:p>
            <w:pPr>
              <w:jc w:val="center"/>
            </w:pPr>
            <w:r>
              <w:rPr>
                <w:b/>
                <w:color w:val="1B2A41"/>
                <w:sz w:val="16"/>
              </w:rPr>
              <w:t>Dignity and worth in action</w:t>
            </w:r>
          </w:p>
        </w:tc>
      </w:tr>
    </w:tbl>
    <w:p>
      <w:pPr>
        <w:keepNext/>
      </w:pPr>
      <w:r>
        <w:rPr>
          <w:b/>
          <w:color w:val="1B2A41"/>
          <w:sz w:val="22"/>
        </w:rPr>
        <w:t>Question</w:t>
      </w:r>
    </w:p>
    <w:p>
      <w:pPr>
        <w:keepNext/>
      </w:pPr>
      <w:r>
        <w:rPr>
          <w:b/>
        </w:rPr>
        <w:t>Which action BEST translates the social work value of dignity and worth into practice?</w:t>
      </w:r>
    </w:p>
    <w:p>
      <w:pPr>
        <w:pStyle w:val="Option"/>
        <w:keepNext/>
      </w:pPr>
      <w:r>
        <w:rPr>
          <w:b/>
        </w:rPr>
        <w:t xml:space="preserve">A. </w:t>
      </w:r>
      <w:r>
        <w:t>Agreeing with every client request regardless of safety or scope.</w:t>
      </w:r>
    </w:p>
    <w:p>
      <w:pPr>
        <w:pStyle w:val="Option"/>
        <w:keepNext/>
      </w:pPr>
      <w:r>
        <w:rPr>
          <w:b/>
        </w:rPr>
        <w:t xml:space="preserve">B. </w:t>
      </w:r>
      <w:r>
        <w:t>Using respectful language and involving the client in decisions that affect the client.</w:t>
      </w:r>
    </w:p>
    <w:p>
      <w:pPr>
        <w:pStyle w:val="Option"/>
        <w:keepNext/>
      </w:pPr>
      <w:r>
        <w:rPr>
          <w:b/>
        </w:rPr>
        <w:t xml:space="preserve">C. </w:t>
      </w:r>
      <w:r>
        <w:t>Making decisions for the client to reduce stress.</w:t>
      </w:r>
    </w:p>
    <w:p>
      <w:r>
        <w:rPr>
          <w:b/>
          <w:color w:val="237852"/>
        </w:rPr>
        <w:t>Correct Answer: B</w:t>
      </w:r>
    </w:p>
    <w:p>
      <w:pPr>
        <w:keepNext/>
      </w:pPr>
      <w:r>
        <w:rPr>
          <w:b/>
          <w:color w:val="1B2A41"/>
          <w:sz w:val="22"/>
        </w:rPr>
        <w:t>Rationales</w:t>
      </w:r>
    </w:p>
    <w:p>
      <w:pPr>
        <w:pStyle w:val="Rationale"/>
      </w:pPr>
      <w:r>
        <w:rPr>
          <w:b/>
          <w:color w:val="A02D2D"/>
        </w:rPr>
        <w:t xml:space="preserve">A. </w:t>
      </w:r>
      <w:r>
        <w:t>Incorrect. Respect does not eliminate professional duties or safety limits.</w:t>
      </w:r>
    </w:p>
    <w:p>
      <w:pPr>
        <w:pStyle w:val="Rationale"/>
      </w:pPr>
      <w:r>
        <w:rPr>
          <w:b/>
          <w:color w:val="237852"/>
        </w:rPr>
        <w:t xml:space="preserve">B. </w:t>
      </w:r>
      <w:r>
        <w:t>Correct. Dignity and worth are demonstrated through respect, participation, and nonpunitive treatment.</w:t>
      </w:r>
    </w:p>
    <w:p>
      <w:pPr>
        <w:pStyle w:val="Rationale"/>
      </w:pPr>
      <w:r>
        <w:rPr>
          <w:b/>
          <w:color w:val="A02D2D"/>
        </w:rPr>
        <w:t xml:space="preserve">C. </w:t>
      </w:r>
      <w:r>
        <w:t>Incorrect. Paternalism can undermine participation and self-determination.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Look for the answer that preserves the client's voice without abandoning professional responsibility.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LCSW-WB02-QB-Q002</w:t>
            </w:r>
          </w:p>
        </w:tc>
        <w:tc>
          <w:tcPr>
            <w:tcW w:type="dxa" w:w="1728"/>
            <w:tcMar>
              <w:top w:w="90" w:type="dxa"/>
              <w:start w:w="100" w:type="dxa"/>
              <w:bottom w:w="90" w:type="dxa"/>
              <w:end w:w="100" w:type="dxa"/>
            </w:tcMar>
            <w:vAlign w:val="top"/>
          </w:tcPr>
          <w:p>
            <w:pPr>
              <w:jc w:val="center"/>
            </w:pPr>
            <w:r>
              <w:rPr>
                <w:b/>
                <w:color w:val="1B2A41"/>
                <w:sz w:val="16"/>
              </w:rPr>
              <w:t>Easy</w:t>
            </w:r>
          </w:p>
        </w:tc>
        <w:tc>
          <w:tcPr>
            <w:tcW w:type="dxa" w:w="2520"/>
            <w:tcMar>
              <w:top w:w="90" w:type="dxa"/>
              <w:start w:w="100" w:type="dxa"/>
              <w:bottom w:w="90" w:type="dxa"/>
              <w:end w:w="100" w:type="dxa"/>
            </w:tcMar>
            <w:vAlign w:val="top"/>
          </w:tcPr>
          <w:p>
            <w:pPr>
              <w:jc w:val="center"/>
            </w:pPr>
            <w:r>
              <w:rPr>
                <w:b/>
                <w:color w:val="1B2A41"/>
                <w:sz w:val="16"/>
              </w:rPr>
              <w:t>Knowledge &amp; Recall</w:t>
            </w:r>
          </w:p>
        </w:tc>
        <w:tc>
          <w:tcPr>
            <w:tcW w:type="dxa" w:w="3672"/>
            <w:tcMar>
              <w:top w:w="90" w:type="dxa"/>
              <w:start w:w="100" w:type="dxa"/>
              <w:bottom w:w="90" w:type="dxa"/>
              <w:end w:w="100" w:type="dxa"/>
            </w:tcMar>
            <w:vAlign w:val="top"/>
          </w:tcPr>
          <w:p>
            <w:pPr>
              <w:jc w:val="center"/>
            </w:pPr>
            <w:r>
              <w:rPr>
                <w:b/>
                <w:color w:val="1B2A41"/>
                <w:sz w:val="16"/>
              </w:rPr>
              <w:t>Ongoing informed consent</w:t>
            </w:r>
          </w:p>
        </w:tc>
      </w:tr>
    </w:tbl>
    <w:p>
      <w:pPr>
        <w:keepNext/>
      </w:pPr>
      <w:r>
        <w:rPr>
          <w:b/>
          <w:color w:val="1B2A41"/>
          <w:sz w:val="22"/>
        </w:rPr>
        <w:t>Question</w:t>
      </w:r>
    </w:p>
    <w:p>
      <w:pPr>
        <w:keepNext/>
      </w:pPr>
      <w:r>
        <w:rPr>
          <w:b/>
        </w:rPr>
        <w:t>Why is informed consent considered an ongoing process?</w:t>
      </w:r>
    </w:p>
    <w:p>
      <w:pPr>
        <w:pStyle w:val="Option"/>
        <w:keepNext/>
      </w:pPr>
      <w:r>
        <w:rPr>
          <w:b/>
        </w:rPr>
        <w:t xml:space="preserve">A. </w:t>
      </w:r>
      <w:r>
        <w:t>Because understanding and choice must be revisited when roles, risks, participants, technology, or services change.</w:t>
      </w:r>
    </w:p>
    <w:p>
      <w:pPr>
        <w:pStyle w:val="Option"/>
        <w:keepNext/>
      </w:pPr>
      <w:r>
        <w:rPr>
          <w:b/>
        </w:rPr>
        <w:t xml:space="preserve">B. </w:t>
      </w:r>
      <w:r>
        <w:t>Because the client must sign the same form at every contact.</w:t>
      </w:r>
    </w:p>
    <w:p>
      <w:pPr>
        <w:pStyle w:val="Option"/>
        <w:keepNext/>
      </w:pPr>
      <w:r>
        <w:rPr>
          <w:b/>
        </w:rPr>
        <w:t xml:space="preserve">C. </w:t>
      </w:r>
      <w:r>
        <w:t>Because informed consent is needed only after a problem occurs.</w:t>
      </w:r>
    </w:p>
    <w:p>
      <w:r>
        <w:rPr>
          <w:b/>
          <w:color w:val="237852"/>
        </w:rPr>
        <w:t>Correct Answer: A</w:t>
      </w:r>
    </w:p>
    <w:p>
      <w:pPr>
        <w:keepNext/>
      </w:pPr>
      <w:r>
        <w:rPr>
          <w:b/>
          <w:color w:val="1B2A41"/>
          <w:sz w:val="22"/>
        </w:rPr>
        <w:t>Rationales</w:t>
      </w:r>
    </w:p>
    <w:p>
      <w:pPr>
        <w:pStyle w:val="Rationale"/>
      </w:pPr>
      <w:r>
        <w:rPr>
          <w:b/>
          <w:color w:val="237852"/>
        </w:rPr>
        <w:t xml:space="preserve">A. </w:t>
      </w:r>
      <w:r>
        <w:t>Correct. A signature cannot anticipate every material change in the service relationship.</w:t>
      </w:r>
    </w:p>
    <w:p>
      <w:pPr>
        <w:pStyle w:val="Rationale"/>
      </w:pPr>
      <w:r>
        <w:rPr>
          <w:b/>
          <w:color w:val="A02D2D"/>
        </w:rPr>
        <w:t xml:space="preserve">B. </w:t>
      </w:r>
      <w:r>
        <w:t>Incorrect. Ongoing consent is a communication process, not automatic repetitive paperwork.</w:t>
      </w:r>
    </w:p>
    <w:p>
      <w:pPr>
        <w:pStyle w:val="Rationale"/>
      </w:pPr>
      <w:r>
        <w:rPr>
          <w:b/>
          <w:color w:val="A02D2D"/>
        </w:rPr>
        <w:t xml:space="preserve">C. </w:t>
      </w:r>
      <w:r>
        <w:t>Incorrect. Consent begins before or at service initiation and continues as circumstances change.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Ask whether the client has understandable information and a meaningful choice under the current service conditions.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LCSW-WB02-QB-Q003</w:t>
            </w:r>
          </w:p>
        </w:tc>
        <w:tc>
          <w:tcPr>
            <w:tcW w:type="dxa" w:w="1728"/>
            <w:tcMar>
              <w:top w:w="90" w:type="dxa"/>
              <w:start w:w="100" w:type="dxa"/>
              <w:bottom w:w="90" w:type="dxa"/>
              <w:end w:w="100" w:type="dxa"/>
            </w:tcMar>
            <w:vAlign w:val="top"/>
          </w:tcPr>
          <w:p>
            <w:pPr>
              <w:jc w:val="center"/>
            </w:pPr>
            <w:r>
              <w:rPr>
                <w:b/>
                <w:color w:val="1B2A41"/>
                <w:sz w:val="16"/>
              </w:rPr>
              <w:t>Easy</w:t>
            </w:r>
          </w:p>
        </w:tc>
        <w:tc>
          <w:tcPr>
            <w:tcW w:type="dxa" w:w="2520"/>
            <w:tcMar>
              <w:top w:w="90" w:type="dxa"/>
              <w:start w:w="100" w:type="dxa"/>
              <w:bottom w:w="90" w:type="dxa"/>
              <w:end w:w="100" w:type="dxa"/>
            </w:tcMar>
            <w:vAlign w:val="top"/>
          </w:tcPr>
          <w:p>
            <w:pPr>
              <w:jc w:val="center"/>
            </w:pPr>
            <w:r>
              <w:rPr>
                <w:b/>
                <w:color w:val="1B2A41"/>
                <w:sz w:val="16"/>
              </w:rPr>
              <w:t>Knowledge &amp; Recall</w:t>
            </w:r>
          </w:p>
        </w:tc>
        <w:tc>
          <w:tcPr>
            <w:tcW w:type="dxa" w:w="3672"/>
            <w:tcMar>
              <w:top w:w="90" w:type="dxa"/>
              <w:start w:w="100" w:type="dxa"/>
              <w:bottom w:w="90" w:type="dxa"/>
              <w:end w:w="100" w:type="dxa"/>
            </w:tcMar>
            <w:vAlign w:val="top"/>
          </w:tcPr>
          <w:p>
            <w:pPr>
              <w:jc w:val="center"/>
            </w:pPr>
            <w:r>
              <w:rPr>
                <w:b/>
                <w:color w:val="1B2A41"/>
                <w:sz w:val="16"/>
              </w:rPr>
              <w:t>Limits on self-determination</w:t>
            </w:r>
          </w:p>
        </w:tc>
      </w:tr>
    </w:tbl>
    <w:p>
      <w:pPr>
        <w:keepNext/>
      </w:pPr>
      <w:r>
        <w:rPr>
          <w:b/>
          <w:color w:val="1B2A41"/>
          <w:sz w:val="22"/>
        </w:rPr>
        <w:t>Question</w:t>
      </w:r>
    </w:p>
    <w:p>
      <w:pPr>
        <w:keepNext/>
      </w:pPr>
      <w:r>
        <w:rPr>
          <w:b/>
        </w:rPr>
        <w:t>Client self-determination may be limited MOST appropriately when:</w:t>
      </w:r>
    </w:p>
    <w:p>
      <w:pPr>
        <w:pStyle w:val="Option"/>
        <w:keepNext/>
      </w:pPr>
      <w:r>
        <w:rPr>
          <w:b/>
        </w:rPr>
        <w:t xml:space="preserve">A. </w:t>
      </w:r>
      <w:r>
        <w:t>The social worker strongly disagrees with the client's values.</w:t>
      </w:r>
    </w:p>
    <w:p>
      <w:pPr>
        <w:pStyle w:val="Option"/>
        <w:keepNext/>
      </w:pPr>
      <w:r>
        <w:rPr>
          <w:b/>
        </w:rPr>
        <w:t xml:space="preserve">B. </w:t>
      </w:r>
      <w:r>
        <w:t>The client chooses an option with some risk.</w:t>
      </w:r>
    </w:p>
    <w:p>
      <w:pPr>
        <w:pStyle w:val="Option"/>
        <w:keepNext/>
      </w:pPr>
      <w:r>
        <w:rPr>
          <w:b/>
        </w:rPr>
        <w:t xml:space="preserve">C. </w:t>
      </w:r>
      <w:r>
        <w:t>A specific legal duty, decision-specific incapacity, or serious safety concern justifies a proportionate response.</w:t>
      </w:r>
    </w:p>
    <w:p>
      <w:pPr>
        <w:pStyle w:val="Option"/>
        <w:keepNext/>
      </w:pPr>
      <w:r>
        <w:rPr>
          <w:b/>
        </w:rPr>
        <w:t xml:space="preserve">D. </w:t>
      </w:r>
      <w:r>
        <w:t>Family members prefer a different decision.</w:t>
      </w:r>
    </w:p>
    <w:p>
      <w:r>
        <w:rPr>
          <w:b/>
          <w:color w:val="237852"/>
        </w:rPr>
        <w:t>Correct Answer: C</w:t>
      </w:r>
    </w:p>
    <w:p>
      <w:pPr>
        <w:keepNext/>
      </w:pPr>
      <w:r>
        <w:rPr>
          <w:b/>
          <w:color w:val="1B2A41"/>
          <w:sz w:val="22"/>
        </w:rPr>
        <w:t>Rationales</w:t>
      </w:r>
    </w:p>
    <w:p>
      <w:pPr>
        <w:pStyle w:val="Rationale"/>
      </w:pPr>
      <w:r>
        <w:rPr>
          <w:b/>
          <w:color w:val="A02D2D"/>
        </w:rPr>
        <w:t xml:space="preserve">A. </w:t>
      </w:r>
      <w:r>
        <w:t>Incorrect. Professional disagreement alone does not justify overriding choice.</w:t>
      </w:r>
    </w:p>
    <w:p>
      <w:pPr>
        <w:pStyle w:val="Rationale"/>
      </w:pPr>
      <w:r>
        <w:rPr>
          <w:b/>
          <w:color w:val="A02D2D"/>
        </w:rPr>
        <w:t xml:space="preserve">B. </w:t>
      </w:r>
      <w:r>
        <w:t>Incorrect. Risky choice does not automatically establish incapacity or authority to control the client.</w:t>
      </w:r>
    </w:p>
    <w:p>
      <w:pPr>
        <w:pStyle w:val="Rationale"/>
      </w:pPr>
      <w:r>
        <w:rPr>
          <w:b/>
          <w:color w:val="237852"/>
        </w:rPr>
        <w:t xml:space="preserve">C. </w:t>
      </w:r>
      <w:r>
        <w:t>Correct. Limits require a supported reason and should be no broader than necessary.</w:t>
      </w:r>
    </w:p>
    <w:p>
      <w:pPr>
        <w:pStyle w:val="Rationale"/>
      </w:pPr>
      <w:r>
        <w:rPr>
          <w:b/>
          <w:color w:val="A02D2D"/>
        </w:rPr>
        <w:t xml:space="preserve">D. </w:t>
      </w:r>
      <w:r>
        <w:t>Incorrect. Family concern can inform assessment but does not automatically replace an adult client's choice.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limit needs a specific basis, not discomfort, disagreement, or general risk aversion.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LCSW-WB02-QB-Q004</w:t>
            </w:r>
          </w:p>
        </w:tc>
        <w:tc>
          <w:tcPr>
            <w:tcW w:type="dxa" w:w="1728"/>
            <w:tcMar>
              <w:top w:w="90" w:type="dxa"/>
              <w:start w:w="100" w:type="dxa"/>
              <w:bottom w:w="90" w:type="dxa"/>
              <w:end w:w="100" w:type="dxa"/>
            </w:tcMar>
            <w:vAlign w:val="top"/>
          </w:tcPr>
          <w:p>
            <w:pPr>
              <w:jc w:val="center"/>
            </w:pPr>
            <w:r>
              <w:rPr>
                <w:b/>
                <w:color w:val="1B2A41"/>
                <w:sz w:val="16"/>
              </w:rPr>
              <w:t>Easy</w:t>
            </w:r>
          </w:p>
        </w:tc>
        <w:tc>
          <w:tcPr>
            <w:tcW w:type="dxa" w:w="2520"/>
            <w:tcMar>
              <w:top w:w="90" w:type="dxa"/>
              <w:start w:w="100" w:type="dxa"/>
              <w:bottom w:w="90" w:type="dxa"/>
              <w:end w:w="100" w:type="dxa"/>
            </w:tcMar>
            <w:vAlign w:val="top"/>
          </w:tcPr>
          <w:p>
            <w:pPr>
              <w:jc w:val="center"/>
            </w:pPr>
            <w:r>
              <w:rPr>
                <w:b/>
                <w:color w:val="1B2A41"/>
                <w:sz w:val="16"/>
              </w:rPr>
              <w:t>Knowledge &amp; Recall</w:t>
            </w:r>
          </w:p>
        </w:tc>
        <w:tc>
          <w:tcPr>
            <w:tcW w:type="dxa" w:w="3672"/>
            <w:tcMar>
              <w:top w:w="90" w:type="dxa"/>
              <w:start w:w="100" w:type="dxa"/>
              <w:bottom w:w="90" w:type="dxa"/>
              <w:end w:w="100" w:type="dxa"/>
            </w:tcMar>
            <w:vAlign w:val="top"/>
          </w:tcPr>
          <w:p>
            <w:pPr>
              <w:jc w:val="center"/>
            </w:pPr>
            <w:r>
              <w:rPr>
                <w:b/>
                <w:color w:val="1B2A41"/>
                <w:sz w:val="16"/>
              </w:rPr>
              <w:t>Competence and continuity</w:t>
            </w:r>
          </w:p>
        </w:tc>
      </w:tr>
    </w:tbl>
    <w:p>
      <w:pPr>
        <w:keepNext/>
      </w:pPr>
      <w:r>
        <w:rPr>
          <w:b/>
          <w:color w:val="1B2A41"/>
          <w:sz w:val="22"/>
        </w:rPr>
        <w:t>Question</w:t>
      </w:r>
    </w:p>
    <w:p>
      <w:pPr>
        <w:keepNext/>
      </w:pPr>
      <w:r>
        <w:rPr>
          <w:b/>
        </w:rPr>
        <w:t>When a social worker lacks competence for a needed specialized service, the PRIMARY ethical responsibility is to:</w:t>
      </w:r>
    </w:p>
    <w:p>
      <w:pPr>
        <w:pStyle w:val="Option"/>
        <w:keepNext/>
      </w:pPr>
      <w:r>
        <w:rPr>
          <w:b/>
        </w:rPr>
        <w:t xml:space="preserve">A. </w:t>
      </w:r>
      <w:r>
        <w:t>Attempt the service independently because access is limited.</w:t>
      </w:r>
    </w:p>
    <w:p>
      <w:pPr>
        <w:pStyle w:val="Option"/>
        <w:keepNext/>
      </w:pPr>
      <w:r>
        <w:rPr>
          <w:b/>
        </w:rPr>
        <w:t xml:space="preserve">B. </w:t>
      </w:r>
      <w:r>
        <w:t>End all contact without transition.</w:t>
      </w:r>
    </w:p>
    <w:p>
      <w:pPr>
        <w:pStyle w:val="Option"/>
        <w:keepNext/>
      </w:pPr>
      <w:r>
        <w:rPr>
          <w:b/>
        </w:rPr>
        <w:t xml:space="preserve">C. </w:t>
      </w:r>
      <w:r>
        <w:t>Ask the client to waive the competence concern.</w:t>
      </w:r>
    </w:p>
    <w:p>
      <w:pPr>
        <w:pStyle w:val="Option"/>
        <w:keepNext/>
      </w:pPr>
      <w:r>
        <w:rPr>
          <w:b/>
        </w:rPr>
        <w:t xml:space="preserve">D. </w:t>
      </w:r>
      <w:r>
        <w:t>Protect continuity through supervision, consultation, training, referral, or coordinated alternatives.</w:t>
      </w:r>
    </w:p>
    <w:p>
      <w:r>
        <w:rPr>
          <w:b/>
          <w:color w:val="237852"/>
        </w:rPr>
        <w:t>Correct Answer: D</w:t>
      </w:r>
    </w:p>
    <w:p>
      <w:pPr>
        <w:keepNext/>
      </w:pPr>
      <w:r>
        <w:rPr>
          <w:b/>
          <w:color w:val="1B2A41"/>
          <w:sz w:val="22"/>
        </w:rPr>
        <w:t>Rationales</w:t>
      </w:r>
    </w:p>
    <w:p>
      <w:pPr>
        <w:pStyle w:val="Rationale"/>
      </w:pPr>
      <w:r>
        <w:rPr>
          <w:b/>
          <w:color w:val="A02D2D"/>
        </w:rPr>
        <w:t xml:space="preserve">A. </w:t>
      </w:r>
      <w:r>
        <w:t>Incorrect. Limited access does not create competence.</w:t>
      </w:r>
    </w:p>
    <w:p>
      <w:pPr>
        <w:pStyle w:val="Rationale"/>
      </w:pPr>
      <w:r>
        <w:rPr>
          <w:b/>
          <w:color w:val="A02D2D"/>
        </w:rPr>
        <w:t xml:space="preserve">B. </w:t>
      </w:r>
      <w:r>
        <w:t>Incorrect. Abrupt withdrawal can harm the client and ignores continuity.</w:t>
      </w:r>
    </w:p>
    <w:p>
      <w:pPr>
        <w:pStyle w:val="Rationale"/>
      </w:pPr>
      <w:r>
        <w:rPr>
          <w:b/>
          <w:color w:val="A02D2D"/>
        </w:rPr>
        <w:t xml:space="preserve">C. </w:t>
      </w:r>
      <w:r>
        <w:t>Incorrect. Client consent cannot create professional competence.</w:t>
      </w:r>
    </w:p>
    <w:p>
      <w:pPr>
        <w:pStyle w:val="Rationale"/>
      </w:pPr>
      <w:r>
        <w:rPr>
          <w:b/>
          <w:color w:val="237852"/>
        </w:rPr>
        <w:t xml:space="preserve">D. </w:t>
      </w:r>
      <w:r>
        <w:t>Correct. Competence limits require a client-protective plan rather than concealment or abrupt abandonment.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competence problem triggers a protection and continuity plan, not improvisation or abandonment.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LCSW-WB02-QB-Q005</w:t>
            </w:r>
          </w:p>
        </w:tc>
        <w:tc>
          <w:tcPr>
            <w:tcW w:type="dxa" w:w="1728"/>
            <w:tcMar>
              <w:top w:w="90" w:type="dxa"/>
              <w:start w:w="100" w:type="dxa"/>
              <w:bottom w:w="90" w:type="dxa"/>
              <w:end w:w="100" w:type="dxa"/>
            </w:tcMar>
            <w:vAlign w:val="top"/>
          </w:tcPr>
          <w:p>
            <w:pPr>
              <w:jc w:val="center"/>
            </w:pPr>
            <w:r>
              <w:rPr>
                <w:b/>
                <w:color w:val="1B2A41"/>
                <w:sz w:val="16"/>
              </w:rPr>
              <w:t>Easy</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Medical self-determination</w:t>
            </w:r>
          </w:p>
        </w:tc>
      </w:tr>
    </w:tbl>
    <w:p>
      <w:pPr>
        <w:keepNext/>
      </w:pPr>
      <w:r>
        <w:rPr>
          <w:b/>
          <w:color w:val="1B2A41"/>
          <w:sz w:val="22"/>
        </w:rPr>
        <w:t>Question</w:t>
      </w:r>
    </w:p>
    <w:p>
      <w:pPr>
        <w:keepNext/>
      </w:pPr>
      <w:r>
        <w:rPr>
          <w:b/>
        </w:rPr>
        <w:t>A capable adult client plans to stop a medical treatment because side effects threaten employment. What is the social worker's BEST response?</w:t>
      </w:r>
    </w:p>
    <w:p>
      <w:pPr>
        <w:pStyle w:val="Option"/>
        <w:keepNext/>
      </w:pPr>
      <w:r>
        <w:rPr>
          <w:b/>
        </w:rPr>
        <w:t xml:space="preserve">A. </w:t>
      </w:r>
      <w:r>
        <w:t>Explore understanding, risks, alternatives, values, and access pressures, and support communication with the medical team while respecting informed choice.</w:t>
      </w:r>
    </w:p>
    <w:p>
      <w:pPr>
        <w:pStyle w:val="Option"/>
        <w:keepNext/>
      </w:pPr>
      <w:r>
        <w:rPr>
          <w:b/>
        </w:rPr>
        <w:t xml:space="preserve">B. </w:t>
      </w:r>
      <w:r>
        <w:t>Tell the client to continue because the physician knows best.</w:t>
      </w:r>
    </w:p>
    <w:p>
      <w:pPr>
        <w:pStyle w:val="Option"/>
        <w:keepNext/>
      </w:pPr>
      <w:r>
        <w:rPr>
          <w:b/>
        </w:rPr>
        <w:t xml:space="preserve">C. </w:t>
      </w:r>
      <w:r>
        <w:t>Avoid discussing the decision because it is medical.</w:t>
      </w:r>
    </w:p>
    <w:p>
      <w:r>
        <w:rPr>
          <w:b/>
          <w:color w:val="237852"/>
        </w:rPr>
        <w:t>Correct Answer: A</w:t>
      </w:r>
    </w:p>
    <w:p>
      <w:pPr>
        <w:keepNext/>
      </w:pPr>
      <w:r>
        <w:rPr>
          <w:b/>
          <w:color w:val="1B2A41"/>
          <w:sz w:val="22"/>
        </w:rPr>
        <w:t>Rationales</w:t>
      </w:r>
    </w:p>
    <w:p>
      <w:pPr>
        <w:pStyle w:val="Rationale"/>
      </w:pPr>
      <w:r>
        <w:rPr>
          <w:b/>
          <w:color w:val="237852"/>
        </w:rPr>
        <w:t xml:space="preserve">A. </w:t>
      </w:r>
      <w:r>
        <w:t>Correct. The worker supports self-determination and helps improve the quality of the decision without prescribing or coercing.</w:t>
      </w:r>
    </w:p>
    <w:p>
      <w:pPr>
        <w:pStyle w:val="Rationale"/>
      </w:pPr>
      <w:r>
        <w:rPr>
          <w:b/>
          <w:color w:val="A02D2D"/>
        </w:rPr>
        <w:t xml:space="preserve">B. </w:t>
      </w:r>
      <w:r>
        <w:t>Incorrect. This substitutes professional preference for informed client choice.</w:t>
      </w:r>
    </w:p>
    <w:p>
      <w:pPr>
        <w:pStyle w:val="Rationale"/>
      </w:pPr>
      <w:r>
        <w:rPr>
          <w:b/>
          <w:color w:val="A02D2D"/>
        </w:rPr>
        <w:t xml:space="preserve">C. </w:t>
      </w:r>
      <w:r>
        <w:t>Incorrect. The social worker can support understanding, values clarification, access, and coordination within role.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Help the client make an informed decision; do not take over the medical choice.</w:t>
            </w:r>
          </w:p>
        </w:tc>
      </w:tr>
    </w:tbl>
    <w:p/>
    <w:p>
      <w:r>
        <w:br w:type="page"/>
      </w:r>
    </w:p>
    <w:p>
      <w:pPr>
        <w:pStyle w:val="Heading1"/>
      </w:pPr>
      <w:r>
        <w:t>Moderate Questions</w:t>
      </w:r>
    </w:p>
    <w:p>
      <w:r>
        <w:rPr>
          <w:i/>
          <w:color w:val="696969"/>
        </w:rPr>
        <w:t>7 questions | Applied sequencing and realistic clinical decision-making.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LCSW-WB02-QB-Q006</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Cultural meaning of gifts</w:t>
            </w:r>
          </w:p>
        </w:tc>
      </w:tr>
    </w:tbl>
    <w:p>
      <w:pPr>
        <w:keepNext/>
      </w:pPr>
      <w:r>
        <w:rPr>
          <w:b/>
          <w:color w:val="1B2A41"/>
          <w:sz w:val="22"/>
        </w:rPr>
        <w:t>Question</w:t>
      </w:r>
    </w:p>
    <w:p>
      <w:pPr>
        <w:keepNext/>
      </w:pPr>
      <w:r>
        <w:rPr>
          <w:b/>
        </w:rPr>
        <w:t>A client offers a small handmade item with significant cultural meaning. What is the social worker's BEST next step?</w:t>
      </w:r>
    </w:p>
    <w:p>
      <w:pPr>
        <w:pStyle w:val="Option"/>
        <w:keepNext/>
      </w:pPr>
      <w:r>
        <w:rPr>
          <w:b/>
        </w:rPr>
        <w:t xml:space="preserve">A. </w:t>
      </w:r>
      <w:r>
        <w:t>Accept it immediately because culture eliminates boundary concerns.</w:t>
      </w:r>
    </w:p>
    <w:p>
      <w:pPr>
        <w:pStyle w:val="Option"/>
        <w:keepNext/>
      </w:pPr>
      <w:r>
        <w:rPr>
          <w:b/>
        </w:rPr>
        <w:t xml:space="preserve">B. </w:t>
      </w:r>
      <w:r>
        <w:t>Explore the meaning, value, policy, power dynamics, alternatives, and likely impact before deciding and explaining the response.</w:t>
      </w:r>
    </w:p>
    <w:p>
      <w:pPr>
        <w:pStyle w:val="Option"/>
        <w:keepNext/>
      </w:pPr>
      <w:r>
        <w:rPr>
          <w:b/>
        </w:rPr>
        <w:t xml:space="preserve">C. </w:t>
      </w:r>
      <w:r>
        <w:t>Reject it without discussion because all gifts are unethical.</w:t>
      </w:r>
    </w:p>
    <w:p>
      <w:r>
        <w:rPr>
          <w:b/>
          <w:color w:val="237852"/>
        </w:rPr>
        <w:t>Correct Answer: B</w:t>
      </w:r>
    </w:p>
    <w:p>
      <w:pPr>
        <w:keepNext/>
      </w:pPr>
      <w:r>
        <w:rPr>
          <w:b/>
          <w:color w:val="1B2A41"/>
          <w:sz w:val="22"/>
        </w:rPr>
        <w:t>Rationales</w:t>
      </w:r>
    </w:p>
    <w:p>
      <w:pPr>
        <w:pStyle w:val="Rationale"/>
      </w:pPr>
      <w:r>
        <w:rPr>
          <w:b/>
          <w:color w:val="A02D2D"/>
        </w:rPr>
        <w:t xml:space="preserve">A. </w:t>
      </w:r>
      <w:r>
        <w:t>Incorrect. Cultural meaning matters but does not erase power or policy considerations.</w:t>
      </w:r>
    </w:p>
    <w:p>
      <w:pPr>
        <w:pStyle w:val="Rationale"/>
      </w:pPr>
      <w:r>
        <w:rPr>
          <w:b/>
          <w:color w:val="237852"/>
        </w:rPr>
        <w:t xml:space="preserve">B. </w:t>
      </w:r>
      <w:r>
        <w:t>Correct. A culturally responsive boundary decision avoids both automatic acceptance and automatic rejection.</w:t>
      </w:r>
    </w:p>
    <w:p>
      <w:pPr>
        <w:pStyle w:val="Rationale"/>
      </w:pPr>
      <w:r>
        <w:rPr>
          <w:b/>
          <w:color w:val="A02D2D"/>
        </w:rPr>
        <w:t xml:space="preserve">C. </w:t>
      </w:r>
      <w:r>
        <w:t>Incorrect. A rigid response can cause unnecessary harm and ignores context.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Neither acceptance nor rejection is automatic; assess meaning, power, value, and impact.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LCSW-WB02-QB-Q007</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Transparent record correction</w:t>
            </w:r>
          </w:p>
        </w:tc>
      </w:tr>
    </w:tbl>
    <w:p>
      <w:pPr>
        <w:keepNext/>
      </w:pPr>
      <w:r>
        <w:rPr>
          <w:b/>
          <w:color w:val="1B2A41"/>
          <w:sz w:val="22"/>
        </w:rPr>
        <w:t>Question</w:t>
      </w:r>
    </w:p>
    <w:p>
      <w:pPr>
        <w:keepNext/>
      </w:pPr>
      <w:r>
        <w:rPr>
          <w:b/>
        </w:rPr>
        <w:t>A social worker notices that yesterday's note lists the wrong medication and visit time. What should the worker do NEXT?</w:t>
      </w:r>
    </w:p>
    <w:p>
      <w:pPr>
        <w:pStyle w:val="Option"/>
        <w:keepNext/>
      </w:pPr>
      <w:r>
        <w:rPr>
          <w:b/>
        </w:rPr>
        <w:t xml:space="preserve">A. </w:t>
      </w:r>
      <w:r>
        <w:t>Delete the note and recreate it as though the error never occurred.</w:t>
      </w:r>
    </w:p>
    <w:p>
      <w:pPr>
        <w:pStyle w:val="Option"/>
        <w:keepNext/>
      </w:pPr>
      <w:r>
        <w:rPr>
          <w:b/>
        </w:rPr>
        <w:t xml:space="preserve">B. </w:t>
      </w:r>
      <w:r>
        <w:t>Leave the error because corrections increase liability.</w:t>
      </w:r>
    </w:p>
    <w:p>
      <w:pPr>
        <w:pStyle w:val="Option"/>
        <w:keepNext/>
      </w:pPr>
      <w:r>
        <w:rPr>
          <w:b/>
        </w:rPr>
        <w:t xml:space="preserve">C. </w:t>
      </w:r>
      <w:r>
        <w:t>Correct the record through a dated, transparent amendment that preserves the original entry according to policy.</w:t>
      </w:r>
    </w:p>
    <w:p>
      <w:pPr>
        <w:pStyle w:val="Option"/>
        <w:keepNext/>
      </w:pPr>
      <w:r>
        <w:rPr>
          <w:b/>
        </w:rPr>
        <w:t xml:space="preserve">D. </w:t>
      </w:r>
      <w:r>
        <w:t>Ask a coworker to edit the note under the coworker's login.</w:t>
      </w:r>
    </w:p>
    <w:p>
      <w:r>
        <w:rPr>
          <w:b/>
          <w:color w:val="237852"/>
        </w:rPr>
        <w:t>Correct Answer: C</w:t>
      </w:r>
    </w:p>
    <w:p>
      <w:pPr>
        <w:keepNext/>
      </w:pPr>
      <w:r>
        <w:rPr>
          <w:b/>
          <w:color w:val="1B2A41"/>
          <w:sz w:val="22"/>
        </w:rPr>
        <w:t>Rationales</w:t>
      </w:r>
    </w:p>
    <w:p>
      <w:pPr>
        <w:pStyle w:val="Rationale"/>
      </w:pPr>
      <w:r>
        <w:rPr>
          <w:b/>
          <w:color w:val="A02D2D"/>
        </w:rPr>
        <w:t xml:space="preserve">A. </w:t>
      </w:r>
      <w:r>
        <w:t>Incorrect. Silent deletion creates a misleading history.</w:t>
      </w:r>
    </w:p>
    <w:p>
      <w:pPr>
        <w:pStyle w:val="Rationale"/>
      </w:pPr>
      <w:r>
        <w:rPr>
          <w:b/>
          <w:color w:val="A02D2D"/>
        </w:rPr>
        <w:t xml:space="preserve">B. </w:t>
      </w:r>
      <w:r>
        <w:t>Incorrect. Known inaccuracies should be corrected appropriately.</w:t>
      </w:r>
    </w:p>
    <w:p>
      <w:pPr>
        <w:pStyle w:val="Rationale"/>
      </w:pPr>
      <w:r>
        <w:rPr>
          <w:b/>
          <w:color w:val="237852"/>
        </w:rPr>
        <w:t xml:space="preserve">C. </w:t>
      </w:r>
      <w:r>
        <w:t>Correct. Record integrity requires an auditable correction rather than silent replacement or backdating.</w:t>
      </w:r>
    </w:p>
    <w:p>
      <w:pPr>
        <w:pStyle w:val="Rationale"/>
      </w:pPr>
      <w:r>
        <w:rPr>
          <w:b/>
          <w:color w:val="A02D2D"/>
        </w:rPr>
        <w:t xml:space="preserve">D. </w:t>
      </w:r>
      <w:r>
        <w:t>Incorrect. This misrepresents authorship and creates additional integrity problems.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Correct errors openly; never erase history or misstate who made the change.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LCSW-WB02-QB-Q008</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Algorithmic bias and professional judgment</w:t>
            </w:r>
          </w:p>
        </w:tc>
      </w:tr>
    </w:tbl>
    <w:p>
      <w:pPr>
        <w:keepNext/>
      </w:pPr>
      <w:r>
        <w:rPr>
          <w:b/>
          <w:color w:val="1B2A41"/>
          <w:sz w:val="22"/>
        </w:rPr>
        <w:t>Question</w:t>
      </w:r>
    </w:p>
    <w:p>
      <w:pPr>
        <w:keepNext/>
      </w:pPr>
      <w:r>
        <w:rPr>
          <w:b/>
        </w:rPr>
        <w:t>An agency proposes using an automated risk score that has not been evaluated for bias in the population served. What should the social worker do FIRST?</w:t>
      </w:r>
    </w:p>
    <w:p>
      <w:pPr>
        <w:pStyle w:val="Option"/>
        <w:keepNext/>
      </w:pPr>
      <w:r>
        <w:rPr>
          <w:b/>
        </w:rPr>
        <w:t xml:space="preserve">A. </w:t>
      </w:r>
      <w:r>
        <w:t>Use the score because automated decisions are objective.</w:t>
      </w:r>
    </w:p>
    <w:p>
      <w:pPr>
        <w:pStyle w:val="Option"/>
        <w:keepNext/>
      </w:pPr>
      <w:r>
        <w:rPr>
          <w:b/>
        </w:rPr>
        <w:t xml:space="preserve">B. </w:t>
      </w:r>
      <w:r>
        <w:t>Reject all technology in social work.</w:t>
      </w:r>
    </w:p>
    <w:p>
      <w:pPr>
        <w:pStyle w:val="Option"/>
        <w:keepNext/>
      </w:pPr>
      <w:r>
        <w:rPr>
          <w:b/>
        </w:rPr>
        <w:t xml:space="preserve">C. </w:t>
      </w:r>
      <w:r>
        <w:t>Hide the score from clients so it does not affect trust.</w:t>
      </w:r>
    </w:p>
    <w:p>
      <w:pPr>
        <w:pStyle w:val="Option"/>
        <w:keepNext/>
      </w:pPr>
      <w:r>
        <w:rPr>
          <w:b/>
        </w:rPr>
        <w:t xml:space="preserve">D. </w:t>
      </w:r>
      <w:r>
        <w:t>Clarify how the tool was validated, examine potential disparities and human-review safeguards, and avoid using it as the sole decision-maker.</w:t>
      </w:r>
    </w:p>
    <w:p>
      <w:r>
        <w:rPr>
          <w:b/>
          <w:color w:val="237852"/>
        </w:rPr>
        <w:t>Correct Answer: D</w:t>
      </w:r>
    </w:p>
    <w:p>
      <w:pPr>
        <w:keepNext/>
      </w:pPr>
      <w:r>
        <w:rPr>
          <w:b/>
          <w:color w:val="1B2A41"/>
          <w:sz w:val="22"/>
        </w:rPr>
        <w:t>Rationales</w:t>
      </w:r>
    </w:p>
    <w:p>
      <w:pPr>
        <w:pStyle w:val="Rationale"/>
      </w:pPr>
      <w:r>
        <w:rPr>
          <w:b/>
          <w:color w:val="A02D2D"/>
        </w:rPr>
        <w:t xml:space="preserve">A. </w:t>
      </w:r>
      <w:r>
        <w:t>Incorrect. Algorithms can reproduce biased data and design assumptions.</w:t>
      </w:r>
    </w:p>
    <w:p>
      <w:pPr>
        <w:pStyle w:val="Rationale"/>
      </w:pPr>
      <w:r>
        <w:rPr>
          <w:b/>
          <w:color w:val="A02D2D"/>
        </w:rPr>
        <w:t xml:space="preserve">B. </w:t>
      </w:r>
      <w:r>
        <w:t>Incorrect. Technology can be useful when appropriately evaluated and governed.</w:t>
      </w:r>
    </w:p>
    <w:p>
      <w:pPr>
        <w:pStyle w:val="Rationale"/>
      </w:pPr>
      <w:r>
        <w:rPr>
          <w:b/>
          <w:color w:val="A02D2D"/>
        </w:rPr>
        <w:t xml:space="preserve">C. </w:t>
      </w:r>
      <w:r>
        <w:t>Incorrect. Lack of transparency does not resolve validity or fairness concerns.</w:t>
      </w:r>
    </w:p>
    <w:p>
      <w:pPr>
        <w:pStyle w:val="Rationale"/>
      </w:pPr>
      <w:r>
        <w:rPr>
          <w:b/>
          <w:color w:val="237852"/>
        </w:rPr>
        <w:t xml:space="preserve">D. </w:t>
      </w:r>
      <w:r>
        <w:t>Correct. Technology must be evaluated for fairness, transparency, fit, and the consequences of error.</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confuse automation with neutrality; evaluate evidence, disparities, and safeguards.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LCSW-WB02-QB-Q009</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Application</w:t>
            </w:r>
          </w:p>
        </w:tc>
        <w:tc>
          <w:tcPr>
            <w:tcW w:type="dxa" w:w="3672"/>
            <w:tcMar>
              <w:top w:w="90" w:type="dxa"/>
              <w:start w:w="100" w:type="dxa"/>
              <w:bottom w:w="90" w:type="dxa"/>
              <w:end w:w="100" w:type="dxa"/>
            </w:tcMar>
            <w:vAlign w:val="top"/>
          </w:tcPr>
          <w:p>
            <w:pPr>
              <w:jc w:val="center"/>
            </w:pPr>
            <w:r>
              <w:rPr>
                <w:b/>
                <w:color w:val="1B2A41"/>
                <w:sz w:val="16"/>
              </w:rPr>
              <w:t>Microaggression repair</w:t>
            </w:r>
          </w:p>
        </w:tc>
      </w:tr>
    </w:tbl>
    <w:p>
      <w:pPr>
        <w:keepNext/>
      </w:pPr>
      <w:r>
        <w:rPr>
          <w:b/>
          <w:color w:val="1B2A41"/>
          <w:sz w:val="22"/>
        </w:rPr>
        <w:t>Question</w:t>
      </w:r>
    </w:p>
    <w:p>
      <w:pPr>
        <w:keepNext/>
      </w:pPr>
      <w:r>
        <w:rPr>
          <w:b/>
        </w:rPr>
        <w:t>A client says the social worker's comment about "people from your culture" felt stereotyped. What should the social worker do NEXT?</w:t>
      </w:r>
    </w:p>
    <w:p>
      <w:pPr>
        <w:pStyle w:val="Option"/>
        <w:keepNext/>
      </w:pPr>
      <w:r>
        <w:rPr>
          <w:b/>
        </w:rPr>
        <w:t xml:space="preserve">A. </w:t>
      </w:r>
      <w:r>
        <w:t>Acknowledge the impact, apologize without defensiveness, invite the client's perspective, and examine how bias and power affected the interaction.</w:t>
      </w:r>
    </w:p>
    <w:p>
      <w:pPr>
        <w:pStyle w:val="Option"/>
        <w:keepNext/>
      </w:pPr>
      <w:r>
        <w:rPr>
          <w:b/>
        </w:rPr>
        <w:t xml:space="preserve">B. </w:t>
      </w:r>
      <w:r>
        <w:t>Explain that the comment was meant as cultural sensitivity.</w:t>
      </w:r>
    </w:p>
    <w:p>
      <w:pPr>
        <w:pStyle w:val="Option"/>
        <w:keepNext/>
      </w:pPr>
      <w:r>
        <w:rPr>
          <w:b/>
        </w:rPr>
        <w:t xml:space="preserve">C. </w:t>
      </w:r>
      <w:r>
        <w:t>Change the subject to avoid making the client uncomfortable.</w:t>
      </w:r>
    </w:p>
    <w:p>
      <w:r>
        <w:rPr>
          <w:b/>
          <w:color w:val="237852"/>
        </w:rPr>
        <w:t>Correct Answer: A</w:t>
      </w:r>
    </w:p>
    <w:p>
      <w:pPr>
        <w:keepNext/>
      </w:pPr>
      <w:r>
        <w:rPr>
          <w:b/>
          <w:color w:val="1B2A41"/>
          <w:sz w:val="22"/>
        </w:rPr>
        <w:t>Rationales</w:t>
      </w:r>
    </w:p>
    <w:p>
      <w:pPr>
        <w:pStyle w:val="Rationale"/>
      </w:pPr>
      <w:r>
        <w:rPr>
          <w:b/>
          <w:color w:val="237852"/>
        </w:rPr>
        <w:t xml:space="preserve">A. </w:t>
      </w:r>
      <w:r>
        <w:t>Correct. Repair requires accountability and changed practice, not a debate about intent.</w:t>
      </w:r>
    </w:p>
    <w:p>
      <w:pPr>
        <w:pStyle w:val="Rationale"/>
      </w:pPr>
      <w:r>
        <w:rPr>
          <w:b/>
          <w:color w:val="A02D2D"/>
        </w:rPr>
        <w:t xml:space="preserve">B. </w:t>
      </w:r>
      <w:r>
        <w:t>Incorrect. Good intent does not erase impact.</w:t>
      </w:r>
    </w:p>
    <w:p>
      <w:pPr>
        <w:pStyle w:val="Rationale"/>
      </w:pPr>
      <w:r>
        <w:rPr>
          <w:b/>
          <w:color w:val="A02D2D"/>
        </w:rPr>
        <w:t xml:space="preserve">C. </w:t>
      </w:r>
      <w:r>
        <w:t>Incorrect. Avoidance leaves the harm and alliance rupture unresolved.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Address impact first; intention is not the final ethical test.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LCSW-WB02-QB-Q010</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Scenario-Based</w:t>
            </w:r>
          </w:p>
        </w:tc>
        <w:tc>
          <w:tcPr>
            <w:tcW w:type="dxa" w:w="3672"/>
            <w:tcMar>
              <w:top w:w="90" w:type="dxa"/>
              <w:start w:w="100" w:type="dxa"/>
              <w:bottom w:w="90" w:type="dxa"/>
              <w:end w:w="100" w:type="dxa"/>
            </w:tcMar>
            <w:vAlign w:val="top"/>
          </w:tcPr>
          <w:p>
            <w:pPr>
              <w:jc w:val="center"/>
            </w:pPr>
            <w:r>
              <w:rPr>
                <w:b/>
                <w:color w:val="1B2A41"/>
                <w:sz w:val="16"/>
              </w:rPr>
              <w:t>Discharge self-determination</w:t>
            </w:r>
          </w:p>
        </w:tc>
      </w:tr>
    </w:tbl>
    <w:p>
      <w:pPr>
        <w:keepNext/>
      </w:pPr>
      <w:r>
        <w:rPr>
          <w:b/>
          <w:color w:val="1B2A41"/>
          <w:sz w:val="22"/>
        </w:rPr>
        <w:t>Question</w:t>
      </w:r>
    </w:p>
    <w:p>
      <w:pPr>
        <w:keepNext/>
      </w:pPr>
      <w:r>
        <w:rPr>
          <w:b/>
        </w:rPr>
        <w:t>A hospital patient with decision-making capacity wants discharge home, while family members demand placement in a facility. What should the social worker do FIRST?</w:t>
      </w:r>
    </w:p>
    <w:p>
      <w:pPr>
        <w:pStyle w:val="Option"/>
        <w:keepNext/>
      </w:pPr>
      <w:r>
        <w:rPr>
          <w:b/>
        </w:rPr>
        <w:t xml:space="preserve">A. </w:t>
      </w:r>
      <w:r>
        <w:t>Follow the family's demand because it appears safer.</w:t>
      </w:r>
    </w:p>
    <w:p>
      <w:pPr>
        <w:pStyle w:val="Option"/>
        <w:keepNext/>
      </w:pPr>
      <w:r>
        <w:rPr>
          <w:b/>
        </w:rPr>
        <w:t xml:space="preserve">B. </w:t>
      </w:r>
      <w:r>
        <w:t>Clarify the patient's understanding and goals, assess practical safety needs, and support an informed discharge plan with services and alternatives.</w:t>
      </w:r>
    </w:p>
    <w:p>
      <w:pPr>
        <w:pStyle w:val="Option"/>
        <w:keepNext/>
      </w:pPr>
      <w:r>
        <w:rPr>
          <w:b/>
        </w:rPr>
        <w:t xml:space="preserve">C. </w:t>
      </w:r>
      <w:r>
        <w:t>Refuse to discuss risks so the patient does not feel pressured.</w:t>
      </w:r>
    </w:p>
    <w:p>
      <w:r>
        <w:rPr>
          <w:b/>
          <w:color w:val="237852"/>
        </w:rPr>
        <w:t>Correct Answer: B</w:t>
      </w:r>
    </w:p>
    <w:p>
      <w:pPr>
        <w:keepNext/>
      </w:pPr>
      <w:r>
        <w:rPr>
          <w:b/>
          <w:color w:val="1B2A41"/>
          <w:sz w:val="22"/>
        </w:rPr>
        <w:t>Rationales</w:t>
      </w:r>
    </w:p>
    <w:p>
      <w:pPr>
        <w:pStyle w:val="Rationale"/>
      </w:pPr>
      <w:r>
        <w:rPr>
          <w:b/>
          <w:color w:val="A02D2D"/>
        </w:rPr>
        <w:t xml:space="preserve">A. </w:t>
      </w:r>
      <w:r>
        <w:t>Incorrect. Family preference does not automatically override a capable adult.</w:t>
      </w:r>
    </w:p>
    <w:p>
      <w:pPr>
        <w:pStyle w:val="Rationale"/>
      </w:pPr>
      <w:r>
        <w:rPr>
          <w:b/>
          <w:color w:val="237852"/>
        </w:rPr>
        <w:t xml:space="preserve">B. </w:t>
      </w:r>
      <w:r>
        <w:t>Correct. The capable patient's choice controls unless a specific legal or safety basis justifies a proportionate limit.</w:t>
      </w:r>
    </w:p>
    <w:p>
      <w:pPr>
        <w:pStyle w:val="Rationale"/>
      </w:pPr>
      <w:r>
        <w:rPr>
          <w:b/>
          <w:color w:val="A02D2D"/>
        </w:rPr>
        <w:t xml:space="preserve">C. </w:t>
      </w:r>
      <w:r>
        <w:t>Incorrect. Informed choice requires understandable discussion of risks and alternatives.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Assess decision-making ability and supports; do not equate disagreement with incapacity.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LCSW-WB02-QB-Q011</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Scenario-Based</w:t>
            </w:r>
          </w:p>
        </w:tc>
        <w:tc>
          <w:tcPr>
            <w:tcW w:type="dxa" w:w="3672"/>
            <w:tcMar>
              <w:top w:w="90" w:type="dxa"/>
              <w:start w:w="100" w:type="dxa"/>
              <w:bottom w:w="90" w:type="dxa"/>
              <w:end w:w="100" w:type="dxa"/>
            </w:tcMar>
            <w:vAlign w:val="top"/>
          </w:tcPr>
          <w:p>
            <w:pPr>
              <w:jc w:val="center"/>
            </w:pPr>
            <w:r>
              <w:rPr>
                <w:b/>
                <w:color w:val="1B2A41"/>
                <w:sz w:val="16"/>
              </w:rPr>
              <w:t>Productivity pressure and inequitable service</w:t>
            </w:r>
          </w:p>
        </w:tc>
      </w:tr>
    </w:tbl>
    <w:p>
      <w:pPr>
        <w:keepNext/>
      </w:pPr>
      <w:r>
        <w:rPr>
          <w:b/>
          <w:color w:val="1B2A41"/>
          <w:sz w:val="22"/>
        </w:rPr>
        <w:t>Question</w:t>
      </w:r>
    </w:p>
    <w:p>
      <w:pPr>
        <w:keepNext/>
      </w:pPr>
      <w:r>
        <w:rPr>
          <w:b/>
        </w:rPr>
        <w:t>An agency pressures staff to reduce visits for uninsured clients while keeping the same treatment goals and documenting services as complete. What should a social worker do FIRST?</w:t>
      </w:r>
    </w:p>
    <w:p>
      <w:pPr>
        <w:pStyle w:val="Option"/>
        <w:keepNext/>
      </w:pPr>
      <w:r>
        <w:rPr>
          <w:b/>
        </w:rPr>
        <w:t xml:space="preserve">A. </w:t>
      </w:r>
      <w:r>
        <w:t>Shorten the visits and copy prior notes.</w:t>
      </w:r>
    </w:p>
    <w:p>
      <w:pPr>
        <w:pStyle w:val="Option"/>
        <w:keepNext/>
      </w:pPr>
      <w:r>
        <w:rPr>
          <w:b/>
        </w:rPr>
        <w:t xml:space="preserve">B. </w:t>
      </w:r>
      <w:r>
        <w:t>Tell uninsured clients they are less motivated.</w:t>
      </w:r>
    </w:p>
    <w:p>
      <w:pPr>
        <w:pStyle w:val="Option"/>
        <w:keepNext/>
      </w:pPr>
      <w:r>
        <w:rPr>
          <w:b/>
        </w:rPr>
        <w:t xml:space="preserve">C. </w:t>
      </w:r>
      <w:r>
        <w:t>Clarify the directive and its client impact, refuse inaccurate documentation, and use supervisory, ethics, or compliance channels to address the disparity.</w:t>
      </w:r>
    </w:p>
    <w:p>
      <w:r>
        <w:rPr>
          <w:b/>
          <w:color w:val="237852"/>
        </w:rPr>
        <w:t>Correct Answer: C</w:t>
      </w:r>
    </w:p>
    <w:p>
      <w:pPr>
        <w:keepNext/>
      </w:pPr>
      <w:r>
        <w:rPr>
          <w:b/>
          <w:color w:val="1B2A41"/>
          <w:sz w:val="22"/>
        </w:rPr>
        <w:t>Rationales</w:t>
      </w:r>
    </w:p>
    <w:p>
      <w:pPr>
        <w:pStyle w:val="Rationale"/>
      </w:pPr>
      <w:r>
        <w:rPr>
          <w:b/>
          <w:color w:val="A02D2D"/>
        </w:rPr>
        <w:t xml:space="preserve">A. </w:t>
      </w:r>
      <w:r>
        <w:t>Incorrect. This misrepresents service and may harm care.</w:t>
      </w:r>
    </w:p>
    <w:p>
      <w:pPr>
        <w:pStyle w:val="Rationale"/>
      </w:pPr>
      <w:r>
        <w:rPr>
          <w:b/>
          <w:color w:val="A02D2D"/>
        </w:rPr>
        <w:t xml:space="preserve">B. </w:t>
      </w:r>
      <w:r>
        <w:t>Incorrect. The disparity is organizational, not evidence of client motivation.</w:t>
      </w:r>
    </w:p>
    <w:p>
      <w:pPr>
        <w:pStyle w:val="Rationale"/>
      </w:pPr>
      <w:r>
        <w:rPr>
          <w:b/>
          <w:color w:val="237852"/>
        </w:rPr>
        <w:t xml:space="preserve">C. </w:t>
      </w:r>
      <w:r>
        <w:t>Correct. The issue combines record integrity, unequal access, and organizational accountability.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Refuse false records and address both immediate client harm and the system producing unequal care.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LCSW-WB02-QB-Q012</w:t>
            </w:r>
          </w:p>
        </w:tc>
        <w:tc>
          <w:tcPr>
            <w:tcW w:type="dxa" w:w="1728"/>
            <w:tcMar>
              <w:top w:w="90" w:type="dxa"/>
              <w:start w:w="100" w:type="dxa"/>
              <w:bottom w:w="90" w:type="dxa"/>
              <w:end w:w="100" w:type="dxa"/>
            </w:tcMar>
            <w:vAlign w:val="top"/>
          </w:tcPr>
          <w:p>
            <w:pPr>
              <w:jc w:val="center"/>
            </w:pPr>
            <w:r>
              <w:rPr>
                <w:b/>
                <w:color w:val="1B2A41"/>
                <w:sz w:val="16"/>
              </w:rPr>
              <w:t>Moderate</w:t>
            </w:r>
          </w:p>
        </w:tc>
        <w:tc>
          <w:tcPr>
            <w:tcW w:type="dxa" w:w="2520"/>
            <w:tcMar>
              <w:top w:w="90" w:type="dxa"/>
              <w:start w:w="100" w:type="dxa"/>
              <w:bottom w:w="90" w:type="dxa"/>
              <w:end w:w="100" w:type="dxa"/>
            </w:tcMar>
            <w:vAlign w:val="top"/>
          </w:tcPr>
          <w:p>
            <w:pPr>
              <w:jc w:val="center"/>
            </w:pPr>
            <w:r>
              <w:rPr>
                <w:b/>
                <w:color w:val="1B2A41"/>
                <w:sz w:val="16"/>
              </w:rPr>
              <w:t>Scenario-Based</w:t>
            </w:r>
          </w:p>
        </w:tc>
        <w:tc>
          <w:tcPr>
            <w:tcW w:type="dxa" w:w="3672"/>
            <w:tcMar>
              <w:top w:w="90" w:type="dxa"/>
              <w:start w:w="100" w:type="dxa"/>
              <w:bottom w:w="90" w:type="dxa"/>
              <w:end w:w="100" w:type="dxa"/>
            </w:tcMar>
            <w:vAlign w:val="top"/>
          </w:tcPr>
          <w:p>
            <w:pPr>
              <w:jc w:val="center"/>
            </w:pPr>
            <w:r>
              <w:rPr>
                <w:b/>
                <w:color w:val="1B2A41"/>
                <w:sz w:val="16"/>
              </w:rPr>
              <w:t>Discrimination creating service avoidance</w:t>
            </w:r>
          </w:p>
        </w:tc>
      </w:tr>
    </w:tbl>
    <w:p>
      <w:pPr>
        <w:keepNext/>
      </w:pPr>
      <w:r>
        <w:rPr>
          <w:b/>
          <w:color w:val="1B2A41"/>
          <w:sz w:val="22"/>
        </w:rPr>
        <w:t>Question</w:t>
      </w:r>
    </w:p>
    <w:p>
      <w:pPr>
        <w:keepNext/>
      </w:pPr>
      <w:r>
        <w:rPr>
          <w:b/>
        </w:rPr>
        <w:t>A staff member repeatedly makes racist jokes in a program serving the targeted community. A client reports avoiding services because of it. What should the social worker do FIRST?</w:t>
      </w:r>
    </w:p>
    <w:p>
      <w:pPr>
        <w:pStyle w:val="Option"/>
        <w:keepNext/>
      </w:pPr>
      <w:r>
        <w:rPr>
          <w:b/>
        </w:rPr>
        <w:t xml:space="preserve">A. </w:t>
      </w:r>
      <w:r>
        <w:t>Tell the client to ignore the jokes and focus on treatment.</w:t>
      </w:r>
    </w:p>
    <w:p>
      <w:pPr>
        <w:pStyle w:val="Option"/>
        <w:keepNext/>
      </w:pPr>
      <w:r>
        <w:rPr>
          <w:b/>
        </w:rPr>
        <w:t xml:space="preserve">B. </w:t>
      </w:r>
      <w:r>
        <w:t>Wait until several clients complain.</w:t>
      </w:r>
    </w:p>
    <w:p>
      <w:pPr>
        <w:pStyle w:val="Option"/>
        <w:keepNext/>
      </w:pPr>
      <w:r>
        <w:rPr>
          <w:b/>
        </w:rPr>
        <w:t xml:space="preserve">C. </w:t>
      </w:r>
      <w:r>
        <w:t>Confront the staff member publicly in front of clients without a plan.</w:t>
      </w:r>
    </w:p>
    <w:p>
      <w:pPr>
        <w:pStyle w:val="Option"/>
        <w:keepNext/>
      </w:pPr>
      <w:r>
        <w:rPr>
          <w:b/>
        </w:rPr>
        <w:t xml:space="preserve">D. </w:t>
      </w:r>
      <w:r>
        <w:t>Address the immediate client impact and safety, document the concern, and use appropriate supervisory or organizational channels to stop the harmful conduct.</w:t>
      </w:r>
    </w:p>
    <w:p>
      <w:r>
        <w:rPr>
          <w:b/>
          <w:color w:val="237852"/>
        </w:rPr>
        <w:t>Correct Answer: D</w:t>
      </w:r>
    </w:p>
    <w:p>
      <w:pPr>
        <w:keepNext/>
      </w:pPr>
      <w:r>
        <w:rPr>
          <w:b/>
          <w:color w:val="1B2A41"/>
          <w:sz w:val="22"/>
        </w:rPr>
        <w:t>Rationales</w:t>
      </w:r>
    </w:p>
    <w:p>
      <w:pPr>
        <w:pStyle w:val="Rationale"/>
      </w:pPr>
      <w:r>
        <w:rPr>
          <w:b/>
          <w:color w:val="A02D2D"/>
        </w:rPr>
        <w:t xml:space="preserve">A. </w:t>
      </w:r>
      <w:r>
        <w:t>Incorrect. This minimizes harm and preserves the discriminatory environment.</w:t>
      </w:r>
    </w:p>
    <w:p>
      <w:pPr>
        <w:pStyle w:val="Rationale"/>
      </w:pPr>
      <w:r>
        <w:rPr>
          <w:b/>
          <w:color w:val="A02D2D"/>
        </w:rPr>
        <w:t xml:space="preserve">B. </w:t>
      </w:r>
      <w:r>
        <w:t>Incorrect. One credible report of harm warrants assessment and action.</w:t>
      </w:r>
    </w:p>
    <w:p>
      <w:pPr>
        <w:pStyle w:val="Rationale"/>
      </w:pPr>
      <w:r>
        <w:rPr>
          <w:b/>
          <w:color w:val="A02D2D"/>
        </w:rPr>
        <w:t xml:space="preserve">C. </w:t>
      </w:r>
      <w:r>
        <w:t>Incorrect. Action is needed, but it should protect clients and use effective accountable channels.</w:t>
      </w:r>
    </w:p>
    <w:p>
      <w:pPr>
        <w:pStyle w:val="Rationale"/>
      </w:pPr>
      <w:r>
        <w:rPr>
          <w:b/>
          <w:color w:val="237852"/>
        </w:rPr>
        <w:t xml:space="preserve">D. </w:t>
      </w:r>
      <w:r>
        <w:t>Correct. The response must support the client and challenge the service barrier rather than treating it as a private interpersonal issue.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Support the harmed client and address the conduct that makes the service unsafe or inaccessible.</w:t>
            </w:r>
          </w:p>
        </w:tc>
      </w:tr>
    </w:tbl>
    <w:p/>
    <w:p>
      <w:r>
        <w:br w:type="page"/>
      </w:r>
    </w:p>
    <w:p>
      <w:pPr>
        <w:pStyle w:val="Heading1"/>
      </w:pPr>
      <w:r>
        <w:t>Difficult Questions</w:t>
      </w:r>
    </w:p>
    <w:p>
      <w:r>
        <w:rPr>
          <w:i/>
          <w:color w:val="696969"/>
        </w:rPr>
        <w:t>5 questions | Complex scenarios requiring prioritization and integrated professional reasoning.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LCSW-WB02-QB-Q013</w:t>
            </w:r>
          </w:p>
        </w:tc>
        <w:tc>
          <w:tcPr>
            <w:tcW w:type="dxa" w:w="1728"/>
            <w:tcMar>
              <w:top w:w="90" w:type="dxa"/>
              <w:start w:w="100" w:type="dxa"/>
              <w:bottom w:w="90" w:type="dxa"/>
              <w:end w:w="100" w:type="dxa"/>
            </w:tcMar>
            <w:vAlign w:val="top"/>
          </w:tcPr>
          <w:p>
            <w:pPr>
              <w:jc w:val="center"/>
            </w:pPr>
            <w:r>
              <w:rPr>
                <w:b/>
                <w:color w:val="1B2A41"/>
                <w:sz w:val="16"/>
              </w:rPr>
              <w:t>Difficult</w:t>
            </w:r>
          </w:p>
        </w:tc>
        <w:tc>
          <w:tcPr>
            <w:tcW w:type="dxa" w:w="2520"/>
            <w:tcMar>
              <w:top w:w="90" w:type="dxa"/>
              <w:start w:w="100" w:type="dxa"/>
              <w:bottom w:w="90" w:type="dxa"/>
              <w:end w:w="100" w:type="dxa"/>
            </w:tcMar>
            <w:vAlign w:val="top"/>
          </w:tcPr>
          <w:p>
            <w:pPr>
              <w:jc w:val="center"/>
            </w:pPr>
            <w:r>
              <w:rPr>
                <w:b/>
                <w:color w:val="1B2A41"/>
                <w:sz w:val="16"/>
              </w:rPr>
              <w:t>Scenario-Based</w:t>
            </w:r>
          </w:p>
        </w:tc>
        <w:tc>
          <w:tcPr>
            <w:tcW w:type="dxa" w:w="3672"/>
            <w:tcMar>
              <w:top w:w="90" w:type="dxa"/>
              <w:start w:w="100" w:type="dxa"/>
              <w:bottom w:w="90" w:type="dxa"/>
              <w:end w:w="100" w:type="dxa"/>
            </w:tcMar>
            <w:vAlign w:val="top"/>
          </w:tcPr>
          <w:p>
            <w:pPr>
              <w:jc w:val="center"/>
            </w:pPr>
            <w:r>
              <w:rPr>
                <w:b/>
                <w:color w:val="1B2A41"/>
                <w:sz w:val="16"/>
              </w:rPr>
              <w:t>Self-determination in involuntary care</w:t>
            </w:r>
          </w:p>
        </w:tc>
      </w:tr>
    </w:tbl>
    <w:p>
      <w:pPr>
        <w:keepNext/>
      </w:pPr>
      <w:r>
        <w:rPr>
          <w:b/>
          <w:color w:val="1B2A41"/>
          <w:sz w:val="22"/>
        </w:rPr>
        <w:t>Question</w:t>
      </w:r>
    </w:p>
    <w:p>
      <w:pPr>
        <w:keepNext/>
      </w:pPr>
      <w:r>
        <w:rPr>
          <w:b/>
        </w:rPr>
        <w:t>A client is receiving involuntary inpatient treatment and says, "Nothing I want matters now." What is the social worker's BEST response?</w:t>
      </w:r>
    </w:p>
    <w:p>
      <w:pPr>
        <w:pStyle w:val="Option"/>
        <w:keepNext/>
      </w:pPr>
      <w:r>
        <w:rPr>
          <w:b/>
        </w:rPr>
        <w:t xml:space="preserve">A. </w:t>
      </w:r>
      <w:r>
        <w:t>Explain the specific legal limits, identify choices that remain, involve the client in goals and daily decisions, and provide information about rights and review processes.</w:t>
      </w:r>
    </w:p>
    <w:p>
      <w:pPr>
        <w:pStyle w:val="Option"/>
        <w:keepNext/>
      </w:pPr>
      <w:r>
        <w:rPr>
          <w:b/>
        </w:rPr>
        <w:t xml:space="preserve">B. </w:t>
      </w:r>
      <w:r>
        <w:t>Tell the client that safety rules eliminate the need for consent.</w:t>
      </w:r>
    </w:p>
    <w:p>
      <w:pPr>
        <w:pStyle w:val="Option"/>
        <w:keepNext/>
      </w:pPr>
      <w:r>
        <w:rPr>
          <w:b/>
        </w:rPr>
        <w:t xml:space="preserve">C. </w:t>
      </w:r>
      <w:r>
        <w:t>Promise immediate discharge if the client cooperates.</w:t>
      </w:r>
    </w:p>
    <w:p>
      <w:r>
        <w:rPr>
          <w:b/>
          <w:color w:val="237852"/>
        </w:rPr>
        <w:t>Correct Answer: A</w:t>
      </w:r>
    </w:p>
    <w:p>
      <w:pPr>
        <w:keepNext/>
      </w:pPr>
      <w:r>
        <w:rPr>
          <w:b/>
          <w:color w:val="1B2A41"/>
          <w:sz w:val="22"/>
        </w:rPr>
        <w:t>Rationales</w:t>
      </w:r>
    </w:p>
    <w:p>
      <w:pPr>
        <w:pStyle w:val="Rationale"/>
      </w:pPr>
      <w:r>
        <w:rPr>
          <w:b/>
          <w:color w:val="237852"/>
        </w:rPr>
        <w:t xml:space="preserve">A. </w:t>
      </w:r>
      <w:r>
        <w:t>Correct. Involuntary status limits some choices but does not eliminate dignity, participation, or all self-determination.</w:t>
      </w:r>
    </w:p>
    <w:p>
      <w:pPr>
        <w:pStyle w:val="Rationale"/>
      </w:pPr>
      <w:r>
        <w:rPr>
          <w:b/>
          <w:color w:val="A02D2D"/>
        </w:rPr>
        <w:t xml:space="preserve">B. </w:t>
      </w:r>
      <w:r>
        <w:t>Incorrect. Even involuntary care requires transparency and participation where possible.</w:t>
      </w:r>
    </w:p>
    <w:p>
      <w:pPr>
        <w:pStyle w:val="Rationale"/>
      </w:pPr>
      <w:r>
        <w:rPr>
          <w:b/>
          <w:color w:val="A02D2D"/>
        </w:rPr>
        <w:t xml:space="preserve">C. </w:t>
      </w:r>
      <w:r>
        <w:t>Incorrect. The social worker should not make unsupported promises.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Identify exactly what is restricted and actively protect the choices that remain.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LCSW-WB02-QB-Q014</w:t>
            </w:r>
          </w:p>
        </w:tc>
        <w:tc>
          <w:tcPr>
            <w:tcW w:type="dxa" w:w="1728"/>
            <w:tcMar>
              <w:top w:w="90" w:type="dxa"/>
              <w:start w:w="100" w:type="dxa"/>
              <w:bottom w:w="90" w:type="dxa"/>
              <w:end w:w="100" w:type="dxa"/>
            </w:tcMar>
            <w:vAlign w:val="top"/>
          </w:tcPr>
          <w:p>
            <w:pPr>
              <w:jc w:val="center"/>
            </w:pPr>
            <w:r>
              <w:rPr>
                <w:b/>
                <w:color w:val="1B2A41"/>
                <w:sz w:val="16"/>
              </w:rPr>
              <w:t>Difficult</w:t>
            </w:r>
          </w:p>
        </w:tc>
        <w:tc>
          <w:tcPr>
            <w:tcW w:type="dxa" w:w="2520"/>
            <w:tcMar>
              <w:top w:w="90" w:type="dxa"/>
              <w:start w:w="100" w:type="dxa"/>
              <w:bottom w:w="90" w:type="dxa"/>
              <w:end w:w="100" w:type="dxa"/>
            </w:tcMar>
            <w:vAlign w:val="top"/>
          </w:tcPr>
          <w:p>
            <w:pPr>
              <w:jc w:val="center"/>
            </w:pPr>
            <w:r>
              <w:rPr>
                <w:b/>
                <w:color w:val="1B2A41"/>
                <w:sz w:val="16"/>
              </w:rPr>
              <w:t>Scenario-Based</w:t>
            </w:r>
          </w:p>
        </w:tc>
        <w:tc>
          <w:tcPr>
            <w:tcW w:type="dxa" w:w="3672"/>
            <w:tcMar>
              <w:top w:w="90" w:type="dxa"/>
              <w:start w:w="100" w:type="dxa"/>
              <w:bottom w:w="90" w:type="dxa"/>
              <w:end w:w="100" w:type="dxa"/>
            </w:tcMar>
            <w:vAlign w:val="top"/>
          </w:tcPr>
          <w:p>
            <w:pPr>
              <w:jc w:val="center"/>
            </w:pPr>
            <w:r>
              <w:rPr>
                <w:b/>
                <w:color w:val="1B2A41"/>
                <w:sz w:val="16"/>
              </w:rPr>
              <w:t>Organizational pressure to falsify services</w:t>
            </w:r>
          </w:p>
        </w:tc>
      </w:tr>
    </w:tbl>
    <w:p>
      <w:pPr>
        <w:keepNext/>
      </w:pPr>
      <w:r>
        <w:rPr>
          <w:b/>
          <w:color w:val="1B2A41"/>
          <w:sz w:val="22"/>
        </w:rPr>
        <w:t>Question</w:t>
      </w:r>
    </w:p>
    <w:p>
      <w:pPr>
        <w:keepNext/>
      </w:pPr>
      <w:r>
        <w:rPr>
          <w:b/>
        </w:rPr>
        <w:t>An administrator orders social workers to record services that were never delivered so a grant will not be reduced. What should a social worker do FIRST?</w:t>
      </w:r>
    </w:p>
    <w:p>
      <w:pPr>
        <w:pStyle w:val="Option"/>
        <w:keepNext/>
      </w:pPr>
      <w:r>
        <w:rPr>
          <w:b/>
        </w:rPr>
        <w:t xml:space="preserve">A. </w:t>
      </w:r>
      <w:r>
        <w:t>Comply because the funding supports vulnerable clients.</w:t>
      </w:r>
    </w:p>
    <w:p>
      <w:pPr>
        <w:pStyle w:val="Option"/>
        <w:keepNext/>
      </w:pPr>
      <w:r>
        <w:rPr>
          <w:b/>
        </w:rPr>
        <w:t xml:space="preserve">B. </w:t>
      </w:r>
      <w:r>
        <w:t>Refuse to falsify records, preserve accurate documentation, and use compliance, ethics, leadership, or external channels proportionately.</w:t>
      </w:r>
    </w:p>
    <w:p>
      <w:pPr>
        <w:pStyle w:val="Option"/>
        <w:keepNext/>
      </w:pPr>
      <w:r>
        <w:rPr>
          <w:b/>
        </w:rPr>
        <w:t xml:space="preserve">C. </w:t>
      </w:r>
      <w:r>
        <w:t>Delete all program records to prevent misuse.</w:t>
      </w:r>
    </w:p>
    <w:p>
      <w:r>
        <w:rPr>
          <w:b/>
          <w:color w:val="237852"/>
        </w:rPr>
        <w:t>Correct Answer: B</w:t>
      </w:r>
    </w:p>
    <w:p>
      <w:pPr>
        <w:keepNext/>
      </w:pPr>
      <w:r>
        <w:rPr>
          <w:b/>
          <w:color w:val="1B2A41"/>
          <w:sz w:val="22"/>
        </w:rPr>
        <w:t>Rationales</w:t>
      </w:r>
    </w:p>
    <w:p>
      <w:pPr>
        <w:pStyle w:val="Rationale"/>
      </w:pPr>
      <w:r>
        <w:rPr>
          <w:b/>
          <w:color w:val="A02D2D"/>
        </w:rPr>
        <w:t xml:space="preserve">A. </w:t>
      </w:r>
      <w:r>
        <w:t>Incorrect. A beneficial goal does not justify false records.</w:t>
      </w:r>
    </w:p>
    <w:p>
      <w:pPr>
        <w:pStyle w:val="Rationale"/>
      </w:pPr>
      <w:r>
        <w:rPr>
          <w:b/>
          <w:color w:val="237852"/>
        </w:rPr>
        <w:t xml:space="preserve">B. </w:t>
      </w:r>
      <w:r>
        <w:t>Correct. The directive involves fraud, record integrity, and organizational pressure; obedience does not remove individual accountability.</w:t>
      </w:r>
    </w:p>
    <w:p>
      <w:pPr>
        <w:pStyle w:val="Rationale"/>
      </w:pPr>
      <w:r>
        <w:rPr>
          <w:b/>
          <w:color w:val="A02D2D"/>
        </w:rPr>
        <w:t xml:space="preserve">C. </w:t>
      </w:r>
      <w:r>
        <w:t>Incorrect. Destruction would create further ethical and legal problems.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worthy mission does not excuse falsification; protect records and use accountable channels.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LCSW-WB02-QB-Q015</w:t>
            </w:r>
          </w:p>
        </w:tc>
        <w:tc>
          <w:tcPr>
            <w:tcW w:type="dxa" w:w="1728"/>
            <w:tcMar>
              <w:top w:w="90" w:type="dxa"/>
              <w:start w:w="100" w:type="dxa"/>
              <w:bottom w:w="90" w:type="dxa"/>
              <w:end w:w="100" w:type="dxa"/>
            </w:tcMar>
            <w:vAlign w:val="top"/>
          </w:tcPr>
          <w:p>
            <w:pPr>
              <w:jc w:val="center"/>
            </w:pPr>
            <w:r>
              <w:rPr>
                <w:b/>
                <w:color w:val="1B2A41"/>
                <w:sz w:val="16"/>
              </w:rPr>
              <w:t>Difficult</w:t>
            </w:r>
          </w:p>
        </w:tc>
        <w:tc>
          <w:tcPr>
            <w:tcW w:type="dxa" w:w="2520"/>
            <w:tcMar>
              <w:top w:w="90" w:type="dxa"/>
              <w:start w:w="100" w:type="dxa"/>
              <w:bottom w:w="90" w:type="dxa"/>
              <w:end w:w="100" w:type="dxa"/>
            </w:tcMar>
            <w:vAlign w:val="top"/>
          </w:tcPr>
          <w:p>
            <w:pPr>
              <w:jc w:val="center"/>
            </w:pPr>
            <w:r>
              <w:rPr>
                <w:b/>
                <w:color w:val="1B2A41"/>
                <w:sz w:val="16"/>
              </w:rPr>
              <w:t>Scenario-Based</w:t>
            </w:r>
          </w:p>
        </w:tc>
        <w:tc>
          <w:tcPr>
            <w:tcW w:type="dxa" w:w="3672"/>
            <w:tcMar>
              <w:top w:w="90" w:type="dxa"/>
              <w:start w:w="100" w:type="dxa"/>
              <w:bottom w:w="90" w:type="dxa"/>
              <w:end w:w="100" w:type="dxa"/>
            </w:tcMar>
            <w:vAlign w:val="top"/>
          </w:tcPr>
          <w:p>
            <w:pPr>
              <w:jc w:val="center"/>
            </w:pPr>
            <w:r>
              <w:rPr>
                <w:b/>
                <w:color w:val="1B2A41"/>
                <w:sz w:val="16"/>
              </w:rPr>
              <w:t>Capacity, coercion, and financial exploitation</w:t>
            </w:r>
          </w:p>
        </w:tc>
      </w:tr>
    </w:tbl>
    <w:p>
      <w:pPr>
        <w:keepNext/>
      </w:pPr>
      <w:r>
        <w:rPr>
          <w:b/>
          <w:color w:val="1B2A41"/>
          <w:sz w:val="22"/>
        </w:rPr>
        <w:t>Question</w:t>
      </w:r>
    </w:p>
    <w:p>
      <w:pPr>
        <w:keepNext/>
      </w:pPr>
      <w:r>
        <w:rPr>
          <w:b/>
        </w:rPr>
        <w:t>An older client with fluctuating cognition wants to give a large sum of money to a relative who controls transportation and answers all questions. What should the social worker do FIRST?</w:t>
      </w:r>
    </w:p>
    <w:p>
      <w:pPr>
        <w:pStyle w:val="Option"/>
        <w:keepNext/>
      </w:pPr>
      <w:r>
        <w:rPr>
          <w:b/>
        </w:rPr>
        <w:t xml:space="preserve">A. </w:t>
      </w:r>
      <w:r>
        <w:t>Support the gift because generosity is the client's right.</w:t>
      </w:r>
    </w:p>
    <w:p>
      <w:pPr>
        <w:pStyle w:val="Option"/>
        <w:keepNext/>
      </w:pPr>
      <w:r>
        <w:rPr>
          <w:b/>
        </w:rPr>
        <w:t xml:space="preserve">B. </w:t>
      </w:r>
      <w:r>
        <w:t>Ask the relative whether the client understands the decision.</w:t>
      </w:r>
    </w:p>
    <w:p>
      <w:pPr>
        <w:pStyle w:val="Option"/>
        <w:keepNext/>
      </w:pPr>
      <w:r>
        <w:rPr>
          <w:b/>
        </w:rPr>
        <w:t xml:space="preserve">C. </w:t>
      </w:r>
      <w:r>
        <w:t>Assess decision-specific capacity, coercion, undue influence, exploitation risk, immediate safety, and the client's private perspective, and coordinate appropriate evaluation or protection.</w:t>
      </w:r>
    </w:p>
    <w:p>
      <w:pPr>
        <w:pStyle w:val="Option"/>
        <w:keepNext/>
      </w:pPr>
      <w:r>
        <w:rPr>
          <w:b/>
        </w:rPr>
        <w:t xml:space="preserve">D. </w:t>
      </w:r>
      <w:r>
        <w:t>Tell the client that older adults may not make large gifts.</w:t>
      </w:r>
    </w:p>
    <w:p>
      <w:r>
        <w:rPr>
          <w:b/>
          <w:color w:val="237852"/>
        </w:rPr>
        <w:t>Correct Answer: C</w:t>
      </w:r>
    </w:p>
    <w:p>
      <w:pPr>
        <w:keepNext/>
      </w:pPr>
      <w:r>
        <w:rPr>
          <w:b/>
          <w:color w:val="1B2A41"/>
          <w:sz w:val="22"/>
        </w:rPr>
        <w:t>Rationales</w:t>
      </w:r>
    </w:p>
    <w:p>
      <w:pPr>
        <w:pStyle w:val="Rationale"/>
      </w:pPr>
      <w:r>
        <w:rPr>
          <w:b/>
          <w:color w:val="A02D2D"/>
        </w:rPr>
        <w:t xml:space="preserve">A. </w:t>
      </w:r>
      <w:r>
        <w:t>Incorrect. Self-determination depends on capacity and freedom from coercion.</w:t>
      </w:r>
    </w:p>
    <w:p>
      <w:pPr>
        <w:pStyle w:val="Rationale"/>
      </w:pPr>
      <w:r>
        <w:rPr>
          <w:b/>
          <w:color w:val="A02D2D"/>
        </w:rPr>
        <w:t xml:space="preserve">B. </w:t>
      </w:r>
      <w:r>
        <w:t>Incorrect. The potentially benefiting relative is not a neutral source and should not control the assessment.</w:t>
      </w:r>
    </w:p>
    <w:p>
      <w:pPr>
        <w:pStyle w:val="Rationale"/>
      </w:pPr>
      <w:r>
        <w:rPr>
          <w:b/>
          <w:color w:val="237852"/>
        </w:rPr>
        <w:t xml:space="preserve">C. </w:t>
      </w:r>
      <w:r>
        <w:t>Correct. The combination of cognitive fluctuation, dependency, and financial pressure requires integrated capacity and exploitation assessment.</w:t>
      </w:r>
    </w:p>
    <w:p>
      <w:pPr>
        <w:pStyle w:val="Rationale"/>
      </w:pPr>
      <w:r>
        <w:rPr>
          <w:b/>
          <w:color w:val="A02D2D"/>
        </w:rPr>
        <w:t xml:space="preserve">D. </w:t>
      </w:r>
      <w:r>
        <w:t>Incorrect. Age alone does not remove decision-making rights.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power, dependency, and assets intersect, assess the client privately and evaluate capacity and coercion before supporting the transaction.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LCSW-WB02-QB-Q016</w:t>
            </w:r>
          </w:p>
        </w:tc>
        <w:tc>
          <w:tcPr>
            <w:tcW w:type="dxa" w:w="1728"/>
            <w:tcMar>
              <w:top w:w="90" w:type="dxa"/>
              <w:start w:w="100" w:type="dxa"/>
              <w:bottom w:w="90" w:type="dxa"/>
              <w:end w:w="100" w:type="dxa"/>
            </w:tcMar>
            <w:vAlign w:val="top"/>
          </w:tcPr>
          <w:p>
            <w:pPr>
              <w:jc w:val="center"/>
            </w:pPr>
            <w:r>
              <w:rPr>
                <w:b/>
                <w:color w:val="1B2A41"/>
                <w:sz w:val="16"/>
              </w:rPr>
              <w:t>Difficult</w:t>
            </w:r>
          </w:p>
        </w:tc>
        <w:tc>
          <w:tcPr>
            <w:tcW w:type="dxa" w:w="2520"/>
            <w:tcMar>
              <w:top w:w="90" w:type="dxa"/>
              <w:start w:w="100" w:type="dxa"/>
              <w:bottom w:w="90" w:type="dxa"/>
              <w:end w:w="100" w:type="dxa"/>
            </w:tcMar>
            <w:vAlign w:val="top"/>
          </w:tcPr>
          <w:p>
            <w:pPr>
              <w:jc w:val="center"/>
            </w:pPr>
            <w:r>
              <w:rPr>
                <w:b/>
                <w:color w:val="1B2A41"/>
                <w:sz w:val="16"/>
              </w:rPr>
              <w:t>Integrated Clinical Reasoning</w:t>
            </w:r>
          </w:p>
        </w:tc>
        <w:tc>
          <w:tcPr>
            <w:tcW w:type="dxa" w:w="3672"/>
            <w:tcMar>
              <w:top w:w="90" w:type="dxa"/>
              <w:start w:w="100" w:type="dxa"/>
              <w:bottom w:w="90" w:type="dxa"/>
              <w:end w:w="100" w:type="dxa"/>
            </w:tcMar>
            <w:vAlign w:val="top"/>
          </w:tcPr>
          <w:p>
            <w:pPr>
              <w:jc w:val="center"/>
            </w:pPr>
            <w:r>
              <w:rPr>
                <w:b/>
                <w:color w:val="1B2A41"/>
                <w:sz w:val="16"/>
              </w:rPr>
              <w:t>Integrated housing, health, and immigration coercion</w:t>
            </w:r>
          </w:p>
        </w:tc>
      </w:tr>
    </w:tbl>
    <w:p>
      <w:pPr>
        <w:keepNext/>
      </w:pPr>
      <w:r>
        <w:rPr>
          <w:b/>
          <w:color w:val="1B2A41"/>
          <w:sz w:val="22"/>
        </w:rPr>
        <w:t>Question</w:t>
      </w:r>
    </w:p>
    <w:p>
      <w:pPr>
        <w:keepNext/>
      </w:pPr>
      <w:r>
        <w:rPr>
          <w:b/>
        </w:rPr>
        <w:t>A refugee parent reports that a landlord threatens to report the family's immigration status if they complain about severe mold that is worsening a child's asthma. The parent fears losing housing. What should the social worker do FIRST?</w:t>
      </w:r>
    </w:p>
    <w:p>
      <w:pPr>
        <w:pStyle w:val="Option"/>
        <w:keepNext/>
      </w:pPr>
      <w:r>
        <w:rPr>
          <w:b/>
        </w:rPr>
        <w:t xml:space="preserve">A. </w:t>
      </w:r>
      <w:r>
        <w:t>Contact the landlord immediately and reveal the family's concerns.</w:t>
      </w:r>
    </w:p>
    <w:p>
      <w:pPr>
        <w:pStyle w:val="Option"/>
        <w:keepNext/>
      </w:pPr>
      <w:r>
        <w:rPr>
          <w:b/>
        </w:rPr>
        <w:t xml:space="preserve">B. </w:t>
      </w:r>
      <w:r>
        <w:t>Tell the family to move immediately without assessing feasibility.</w:t>
      </w:r>
    </w:p>
    <w:p>
      <w:pPr>
        <w:pStyle w:val="Option"/>
        <w:keepNext/>
      </w:pPr>
      <w:r>
        <w:rPr>
          <w:b/>
        </w:rPr>
        <w:t xml:space="preserve">C. </w:t>
      </w:r>
      <w:r>
        <w:t>Avoid the issue because immigration and housing law are outside clinical practice.</w:t>
      </w:r>
    </w:p>
    <w:p>
      <w:pPr>
        <w:pStyle w:val="Option"/>
        <w:keepNext/>
      </w:pPr>
      <w:r>
        <w:rPr>
          <w:b/>
        </w:rPr>
        <w:t xml:space="preserve">D. </w:t>
      </w:r>
      <w:r>
        <w:t>Assess the child's immediate health and housing safety, clarify confidentiality, explore the parent's priorities and retaliation fears, and connect qualified housing and legal resources with consent.</w:t>
      </w:r>
    </w:p>
    <w:p>
      <w:r>
        <w:rPr>
          <w:b/>
          <w:color w:val="237852"/>
        </w:rPr>
        <w:t>Correct Answer: D</w:t>
      </w:r>
    </w:p>
    <w:p>
      <w:pPr>
        <w:keepNext/>
      </w:pPr>
      <w:r>
        <w:rPr>
          <w:b/>
          <w:color w:val="1B2A41"/>
          <w:sz w:val="22"/>
        </w:rPr>
        <w:t>Rationales</w:t>
      </w:r>
    </w:p>
    <w:p>
      <w:pPr>
        <w:pStyle w:val="Rationale"/>
      </w:pPr>
      <w:r>
        <w:rPr>
          <w:b/>
          <w:color w:val="A02D2D"/>
        </w:rPr>
        <w:t xml:space="preserve">A. </w:t>
      </w:r>
      <w:r>
        <w:t>Incorrect. Unplanned contact may increase retaliation and should follow informed safety planning.</w:t>
      </w:r>
    </w:p>
    <w:p>
      <w:pPr>
        <w:pStyle w:val="Rationale"/>
      </w:pPr>
      <w:r>
        <w:rPr>
          <w:b/>
          <w:color w:val="A02D2D"/>
        </w:rPr>
        <w:t xml:space="preserve">B. </w:t>
      </w:r>
      <w:r>
        <w:t>Incorrect. This may be impossible, coercive, and destabilizing.</w:t>
      </w:r>
    </w:p>
    <w:p>
      <w:pPr>
        <w:pStyle w:val="Rationale"/>
      </w:pPr>
      <w:r>
        <w:rPr>
          <w:b/>
          <w:color w:val="A02D2D"/>
        </w:rPr>
        <w:t xml:space="preserve">C. </w:t>
      </w:r>
      <w:r>
        <w:t>Incorrect. The social worker can assess safety, support choice, and coordinate qualified resources without giving legal advice.</w:t>
      </w:r>
    </w:p>
    <w:p>
      <w:pPr>
        <w:pStyle w:val="Rationale"/>
      </w:pPr>
      <w:r>
        <w:rPr>
          <w:b/>
          <w:color w:val="237852"/>
        </w:rPr>
        <w:t xml:space="preserve">D. </w:t>
      </w:r>
      <w:r>
        <w:t>Correct. The response integrates health, coercion, immigration-related power, housing access, and client-led advocacy.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Protect health and confidentiality while letting the family guide a retaliation-aware advocacy and referral plan.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jc w:val="center"/>
            </w:pPr>
            <w:r>
              <w:rPr>
                <w:b/>
                <w:color w:val="1B2A41"/>
                <w:sz w:val="16"/>
              </w:rPr>
              <w:t>Question ID</w:t>
            </w:r>
          </w:p>
        </w:tc>
        <w:tc>
          <w:tcPr>
            <w:tcW w:type="dxa" w:w="1728"/>
            <w:shd w:fill="DCEDEA"/>
            <w:tcMar>
              <w:top w:w="90" w:type="dxa"/>
              <w:start w:w="100" w:type="dxa"/>
              <w:bottom w:w="90" w:type="dxa"/>
              <w:end w:w="100" w:type="dxa"/>
            </w:tcMar>
            <w:vAlign w:val="center"/>
          </w:tcPr>
          <w:p>
            <w:pPr>
              <w:jc w:val="center"/>
            </w:pPr>
            <w:r>
              <w:rPr>
                <w:b/>
                <w:color w:val="1B2A41"/>
                <w:sz w:val="16"/>
              </w:rPr>
              <w:t>Difficulty</w:t>
            </w:r>
          </w:p>
        </w:tc>
        <w:tc>
          <w:tcPr>
            <w:tcW w:type="dxa" w:w="2520"/>
            <w:shd w:fill="DCEDEA"/>
            <w:tcMar>
              <w:top w:w="90" w:type="dxa"/>
              <w:start w:w="100" w:type="dxa"/>
              <w:bottom w:w="90" w:type="dxa"/>
              <w:end w:w="100" w:type="dxa"/>
            </w:tcMar>
            <w:vAlign w:val="center"/>
          </w:tcPr>
          <w:p>
            <w:pPr>
              <w:jc w:val="center"/>
            </w:pPr>
            <w:r>
              <w:rPr>
                <w:b/>
                <w:color w:val="1B2A41"/>
                <w:sz w:val="16"/>
              </w:rPr>
              <w:t>Question Type</w:t>
            </w:r>
          </w:p>
        </w:tc>
        <w:tc>
          <w:tcPr>
            <w:tcW w:type="dxa" w:w="3672"/>
            <w:shd w:fill="DCEDEA"/>
            <w:tcMar>
              <w:top w:w="90" w:type="dxa"/>
              <w:start w:w="100" w:type="dxa"/>
              <w:bottom w:w="90" w:type="dxa"/>
              <w:end w:w="100" w:type="dxa"/>
            </w:tcMar>
            <w:vAlign w:val="center"/>
          </w:tcPr>
          <w:p>
            <w:pPr>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jc w:val="center"/>
            </w:pPr>
            <w:r>
              <w:rPr>
                <w:b/>
                <w:color w:val="1B2A41"/>
                <w:sz w:val="16"/>
              </w:rPr>
              <w:t>LCSW-WB02-QB-Q017</w:t>
            </w:r>
          </w:p>
        </w:tc>
        <w:tc>
          <w:tcPr>
            <w:tcW w:type="dxa" w:w="1728"/>
            <w:tcMar>
              <w:top w:w="90" w:type="dxa"/>
              <w:start w:w="100" w:type="dxa"/>
              <w:bottom w:w="90" w:type="dxa"/>
              <w:end w:w="100" w:type="dxa"/>
            </w:tcMar>
            <w:vAlign w:val="top"/>
          </w:tcPr>
          <w:p>
            <w:pPr>
              <w:jc w:val="center"/>
            </w:pPr>
            <w:r>
              <w:rPr>
                <w:b/>
                <w:color w:val="1B2A41"/>
                <w:sz w:val="16"/>
              </w:rPr>
              <w:t>Difficult</w:t>
            </w:r>
          </w:p>
        </w:tc>
        <w:tc>
          <w:tcPr>
            <w:tcW w:type="dxa" w:w="2520"/>
            <w:tcMar>
              <w:top w:w="90" w:type="dxa"/>
              <w:start w:w="100" w:type="dxa"/>
              <w:bottom w:w="90" w:type="dxa"/>
              <w:end w:w="100" w:type="dxa"/>
            </w:tcMar>
            <w:vAlign w:val="top"/>
          </w:tcPr>
          <w:p>
            <w:pPr>
              <w:jc w:val="center"/>
            </w:pPr>
            <w:r>
              <w:rPr>
                <w:b/>
                <w:color w:val="1B2A41"/>
                <w:sz w:val="16"/>
              </w:rPr>
              <w:t>Integrated Clinical Reasoning</w:t>
            </w:r>
          </w:p>
        </w:tc>
        <w:tc>
          <w:tcPr>
            <w:tcW w:type="dxa" w:w="3672"/>
            <w:tcMar>
              <w:top w:w="90" w:type="dxa"/>
              <w:start w:w="100" w:type="dxa"/>
              <w:bottom w:w="90" w:type="dxa"/>
              <w:end w:w="100" w:type="dxa"/>
            </w:tcMar>
            <w:vAlign w:val="top"/>
          </w:tcPr>
          <w:p>
            <w:pPr>
              <w:jc w:val="center"/>
            </w:pPr>
            <w:r>
              <w:rPr>
                <w:b/>
                <w:color w:val="1B2A41"/>
                <w:sz w:val="16"/>
              </w:rPr>
              <w:t>Integrated crisis, closure, and community access</w:t>
            </w:r>
          </w:p>
        </w:tc>
      </w:tr>
    </w:tbl>
    <w:p>
      <w:pPr>
        <w:keepNext/>
      </w:pPr>
      <w:r>
        <w:rPr>
          <w:b/>
          <w:color w:val="1B2A41"/>
          <w:sz w:val="22"/>
        </w:rPr>
        <w:t>Question</w:t>
      </w:r>
    </w:p>
    <w:p>
      <w:pPr>
        <w:keepNext/>
      </w:pPr>
      <w:r>
        <w:rPr>
          <w:b/>
        </w:rPr>
        <w:t>A neighborhood clinic announces closure while one current client is in crisis and residents report that the closure will leave the area without accessible services. What should the social worker do FIRST?</w:t>
      </w:r>
    </w:p>
    <w:p>
      <w:pPr>
        <w:pStyle w:val="Option"/>
        <w:keepNext/>
      </w:pPr>
      <w:r>
        <w:rPr>
          <w:b/>
        </w:rPr>
        <w:t xml:space="preserve">A. </w:t>
      </w:r>
      <w:r>
        <w:t>Stabilize the client's immediate safety and continuity needs while also organizing transparent transition planning and client-informed advocacy about the broader access gap.</w:t>
      </w:r>
    </w:p>
    <w:p>
      <w:pPr>
        <w:pStyle w:val="Option"/>
        <w:keepNext/>
      </w:pPr>
      <w:r>
        <w:rPr>
          <w:b/>
        </w:rPr>
        <w:t xml:space="preserve">B. </w:t>
      </w:r>
      <w:r>
        <w:t>Focus only on the community campaign and postpone the crisis response.</w:t>
      </w:r>
    </w:p>
    <w:p>
      <w:pPr>
        <w:pStyle w:val="Option"/>
        <w:keepNext/>
      </w:pPr>
      <w:r>
        <w:rPr>
          <w:b/>
        </w:rPr>
        <w:t xml:space="preserve">C. </w:t>
      </w:r>
      <w:r>
        <w:t>Transfer all clients to a distant provider without assessing access.</w:t>
      </w:r>
    </w:p>
    <w:p>
      <w:r>
        <w:rPr>
          <w:b/>
          <w:color w:val="237852"/>
        </w:rPr>
        <w:t>Correct Answer: A</w:t>
      </w:r>
    </w:p>
    <w:p>
      <w:pPr>
        <w:keepNext/>
      </w:pPr>
      <w:r>
        <w:rPr>
          <w:b/>
          <w:color w:val="1B2A41"/>
          <w:sz w:val="22"/>
        </w:rPr>
        <w:t>Rationales</w:t>
      </w:r>
    </w:p>
    <w:p>
      <w:pPr>
        <w:pStyle w:val="Rationale"/>
      </w:pPr>
      <w:r>
        <w:rPr>
          <w:b/>
          <w:color w:val="237852"/>
        </w:rPr>
        <w:t xml:space="preserve">A. </w:t>
      </w:r>
      <w:r>
        <w:t>Correct. The social worker must integrate individual crisis responsibility with ethical termination and structural access concerns.</w:t>
      </w:r>
    </w:p>
    <w:p>
      <w:pPr>
        <w:pStyle w:val="Rationale"/>
      </w:pPr>
      <w:r>
        <w:rPr>
          <w:b/>
          <w:color w:val="A02D2D"/>
        </w:rPr>
        <w:t xml:space="preserve">B. </w:t>
      </w:r>
      <w:r>
        <w:t>Incorrect. Immediate client safety cannot wait.</w:t>
      </w:r>
    </w:p>
    <w:p>
      <w:pPr>
        <w:pStyle w:val="Rationale"/>
      </w:pPr>
      <w:r>
        <w:rPr>
          <w:b/>
          <w:color w:val="A02D2D"/>
        </w:rPr>
        <w:t xml:space="preserve">C. </w:t>
      </w:r>
      <w:r>
        <w:t>Incorrect. A referral is not continuity when transportation, language, or cost make it unusable.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Protect the person in immediate danger while building a real, accessible transition for the wider client community.</w:t>
            </w:r>
          </w:p>
        </w:tc>
      </w:tr>
    </w:tbl>
    <w:p/>
    <w:p>
      <w:r>
        <w:br w:type="page"/>
      </w:r>
    </w:p>
    <w:p>
      <w:pPr>
        <w:pStyle w:val="Heading1"/>
      </w:pPr>
      <w:r>
        <w:t>Final Quality-Control Summary</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Quality-Control Area</w:t>
            </w:r>
          </w:p>
        </w:tc>
        <w:tc>
          <w:tcPr>
            <w:tcW w:type="dxa" w:w="6984"/>
            <w:shd w:fill="DCEDEA"/>
            <w:tcMar>
              <w:top w:w="90" w:type="dxa"/>
              <w:start w:w="100" w:type="dxa"/>
              <w:bottom w:w="90" w:type="dxa"/>
              <w:end w:w="100" w:type="dxa"/>
            </w:tcMar>
            <w:vAlign w:val="center"/>
          </w:tcPr>
          <w:p>
            <w:pPr>
              <w:jc w:val="center"/>
            </w:pPr>
            <w:r>
              <w:rPr>
                <w:b/>
                <w:color w:val="1B2A41"/>
                <w:sz w:val="17"/>
              </w:rPr>
              <w:t>Result</w:t>
            </w:r>
          </w:p>
        </w:tc>
      </w:tr>
      <w:tr>
        <w:trPr>
          <w:cantSplit w:val="true"/>
        </w:trPr>
        <w:tc>
          <w:tcPr>
            <w:tcW w:type="dxa" w:w="3240"/>
            <w:tcMar>
              <w:top w:w="90" w:type="dxa"/>
              <w:start w:w="100" w:type="dxa"/>
              <w:bottom w:w="90" w:type="dxa"/>
              <w:end w:w="100" w:type="dxa"/>
            </w:tcMar>
            <w:vAlign w:val="top"/>
          </w:tcPr>
          <w:p>
            <w:r>
              <w:rPr>
                <w:sz w:val="17"/>
              </w:rPr>
              <w:t>Question count</w:t>
            </w:r>
          </w:p>
        </w:tc>
        <w:tc>
          <w:tcPr>
            <w:tcW w:type="dxa" w:w="6984"/>
            <w:tcMar>
              <w:top w:w="90" w:type="dxa"/>
              <w:start w:w="100" w:type="dxa"/>
              <w:bottom w:w="90" w:type="dxa"/>
              <w:end w:w="100" w:type="dxa"/>
            </w:tcMar>
            <w:vAlign w:val="top"/>
          </w:tcPr>
          <w:p>
            <w:r>
              <w:rPr>
                <w:sz w:val="17"/>
              </w:rPr>
              <w:t>17 unique questions</w:t>
            </w:r>
          </w:p>
        </w:tc>
      </w:tr>
      <w:tr>
        <w:trPr>
          <w:cantSplit w:val="true"/>
        </w:trPr>
        <w:tc>
          <w:tcPr>
            <w:tcW w:type="dxa" w:w="3240"/>
            <w:tcMar>
              <w:top w:w="90" w:type="dxa"/>
              <w:start w:w="100" w:type="dxa"/>
              <w:bottom w:w="90" w:type="dxa"/>
              <w:end w:w="100" w:type="dxa"/>
            </w:tcMar>
            <w:vAlign w:val="top"/>
          </w:tcPr>
          <w:p>
            <w:r>
              <w:rPr>
                <w:sz w:val="17"/>
              </w:rPr>
              <w:t>Difficulty balance</w:t>
            </w:r>
          </w:p>
        </w:tc>
        <w:tc>
          <w:tcPr>
            <w:tcW w:type="dxa" w:w="6984"/>
            <w:tcMar>
              <w:top w:w="90" w:type="dxa"/>
              <w:start w:w="100" w:type="dxa"/>
              <w:bottom w:w="90" w:type="dxa"/>
              <w:end w:w="100" w:type="dxa"/>
            </w:tcMar>
            <w:vAlign w:val="top"/>
          </w:tcPr>
          <w:p>
            <w:r>
              <w:rPr>
                <w:sz w:val="17"/>
              </w:rPr>
              <w:t>5 Easy | 7 Moderate | 5 Difficult</w:t>
            </w:r>
          </w:p>
        </w:tc>
      </w:tr>
      <w:tr>
        <w:trPr>
          <w:cantSplit w:val="true"/>
        </w:trPr>
        <w:tc>
          <w:tcPr>
            <w:tcW w:type="dxa" w:w="3240"/>
            <w:tcMar>
              <w:top w:w="90" w:type="dxa"/>
              <w:start w:w="100" w:type="dxa"/>
              <w:bottom w:w="90" w:type="dxa"/>
              <w:end w:w="100" w:type="dxa"/>
            </w:tcMar>
            <w:vAlign w:val="top"/>
          </w:tcPr>
          <w:p>
            <w:r>
              <w:rPr>
                <w:sz w:val="17"/>
              </w:rPr>
              <w:t>Answer balance</w:t>
            </w:r>
          </w:p>
        </w:tc>
        <w:tc>
          <w:tcPr>
            <w:tcW w:type="dxa" w:w="6984"/>
            <w:tcMar>
              <w:top w:w="90" w:type="dxa"/>
              <w:start w:w="100" w:type="dxa"/>
              <w:bottom w:w="90" w:type="dxa"/>
              <w:end w:w="100" w:type="dxa"/>
            </w:tcMar>
            <w:vAlign w:val="top"/>
          </w:tcPr>
          <w:p>
            <w:r>
              <w:rPr>
                <w:sz w:val="17"/>
              </w:rPr>
              <w:t>A=5 | B=4 | C=4 | D=4</w:t>
            </w:r>
          </w:p>
        </w:tc>
      </w:tr>
      <w:tr>
        <w:trPr>
          <w:cantSplit w:val="true"/>
        </w:trPr>
        <w:tc>
          <w:tcPr>
            <w:tcW w:type="dxa" w:w="3240"/>
            <w:tcMar>
              <w:top w:w="90" w:type="dxa"/>
              <w:start w:w="100" w:type="dxa"/>
              <w:bottom w:w="90" w:type="dxa"/>
              <w:end w:w="100" w:type="dxa"/>
            </w:tcMar>
            <w:vAlign w:val="top"/>
          </w:tcPr>
          <w:p>
            <w:r>
              <w:rPr>
                <w:sz w:val="17"/>
              </w:rPr>
              <w:t>Rationales</w:t>
            </w:r>
          </w:p>
        </w:tc>
        <w:tc>
          <w:tcPr>
            <w:tcW w:type="dxa" w:w="6984"/>
            <w:tcMar>
              <w:top w:w="90" w:type="dxa"/>
              <w:start w:w="100" w:type="dxa"/>
              <w:bottom w:w="90" w:type="dxa"/>
              <w:end w:w="100" w:type="dxa"/>
            </w:tcMar>
            <w:vAlign w:val="top"/>
          </w:tcPr>
          <w:p>
            <w:r>
              <w:rPr>
                <w:sz w:val="17"/>
              </w:rPr>
              <w:t>Complete rationale for every presented option</w:t>
            </w:r>
          </w:p>
        </w:tc>
      </w:tr>
      <w:tr>
        <w:trPr>
          <w:cantSplit w:val="true"/>
        </w:trPr>
        <w:tc>
          <w:tcPr>
            <w:tcW w:type="dxa" w:w="3240"/>
            <w:tcMar>
              <w:top w:w="90" w:type="dxa"/>
              <w:start w:w="100" w:type="dxa"/>
              <w:bottom w:w="90" w:type="dxa"/>
              <w:end w:w="100" w:type="dxa"/>
            </w:tcMar>
            <w:vAlign w:val="top"/>
          </w:tcPr>
          <w:p>
            <w:r>
              <w:rPr>
                <w:sz w:val="17"/>
              </w:rPr>
              <w:t>Exam strategy</w:t>
            </w:r>
          </w:p>
        </w:tc>
        <w:tc>
          <w:tcPr>
            <w:tcW w:type="dxa" w:w="6984"/>
            <w:tcMar>
              <w:top w:w="90" w:type="dxa"/>
              <w:start w:w="100" w:type="dxa"/>
              <w:bottom w:w="90" w:type="dxa"/>
              <w:end w:w="100" w:type="dxa"/>
            </w:tcMar>
            <w:vAlign w:val="top"/>
          </w:tcPr>
          <w:p>
            <w:r>
              <w:rPr>
                <w:sz w:val="17"/>
              </w:rPr>
              <w:t>Included for every question</w:t>
            </w:r>
          </w:p>
        </w:tc>
      </w:tr>
      <w:tr>
        <w:trPr>
          <w:cantSplit w:val="true"/>
        </w:trPr>
        <w:tc>
          <w:tcPr>
            <w:tcW w:type="dxa" w:w="3240"/>
            <w:tcMar>
              <w:top w:w="90" w:type="dxa"/>
              <w:start w:w="100" w:type="dxa"/>
              <w:bottom w:w="90" w:type="dxa"/>
              <w:end w:w="100" w:type="dxa"/>
            </w:tcMar>
            <w:vAlign w:val="top"/>
          </w:tcPr>
          <w:p>
            <w:r>
              <w:rPr>
                <w:sz w:val="17"/>
              </w:rPr>
              <w:t>Originality</w:t>
            </w:r>
          </w:p>
        </w:tc>
        <w:tc>
          <w:tcPr>
            <w:tcW w:type="dxa" w:w="6984"/>
            <w:tcMar>
              <w:top w:w="90" w:type="dxa"/>
              <w:start w:w="100" w:type="dxa"/>
              <w:bottom w:w="90" w:type="dxa"/>
              <w:end w:w="100" w:type="dxa"/>
            </w:tcMar>
            <w:vAlign w:val="top"/>
          </w:tcPr>
          <w:p>
            <w:r>
              <w:rPr>
                <w:sz w:val="17"/>
              </w:rPr>
              <w:t>Selected original CTA items; no official or third-party sample question is reproduced</w:t>
            </w:r>
          </w:p>
        </w:tc>
      </w:tr>
      <w:tr>
        <w:trPr>
          <w:cantSplit w:val="true"/>
        </w:trPr>
        <w:tc>
          <w:tcPr>
            <w:tcW w:type="dxa" w:w="3240"/>
            <w:tcMar>
              <w:top w:w="90" w:type="dxa"/>
              <w:start w:w="100" w:type="dxa"/>
              <w:bottom w:w="90" w:type="dxa"/>
              <w:end w:w="100" w:type="dxa"/>
            </w:tcMar>
            <w:vAlign w:val="top"/>
          </w:tcPr>
          <w:p>
            <w:r>
              <w:rPr>
                <w:sz w:val="17"/>
              </w:rPr>
              <w:t>Development reserve</w:t>
            </w:r>
          </w:p>
        </w:tc>
        <w:tc>
          <w:tcPr>
            <w:tcW w:type="dxa" w:w="6984"/>
            <w:tcMar>
              <w:top w:w="90" w:type="dxa"/>
              <w:start w:w="100" w:type="dxa"/>
              <w:bottom w:w="90" w:type="dxa"/>
              <w:end w:w="100" w:type="dxa"/>
            </w:tcMar>
            <w:vAlign w:val="top"/>
          </w:tcPr>
          <w:p>
            <w:r>
              <w:rPr>
                <w:sz w:val="17"/>
              </w:rPr>
              <w:t>33 nonselected Workbook 2 draft items retained internally and not presented as part of this student question bank</w:t>
            </w:r>
          </w:p>
        </w:tc>
      </w:tr>
      <w:tr>
        <w:trPr>
          <w:cantSplit w:val="true"/>
        </w:trPr>
        <w:tc>
          <w:tcPr>
            <w:tcW w:type="dxa" w:w="3240"/>
            <w:tcMar>
              <w:top w:w="90" w:type="dxa"/>
              <w:start w:w="100" w:type="dxa"/>
              <w:bottom w:w="90" w:type="dxa"/>
              <w:end w:w="100" w:type="dxa"/>
            </w:tcMar>
            <w:vAlign w:val="top"/>
          </w:tcPr>
          <w:p>
            <w:r>
              <w:rPr>
                <w:sz w:val="17"/>
              </w:rPr>
              <w:t>Currency review</w:t>
            </w:r>
          </w:p>
        </w:tc>
        <w:tc>
          <w:tcPr>
            <w:tcW w:type="dxa" w:w="6984"/>
            <w:tcMar>
              <w:top w:w="90" w:type="dxa"/>
              <w:start w:w="100" w:type="dxa"/>
              <w:bottom w:w="90" w:type="dxa"/>
              <w:end w:w="100" w:type="dxa"/>
            </w:tcMar>
            <w:vAlign w:val="top"/>
          </w:tcPr>
          <w:p>
            <w:r>
              <w:rPr>
                <w:sz w:val="17"/>
              </w:rPr>
              <w:t>Current examination resources reviewed through July 24, 2026; re-audit before future publication after material changes</w:t>
            </w:r>
          </w:p>
        </w:tc>
      </w:tr>
    </w:tbl>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Important</w:t>
              <w:br/>
            </w:r>
            <w:r>
              <w:rPr>
                <w:sz w:val="19"/>
              </w:rPr>
              <w:t>The larger comprehensive practice examinations will be developed separately from the official examination blueprints. They will not simply combine or repeat the workbook question banks.</w:t>
            </w:r>
          </w:p>
        </w:tc>
      </w:tr>
    </w:tbl>
    <w:p/>
    <w:sectPr w:rsidR="00FC693F" w:rsidRPr="0006063C" w:rsidSect="00034616">
      <w:headerReference w:type="default" r:id="rId9"/>
      <w:footerReference w:type="default" r:id="rId10"/>
      <w:headerReference w:type="first" r:id="rId11"/>
      <w:footerReference w:type="first" r:id="rId12"/>
      <w:pgSz w:w="12240" w:h="15840"/>
      <w:pgMar w:top="907" w:right="1008" w:bottom="835" w:left="1008"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8"/>
      </w:rPr>
      <w:t xml:space="preserve">Clinical Training Academy • </w:t>
    </w:r>
    <w:r>
      <w:rPr>
        <w:color w:val="696969"/>
        <w:sz w:val="18"/>
      </w:rPr>
      <w:t xml:space="preserve">Page </w:t>
    </w:r>
    <w:fldSimple w:instr="PAGE">
      <w:r>
        <w:rPr>
          <w:color w:val="666666"/>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9" w:space="2" w:color="2A9D8F"/>
      </w:pBdr>
    </w:pPr>
    <w:r>
      <w:rPr>
        <w:rFonts w:ascii="Arial" w:hAnsi="Arial"/>
        <w:b/>
        <w:color w:val="1B2A41"/>
        <w:sz w:val="16"/>
      </w:rPr>
      <w:t>CTA LCSW Workbook 2 Question Bank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1"/>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B2A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A9D8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Metadata">
    <w:name w:val="Item Metadata"/>
    <w:pPr>
      <w:spacing w:after="40"/>
    </w:pPr>
    <w:rPr>
      <w:rFonts w:ascii="Arial" w:hAnsi="Arial"/>
      <w:color w:val="696969"/>
      <w:sz w:val="16"/>
    </w:rPr>
  </w:style>
  <w:style w:type="paragraph" w:customStyle="1" w:styleId="Option">
    <w:name w:val="Option"/>
    <w:pPr>
      <w:spacing w:after="50"/>
      <w:ind w:left="317" w:hanging="317"/>
    </w:pPr>
    <w:rPr>
      <w:rFonts w:ascii="Arial" w:hAnsi="Arial"/>
      <w:sz w:val="20"/>
    </w:rPr>
  </w:style>
  <w:style w:type="paragraph" w:customStyle="1" w:styleId="Rationale">
    <w:name w:val="Rationale"/>
    <w:pPr>
      <w:spacing w:after="60"/>
      <w:ind w:left="259" w:hanging="259"/>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2 Question Bank</dc:title>
  <dc:subject>LCSW Workbook 2 seventeen-question clinical examination question bank</dc:subject>
  <dc:creator>Clinical Training Academy</dc:creator>
  <cp:keywords>LMFT, LCSW, clinical exam preparation, practice examination, question bank</cp:keywords>
  <dc:description>Original Clinical Training Academy educational material.</dc:description>
  <cp:lastModifiedBy/>
  <cp:revision>1</cp:revision>
  <dcterms:created xsi:type="dcterms:W3CDTF">2013-12-23T23:15:00Z</dcterms:created>
  <dcterms:modified xsi:type="dcterms:W3CDTF">2013-12-23T23:15:00Z</dcterms:modified>
  <cp:category/>
</cp:coreProperties>
</file>