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987552" cy="713848"/>
            <wp:docPr id="1" name="Picture 1" descr="Clinical Training Academy logo" title="Clinical Training Academy logo"/>
            <wp:cNvGraphicFramePr>
              <a:graphicFrameLocks noChangeAspect="1"/>
            </wp:cNvGraphicFramePr>
            <a:graphic>
              <a:graphicData uri="http://schemas.openxmlformats.org/drawingml/2006/picture">
                <pic:pic>
                  <pic:nvPicPr>
                    <pic:cNvPr id="0" name="image1.png"/>
                    <pic:cNvPicPr/>
                  </pic:nvPicPr>
                  <pic:blipFill>
                    <a:blip r:embed="rId13"/>
                    <a:stretch>
                      <a:fillRect/>
                    </a:stretch>
                  </pic:blipFill>
                  <pic:spPr>
                    <a:xfrm>
                      <a:off x="0" y="0"/>
                      <a:ext cx="987552" cy="713848"/>
                    </a:xfrm>
                    <a:prstGeom prst="rect"/>
                  </pic:spPr>
                </pic:pic>
              </a:graphicData>
            </a:graphic>
          </wp:inline>
        </w:drawing>
      </w:r>
    </w:p>
    <w:p>
      <w:pPr>
        <w:jc w:val="center"/>
      </w:pPr>
      <w:r>
        <w:rPr>
          <w:b/>
          <w:color w:val="2A9D8F"/>
          <w:sz w:val="22"/>
        </w:rPr>
        <w:t>LCSW CLINICAL EXAM PREPARATION PROGRAM</w:t>
      </w:r>
    </w:p>
    <w:p>
      <w:pPr>
        <w:pStyle w:val="Title"/>
        <w:jc w:val="center"/>
      </w:pPr>
      <w:r>
        <w:t>LCSW Clinical Question Bank</w:t>
      </w:r>
    </w:p>
    <w:p>
      <w:pPr>
        <w:pStyle w:val="Subtitle"/>
        <w:jc w:val="center"/>
      </w:pPr>
      <w:r>
        <w:t>Workbook 5: Diagnosis, Medical Factors, and Psychopharmacology</w:t>
      </w:r>
    </w:p>
    <w:p>
      <w:pPr>
        <w:jc w:val="center"/>
      </w:pPr>
      <w:r>
        <w:rPr>
          <w:b/>
          <w:color w:val="1B2A41"/>
          <w:sz w:val="22"/>
        </w:rPr>
        <w:t>17 QUESTIONS WITH COMPLETE RATIONALES AND EXAM STRATEGIES</w:t>
      </w:r>
    </w:p>
    <w:p/>
    <w:p>
      <w:pPr>
        <w:jc w:val="center"/>
      </w:pPr>
      <w:r>
        <w:rPr>
          <w:color w:val="696969"/>
          <w:sz w:val="20"/>
        </w:rPr>
        <w:t>Version 1.0 • July 2026</w:t>
      </w:r>
    </w:p>
    <w:p>
      <w:pPr>
        <w:jc w:val="center"/>
      </w:pPr>
      <w:r>
        <w:rPr>
          <w:b/>
          <w:color w:val="1B2A41"/>
          <w:sz w:val="24"/>
        </w:rPr>
        <w:t>Clinical Training Academy</w:t>
      </w:r>
    </w:p>
    <w:p>
      <w:r>
        <w:br w:type="page"/>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EAF4F2"/>
            <w:tcMar>
              <w:top w:w="130" w:type="dxa"/>
              <w:start w:w="150" w:type="dxa"/>
              <w:bottom w:w="130" w:type="dxa"/>
              <w:end w:w="150" w:type="dxa"/>
            </w:tcMar>
          </w:tcPr>
          <w:p>
            <w:r>
              <w:rPr>
                <w:b/>
                <w:color w:val="1B2A41"/>
                <w:sz w:val="21"/>
              </w:rPr>
              <w:t>Publication and Use Notice</w:t>
              <w:br/>
            </w:r>
            <w:r>
              <w:rPr>
                <w:sz w:val="19"/>
              </w:rPr>
              <w:t>This original Clinical Training Academy resource is designed for licensing-examination preparation and professional education. It is not an official licensing examination, is not affiliated with or endorsed by a licensing or testing organization, and does not replace the current diagnostic manual, medical or psychiatric consultation, professional standards, supervision, or case-specific guidance.</w:t>
            </w:r>
          </w:p>
        </w:tc>
      </w:tr>
    </w:tbl>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EAF4F2"/>
            <w:tcMar>
              <w:top w:w="130" w:type="dxa"/>
              <w:start w:w="150" w:type="dxa"/>
              <w:bottom w:w="130" w:type="dxa"/>
              <w:end w:w="150" w:type="dxa"/>
            </w:tcMar>
          </w:tcPr>
          <w:p>
            <w:r>
              <w:rPr>
                <w:b/>
                <w:color w:val="1B2A41"/>
                <w:sz w:val="21"/>
              </w:rPr>
              <w:t>Question Bank Structure</w:t>
              <w:br/>
            </w:r>
            <w:r>
              <w:rPr>
                <w:sz w:val="19"/>
              </w:rPr>
              <w:t>This workbook question bank contains 17 questions: 5 Easy, 7 Moderate, and 5 Difficult. Question type and difficulty are separate classifications. Every item includes one best answer, complete option-by-option rationales, and a CTA exam strategy.</w:t>
            </w:r>
          </w:p>
        </w:tc>
      </w:tr>
    </w:tbl>
    <w:p/>
    <w:p>
      <w:pPr>
        <w:pStyle w:val="Heading1"/>
      </w:pPr>
      <w:r>
        <w:t>Question Bank Blueprint</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3240"/>
            <w:shd w:fill="DCEDEA"/>
            <w:tcMar>
              <w:top w:w="90" w:type="dxa"/>
              <w:start w:w="100" w:type="dxa"/>
              <w:bottom w:w="90" w:type="dxa"/>
              <w:end w:w="100" w:type="dxa"/>
            </w:tcMar>
            <w:vAlign w:val="center"/>
          </w:tcPr>
          <w:p>
            <w:pPr>
              <w:jc w:val="center"/>
            </w:pPr>
            <w:r>
              <w:rPr>
                <w:b/>
                <w:color w:val="1B2A41"/>
                <w:sz w:val="17"/>
              </w:rPr>
              <w:t>Control</w:t>
            </w:r>
          </w:p>
        </w:tc>
        <w:tc>
          <w:tcPr>
            <w:tcW w:type="dxa" w:w="6984"/>
            <w:shd w:fill="DCEDEA"/>
            <w:tcMar>
              <w:top w:w="90" w:type="dxa"/>
              <w:start w:w="100" w:type="dxa"/>
              <w:bottom w:w="90" w:type="dxa"/>
              <w:end w:w="100" w:type="dxa"/>
            </w:tcMar>
            <w:vAlign w:val="center"/>
          </w:tcPr>
          <w:p>
            <w:pPr>
              <w:jc w:val="center"/>
            </w:pPr>
            <w:r>
              <w:rPr>
                <w:b/>
                <w:color w:val="1B2A41"/>
                <w:sz w:val="17"/>
              </w:rPr>
              <w:t>Final Design</w:t>
            </w:r>
          </w:p>
        </w:tc>
      </w:tr>
      <w:tr>
        <w:trPr>
          <w:cantSplit w:val="true"/>
        </w:trPr>
        <w:tc>
          <w:tcPr>
            <w:tcW w:type="dxa" w:w="3240"/>
            <w:tcMar>
              <w:top w:w="90" w:type="dxa"/>
              <w:start w:w="100" w:type="dxa"/>
              <w:bottom w:w="90" w:type="dxa"/>
              <w:end w:w="100" w:type="dxa"/>
            </w:tcMar>
            <w:vAlign w:val="top"/>
          </w:tcPr>
          <w:p>
            <w:r>
              <w:rPr>
                <w:sz w:val="17"/>
              </w:rPr>
              <w:t>Total questions</w:t>
            </w:r>
          </w:p>
        </w:tc>
        <w:tc>
          <w:tcPr>
            <w:tcW w:type="dxa" w:w="6984"/>
            <w:tcMar>
              <w:top w:w="90" w:type="dxa"/>
              <w:start w:w="100" w:type="dxa"/>
              <w:bottom w:w="90" w:type="dxa"/>
              <w:end w:w="100" w:type="dxa"/>
            </w:tcMar>
            <w:vAlign w:val="top"/>
          </w:tcPr>
          <w:p>
            <w:r>
              <w:rPr>
                <w:sz w:val="17"/>
              </w:rPr>
              <w:t>17</w:t>
            </w:r>
          </w:p>
        </w:tc>
      </w:tr>
      <w:tr>
        <w:trPr>
          <w:cantSplit w:val="true"/>
        </w:trPr>
        <w:tc>
          <w:tcPr>
            <w:tcW w:type="dxa" w:w="3240"/>
            <w:tcMar>
              <w:top w:w="90" w:type="dxa"/>
              <w:start w:w="100" w:type="dxa"/>
              <w:bottom w:w="90" w:type="dxa"/>
              <w:end w:w="100" w:type="dxa"/>
            </w:tcMar>
            <w:vAlign w:val="top"/>
          </w:tcPr>
          <w:p>
            <w:r>
              <w:rPr>
                <w:sz w:val="17"/>
              </w:rPr>
              <w:t>Difficulty distribution</w:t>
            </w:r>
          </w:p>
        </w:tc>
        <w:tc>
          <w:tcPr>
            <w:tcW w:type="dxa" w:w="6984"/>
            <w:tcMar>
              <w:top w:w="90" w:type="dxa"/>
              <w:start w:w="100" w:type="dxa"/>
              <w:bottom w:w="90" w:type="dxa"/>
              <w:end w:w="100" w:type="dxa"/>
            </w:tcMar>
            <w:vAlign w:val="top"/>
          </w:tcPr>
          <w:p>
            <w:r>
              <w:rPr>
                <w:sz w:val="17"/>
              </w:rPr>
              <w:t>Easy: 5 | Moderate: 7 | Difficult: 5</w:t>
            </w:r>
          </w:p>
        </w:tc>
      </w:tr>
      <w:tr>
        <w:trPr>
          <w:cantSplit w:val="true"/>
        </w:trPr>
        <w:tc>
          <w:tcPr>
            <w:tcW w:type="dxa" w:w="3240"/>
            <w:tcMar>
              <w:top w:w="90" w:type="dxa"/>
              <w:start w:w="100" w:type="dxa"/>
              <w:bottom w:w="90" w:type="dxa"/>
              <w:end w:w="100" w:type="dxa"/>
            </w:tcMar>
            <w:vAlign w:val="top"/>
          </w:tcPr>
          <w:p>
            <w:r>
              <w:rPr>
                <w:sz w:val="17"/>
              </w:rPr>
              <w:t>Question-type distribution</w:t>
            </w:r>
          </w:p>
        </w:tc>
        <w:tc>
          <w:tcPr>
            <w:tcW w:type="dxa" w:w="6984"/>
            <w:tcMar>
              <w:top w:w="90" w:type="dxa"/>
              <w:start w:w="100" w:type="dxa"/>
              <w:bottom w:w="90" w:type="dxa"/>
              <w:end w:w="100" w:type="dxa"/>
            </w:tcMar>
            <w:vAlign w:val="top"/>
          </w:tcPr>
          <w:p>
            <w:r>
              <w:rPr>
                <w:sz w:val="17"/>
              </w:rPr>
              <w:t>Application: 3 | Integrated Clinical Reasoning: 5 | Knowledge &amp; Recall: 5 | Scenario-Based: 4</w:t>
            </w:r>
          </w:p>
        </w:tc>
      </w:tr>
      <w:tr>
        <w:trPr>
          <w:cantSplit w:val="true"/>
        </w:trPr>
        <w:tc>
          <w:tcPr>
            <w:tcW w:type="dxa" w:w="3240"/>
            <w:tcMar>
              <w:top w:w="90" w:type="dxa"/>
              <w:start w:w="100" w:type="dxa"/>
              <w:bottom w:w="90" w:type="dxa"/>
              <w:end w:w="100" w:type="dxa"/>
            </w:tcMar>
            <w:vAlign w:val="top"/>
          </w:tcPr>
          <w:p>
            <w:r>
              <w:rPr>
                <w:sz w:val="17"/>
              </w:rPr>
              <w:t>Answer distribution</w:t>
            </w:r>
          </w:p>
        </w:tc>
        <w:tc>
          <w:tcPr>
            <w:tcW w:type="dxa" w:w="6984"/>
            <w:tcMar>
              <w:top w:w="90" w:type="dxa"/>
              <w:start w:w="100" w:type="dxa"/>
              <w:bottom w:w="90" w:type="dxa"/>
              <w:end w:w="100" w:type="dxa"/>
            </w:tcMar>
            <w:vAlign w:val="top"/>
          </w:tcPr>
          <w:p>
            <w:r>
              <w:rPr>
                <w:sz w:val="17"/>
              </w:rPr>
              <w:t>A: 5 | B: 4 | C: 4 | D: 4</w:t>
            </w:r>
          </w:p>
        </w:tc>
      </w:tr>
      <w:tr>
        <w:trPr>
          <w:cantSplit w:val="true"/>
        </w:trPr>
        <w:tc>
          <w:tcPr>
            <w:tcW w:type="dxa" w:w="3240"/>
            <w:tcMar>
              <w:top w:w="90" w:type="dxa"/>
              <w:start w:w="100" w:type="dxa"/>
              <w:bottom w:w="90" w:type="dxa"/>
              <w:end w:w="100" w:type="dxa"/>
            </w:tcMar>
            <w:vAlign w:val="top"/>
          </w:tcPr>
          <w:p>
            <w:r>
              <w:rPr>
                <w:sz w:val="17"/>
              </w:rPr>
              <w:t>Option format</w:t>
            </w:r>
          </w:p>
        </w:tc>
        <w:tc>
          <w:tcPr>
            <w:tcW w:type="dxa" w:w="6984"/>
            <w:tcMar>
              <w:top w:w="90" w:type="dxa"/>
              <w:start w:w="100" w:type="dxa"/>
              <w:bottom w:w="90" w:type="dxa"/>
              <w:end w:w="100" w:type="dxa"/>
            </w:tcMar>
            <w:vAlign w:val="top"/>
          </w:tcPr>
          <w:p>
            <w:r>
              <w:rPr>
                <w:sz w:val="17"/>
              </w:rPr>
              <w:t>10 three-option questions | 7 four-option questions</w:t>
            </w:r>
          </w:p>
        </w:tc>
      </w:tr>
      <w:tr>
        <w:trPr>
          <w:cantSplit w:val="true"/>
        </w:trPr>
        <w:tc>
          <w:tcPr>
            <w:tcW w:type="dxa" w:w="3240"/>
            <w:tcMar>
              <w:top w:w="90" w:type="dxa"/>
              <w:start w:w="100" w:type="dxa"/>
              <w:bottom w:w="90" w:type="dxa"/>
              <w:end w:w="100" w:type="dxa"/>
            </w:tcMar>
            <w:vAlign w:val="top"/>
          </w:tcPr>
          <w:p>
            <w:r>
              <w:rPr>
                <w:sz w:val="17"/>
              </w:rPr>
              <w:t>Production scope</w:t>
            </w:r>
          </w:p>
        </w:tc>
        <w:tc>
          <w:tcPr>
            <w:tcW w:type="dxa" w:w="6984"/>
            <w:tcMar>
              <w:top w:w="90" w:type="dxa"/>
              <w:start w:w="100" w:type="dxa"/>
              <w:bottom w:w="90" w:type="dxa"/>
              <w:end w:w="100" w:type="dxa"/>
            </w:tcMar>
            <w:vAlign w:val="top"/>
          </w:tcPr>
          <w:p>
            <w:r>
              <w:rPr>
                <w:sz w:val="17"/>
              </w:rPr>
              <w:t>Exactly 17 workbook-aligned questions; no additional student-facing workbook exam created</w:t>
            </w:r>
          </w:p>
        </w:tc>
      </w:tr>
    </w:tbl>
    <w:p>
      <w:pPr>
        <w:pStyle w:val="Heading1"/>
      </w:pPr>
      <w:r>
        <w:t>How to Use This Question Bank</w:t>
      </w:r>
    </w:p>
    <w:p>
      <w:pPr>
        <w:pStyle w:val="ListBullet"/>
      </w:pPr>
      <w:r>
        <w:t>Work through one difficulty section at a time or complete all 17 questions as a mixed review.</w:t>
      </w:r>
    </w:p>
    <w:p>
      <w:pPr>
        <w:pStyle w:val="ListBullet"/>
      </w:pPr>
      <w:r>
        <w:t>Cover the answer and rationale area before choosing your response.</w:t>
      </w:r>
    </w:p>
    <w:p>
      <w:pPr>
        <w:pStyle w:val="ListBullet"/>
      </w:pPr>
      <w:r>
        <w:t>After answering, study why the keyed option fits the exact qualifier, timing, role, and facts.</w:t>
      </w:r>
    </w:p>
    <w:p>
      <w:pPr>
        <w:pStyle w:val="ListBullet"/>
      </w:pPr>
      <w:r>
        <w:t>Record both incorrect answers and low-confidence correct answers in your study notes.</w:t>
      </w:r>
    </w:p>
    <w:p>
      <w:r>
        <w:br w:type="page"/>
      </w:r>
    </w:p>
    <w:p>
      <w:pPr>
        <w:pStyle w:val="Heading1"/>
      </w:pPr>
      <w:r>
        <w:t>Easy Questions</w:t>
      </w:r>
    </w:p>
    <w:p>
      <w:r>
        <w:rPr>
          <w:i/>
          <w:color w:val="696969"/>
        </w:rPr>
        <w:t>5 questions | Foundational distinctions and direct applications.</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LCSW-WB05-QB-Q001</w:t>
            </w:r>
          </w:p>
        </w:tc>
        <w:tc>
          <w:tcPr>
            <w:tcW w:type="dxa" w:w="1728"/>
            <w:tcMar>
              <w:top w:w="90" w:type="dxa"/>
              <w:start w:w="100" w:type="dxa"/>
              <w:bottom w:w="90" w:type="dxa"/>
              <w:end w:w="100" w:type="dxa"/>
            </w:tcMar>
            <w:vAlign w:val="top"/>
          </w:tcPr>
          <w:p>
            <w:pPr>
              <w:keepNext/>
              <w:jc w:val="center"/>
            </w:pPr>
            <w:r>
              <w:rPr>
                <w:b/>
                <w:color w:val="1B2A41"/>
                <w:sz w:val="16"/>
              </w:rPr>
              <w:t>Easy</w:t>
            </w:r>
          </w:p>
        </w:tc>
        <w:tc>
          <w:tcPr>
            <w:tcW w:type="dxa" w:w="2520"/>
            <w:tcMar>
              <w:top w:w="90" w:type="dxa"/>
              <w:start w:w="100" w:type="dxa"/>
              <w:bottom w:w="90" w:type="dxa"/>
              <w:end w:w="100" w:type="dxa"/>
            </w:tcMar>
            <w:vAlign w:val="top"/>
          </w:tcPr>
          <w:p>
            <w:pPr>
              <w:keepNext/>
              <w:jc w:val="center"/>
            </w:pPr>
            <w:r>
              <w:rPr>
                <w:b/>
                <w:color w:val="1B2A41"/>
                <w:sz w:val="16"/>
              </w:rPr>
              <w:t>Knowledge &amp; Recall</w:t>
            </w:r>
          </w:p>
        </w:tc>
        <w:tc>
          <w:tcPr>
            <w:tcW w:type="dxa" w:w="3672"/>
            <w:tcMar>
              <w:top w:w="90" w:type="dxa"/>
              <w:start w:w="100" w:type="dxa"/>
              <w:bottom w:w="90" w:type="dxa"/>
              <w:end w:w="100" w:type="dxa"/>
            </w:tcMar>
            <w:vAlign w:val="top"/>
          </w:tcPr>
          <w:p>
            <w:pPr>
              <w:keepNext/>
              <w:jc w:val="center"/>
            </w:pPr>
            <w:r>
              <w:rPr>
                <w:b/>
                <w:color w:val="1B2A41"/>
                <w:sz w:val="16"/>
              </w:rPr>
              <w:t>Differential diagnosis</w:t>
            </w:r>
          </w:p>
        </w:tc>
      </w:tr>
    </w:tbl>
    <w:p>
      <w:pPr>
        <w:keepNext/>
      </w:pPr>
      <w:r>
        <w:rPr>
          <w:b/>
          <w:color w:val="1B2A41"/>
          <w:sz w:val="22"/>
        </w:rPr>
        <w:t>Question</w:t>
      </w:r>
    </w:p>
    <w:p>
      <w:pPr>
        <w:keepNext/>
      </w:pPr>
      <w:r>
        <w:rPr>
          <w:b/>
        </w:rPr>
        <w:t>Which statement BEST defines a differential diagnosis?</w:t>
      </w:r>
    </w:p>
    <w:p>
      <w:pPr>
        <w:pStyle w:val="Option"/>
        <w:keepNext/>
      </w:pPr>
      <w:r>
        <w:rPr>
          <w:b/>
        </w:rPr>
        <w:t xml:space="preserve">A. </w:t>
      </w:r>
      <w:r>
        <w:t>The diagnosis listed in the oldest available record.</w:t>
      </w:r>
    </w:p>
    <w:p>
      <w:pPr>
        <w:pStyle w:val="Option"/>
        <w:keepNext/>
      </w:pPr>
      <w:r>
        <w:rPr>
          <w:b/>
        </w:rPr>
        <w:t xml:space="preserve">B. </w:t>
      </w:r>
      <w:r>
        <w:t>A focused comparison of plausible diagnoses and the evidence needed to distinguish among them.</w:t>
      </w:r>
    </w:p>
    <w:p>
      <w:pPr>
        <w:pStyle w:val="Option"/>
        <w:keepNext/>
      </w:pPr>
      <w:r>
        <w:rPr>
          <w:b/>
        </w:rPr>
        <w:t xml:space="preserve">C. </w:t>
      </w:r>
      <w:r>
        <w:t>A list of every disorder in the diagnostic manual.</w:t>
      </w:r>
    </w:p>
    <w:p>
      <w:r>
        <w:rPr>
          <w:b/>
          <w:color w:val="237852"/>
        </w:rPr>
        <w:t>Correct Answer: B</w:t>
      </w:r>
    </w:p>
    <w:p>
      <w:pPr>
        <w:keepNext/>
      </w:pPr>
      <w:r>
        <w:rPr>
          <w:b/>
          <w:color w:val="1B2A41"/>
          <w:sz w:val="22"/>
        </w:rPr>
        <w:t>Rationales</w:t>
      </w:r>
    </w:p>
    <w:p>
      <w:pPr>
        <w:pStyle w:val="Rationale"/>
      </w:pPr>
      <w:r>
        <w:rPr>
          <w:b/>
          <w:color w:val="A02D2D"/>
        </w:rPr>
        <w:t xml:space="preserve">A. </w:t>
      </w:r>
      <w:r>
        <w:t>Incorrect. A prior record is one source and may not fit the current presentation.</w:t>
      </w:r>
    </w:p>
    <w:p>
      <w:pPr>
        <w:pStyle w:val="Rationale"/>
      </w:pPr>
      <w:r>
        <w:rPr>
          <w:b/>
          <w:color w:val="237852"/>
        </w:rPr>
        <w:t xml:space="preserve">B. </w:t>
      </w:r>
      <w:r>
        <w:t>Correct. Differential diagnosis organizes uncertainty around realistic alternatives rather than listing every disorder.</w:t>
      </w:r>
    </w:p>
    <w:p>
      <w:pPr>
        <w:pStyle w:val="Rationale"/>
      </w:pPr>
      <w:r>
        <w:rPr>
          <w:b/>
          <w:color w:val="A02D2D"/>
        </w:rPr>
        <w:t xml:space="preserve">C. </w:t>
      </w:r>
      <w:r>
        <w:t>Incorrect. The differential should be clinically focused and evidence-based.</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A differential is a short list of plausible explanations plus the facts that would separate them.</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LCSW-WB05-QB-Q002</w:t>
            </w:r>
          </w:p>
        </w:tc>
        <w:tc>
          <w:tcPr>
            <w:tcW w:type="dxa" w:w="1728"/>
            <w:tcMar>
              <w:top w:w="90" w:type="dxa"/>
              <w:start w:w="100" w:type="dxa"/>
              <w:bottom w:w="90" w:type="dxa"/>
              <w:end w:w="100" w:type="dxa"/>
            </w:tcMar>
            <w:vAlign w:val="top"/>
          </w:tcPr>
          <w:p>
            <w:pPr>
              <w:keepNext/>
              <w:jc w:val="center"/>
            </w:pPr>
            <w:r>
              <w:rPr>
                <w:b/>
                <w:color w:val="1B2A41"/>
                <w:sz w:val="16"/>
              </w:rPr>
              <w:t>Easy</w:t>
            </w:r>
          </w:p>
        </w:tc>
        <w:tc>
          <w:tcPr>
            <w:tcW w:type="dxa" w:w="2520"/>
            <w:tcMar>
              <w:top w:w="90" w:type="dxa"/>
              <w:start w:w="100" w:type="dxa"/>
              <w:bottom w:w="90" w:type="dxa"/>
              <w:end w:w="100" w:type="dxa"/>
            </w:tcMar>
            <w:vAlign w:val="top"/>
          </w:tcPr>
          <w:p>
            <w:pPr>
              <w:keepNext/>
              <w:jc w:val="center"/>
            </w:pPr>
            <w:r>
              <w:rPr>
                <w:b/>
                <w:color w:val="1B2A41"/>
                <w:sz w:val="16"/>
              </w:rPr>
              <w:t>Knowledge &amp; Recall</w:t>
            </w:r>
          </w:p>
        </w:tc>
        <w:tc>
          <w:tcPr>
            <w:tcW w:type="dxa" w:w="3672"/>
            <w:tcMar>
              <w:top w:w="90" w:type="dxa"/>
              <w:start w:w="100" w:type="dxa"/>
              <w:bottom w:w="90" w:type="dxa"/>
              <w:end w:w="100" w:type="dxa"/>
            </w:tcMar>
            <w:vAlign w:val="top"/>
          </w:tcPr>
          <w:p>
            <w:pPr>
              <w:keepNext/>
              <w:jc w:val="center"/>
            </w:pPr>
            <w:r>
              <w:rPr>
                <w:b/>
                <w:color w:val="1B2A41"/>
                <w:sz w:val="16"/>
              </w:rPr>
              <w:t>Psychopharmacology scope</w:t>
            </w:r>
          </w:p>
        </w:tc>
      </w:tr>
    </w:tbl>
    <w:p>
      <w:pPr>
        <w:keepNext/>
      </w:pPr>
      <w:r>
        <w:rPr>
          <w:b/>
          <w:color w:val="1B2A41"/>
          <w:sz w:val="22"/>
        </w:rPr>
        <w:t>Question</w:t>
      </w:r>
    </w:p>
    <w:p>
      <w:pPr>
        <w:keepNext/>
      </w:pPr>
      <w:r>
        <w:rPr>
          <w:b/>
        </w:rPr>
        <w:t>Which action is within the clinical social worker's appropriate medication-related role?</w:t>
      </w:r>
    </w:p>
    <w:p>
      <w:pPr>
        <w:pStyle w:val="Option"/>
        <w:keepNext/>
      </w:pPr>
      <w:r>
        <w:rPr>
          <w:b/>
        </w:rPr>
        <w:t xml:space="preserve">A. </w:t>
      </w:r>
      <w:r>
        <w:t>Obtain an accurate medication history, assess perceived benefit and side effects, explore adherence barriers, and coordinate communication with the prescriber.</w:t>
      </w:r>
    </w:p>
    <w:p>
      <w:pPr>
        <w:pStyle w:val="Option"/>
        <w:keepNext/>
      </w:pPr>
      <w:r>
        <w:rPr>
          <w:b/>
        </w:rPr>
        <w:t xml:space="preserve">B. </w:t>
      </w:r>
      <w:r>
        <w:t>Recommend an exact dose reduction when a client reports dizziness.</w:t>
      </w:r>
    </w:p>
    <w:p>
      <w:pPr>
        <w:pStyle w:val="Option"/>
        <w:keepNext/>
      </w:pPr>
      <w:r>
        <w:rPr>
          <w:b/>
        </w:rPr>
        <w:t xml:space="preserve">C. </w:t>
      </w:r>
      <w:r>
        <w:t>Tell the client to stop a medication abruptly when symptoms improve.</w:t>
      </w:r>
    </w:p>
    <w:p>
      <w:r>
        <w:rPr>
          <w:b/>
          <w:color w:val="237852"/>
        </w:rPr>
        <w:t>Correct Answer: A</w:t>
      </w:r>
    </w:p>
    <w:p>
      <w:pPr>
        <w:keepNext/>
      </w:pPr>
      <w:r>
        <w:rPr>
          <w:b/>
          <w:color w:val="1B2A41"/>
          <w:sz w:val="22"/>
        </w:rPr>
        <w:t>Rationales</w:t>
      </w:r>
    </w:p>
    <w:p>
      <w:pPr>
        <w:pStyle w:val="Rationale"/>
      </w:pPr>
      <w:r>
        <w:rPr>
          <w:b/>
          <w:color w:val="237852"/>
        </w:rPr>
        <w:t xml:space="preserve">A. </w:t>
      </w:r>
      <w:r>
        <w:t>Correct. Social workers support assessment, education, access, and care coordination without independently managing medication.</w:t>
      </w:r>
    </w:p>
    <w:p>
      <w:pPr>
        <w:pStyle w:val="Rationale"/>
      </w:pPr>
      <w:r>
        <w:rPr>
          <w:b/>
          <w:color w:val="A02D2D"/>
        </w:rPr>
        <w:t xml:space="preserve">B. </w:t>
      </w:r>
      <w:r>
        <w:t>Incorrect. Independent dose changes are outside scope and may be unsafe.</w:t>
      </w:r>
    </w:p>
    <w:p>
      <w:pPr>
        <w:pStyle w:val="Rationale"/>
      </w:pPr>
      <w:r>
        <w:rPr>
          <w:b/>
          <w:color w:val="A02D2D"/>
        </w:rPr>
        <w:t xml:space="preserve">C. </w:t>
      </w:r>
      <w:r>
        <w:t>Incorrect. Abrupt discontinuation advice is outside scope and can create medical risk.</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Choose assessment and coordination—not prescribing, dose changes, or certainty beyond the evidence.</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LCSW-WB05-QB-Q003</w:t>
            </w:r>
          </w:p>
        </w:tc>
        <w:tc>
          <w:tcPr>
            <w:tcW w:type="dxa" w:w="1728"/>
            <w:tcMar>
              <w:top w:w="90" w:type="dxa"/>
              <w:start w:w="100" w:type="dxa"/>
              <w:bottom w:w="90" w:type="dxa"/>
              <w:end w:w="100" w:type="dxa"/>
            </w:tcMar>
            <w:vAlign w:val="top"/>
          </w:tcPr>
          <w:p>
            <w:pPr>
              <w:keepNext/>
              <w:jc w:val="center"/>
            </w:pPr>
            <w:r>
              <w:rPr>
                <w:b/>
                <w:color w:val="1B2A41"/>
                <w:sz w:val="16"/>
              </w:rPr>
              <w:t>Easy</w:t>
            </w:r>
          </w:p>
        </w:tc>
        <w:tc>
          <w:tcPr>
            <w:tcW w:type="dxa" w:w="2520"/>
            <w:tcMar>
              <w:top w:w="90" w:type="dxa"/>
              <w:start w:w="100" w:type="dxa"/>
              <w:bottom w:w="90" w:type="dxa"/>
              <w:end w:w="100" w:type="dxa"/>
            </w:tcMar>
            <w:vAlign w:val="top"/>
          </w:tcPr>
          <w:p>
            <w:pPr>
              <w:keepNext/>
              <w:jc w:val="center"/>
            </w:pPr>
            <w:r>
              <w:rPr>
                <w:b/>
                <w:color w:val="1B2A41"/>
                <w:sz w:val="16"/>
              </w:rPr>
              <w:t>Knowledge &amp; Recall</w:t>
            </w:r>
          </w:p>
        </w:tc>
        <w:tc>
          <w:tcPr>
            <w:tcW w:type="dxa" w:w="3672"/>
            <w:tcMar>
              <w:top w:w="90" w:type="dxa"/>
              <w:start w:w="100" w:type="dxa"/>
              <w:bottom w:w="90" w:type="dxa"/>
              <w:end w:w="100" w:type="dxa"/>
            </w:tcMar>
            <w:vAlign w:val="top"/>
          </w:tcPr>
          <w:p>
            <w:pPr>
              <w:keepNext/>
              <w:jc w:val="center"/>
            </w:pPr>
            <w:r>
              <w:rPr>
                <w:b/>
                <w:color w:val="1B2A41"/>
                <w:sz w:val="16"/>
              </w:rPr>
              <w:t>Acute cognitive change</w:t>
            </w:r>
          </w:p>
        </w:tc>
      </w:tr>
    </w:tbl>
    <w:p>
      <w:pPr>
        <w:keepNext/>
      </w:pPr>
      <w:r>
        <w:rPr>
          <w:b/>
          <w:color w:val="1B2A41"/>
          <w:sz w:val="22"/>
        </w:rPr>
        <w:t>Question</w:t>
      </w:r>
    </w:p>
    <w:p>
      <w:pPr>
        <w:keepNext/>
      </w:pPr>
      <w:r>
        <w:rPr>
          <w:b/>
        </w:rPr>
        <w:t>Following outpatient surgery, an older client becomes suddenly disoriented, has rapidly shifting attention, and reports seeing insects that are not present. What should the social worker do FIRST?</w:t>
      </w:r>
    </w:p>
    <w:p>
      <w:pPr>
        <w:pStyle w:val="Option"/>
        <w:keepNext/>
      </w:pPr>
      <w:r>
        <w:rPr>
          <w:b/>
        </w:rPr>
        <w:t xml:space="preserve">A. </w:t>
      </w:r>
      <w:r>
        <w:t>Begin insight-oriented therapy to explore the symbolic meaning of the visions.</w:t>
      </w:r>
    </w:p>
    <w:p>
      <w:pPr>
        <w:pStyle w:val="Option"/>
        <w:keepNext/>
      </w:pPr>
      <w:r>
        <w:rPr>
          <w:b/>
        </w:rPr>
        <w:t xml:space="preserve">B. </w:t>
      </w:r>
      <w:r>
        <w:t>Assume a chronic psychotic disorder and arrange long-term placement.</w:t>
      </w:r>
    </w:p>
    <w:p>
      <w:pPr>
        <w:pStyle w:val="Option"/>
        <w:keepNext/>
      </w:pPr>
      <w:r>
        <w:rPr>
          <w:b/>
        </w:rPr>
        <w:t xml:space="preserve">C. </w:t>
      </w:r>
      <w:r>
        <w:t>Coordinate urgent medical evaluation while assessing immediate safety and communicating the change to the treatment team.</w:t>
      </w:r>
    </w:p>
    <w:p>
      <w:pPr>
        <w:pStyle w:val="Option"/>
        <w:keepNext/>
      </w:pPr>
      <w:r>
        <w:rPr>
          <w:b/>
        </w:rPr>
        <w:t xml:space="preserve">D. </w:t>
      </w:r>
      <w:r>
        <w:t>Wait for the next routine visit to see whether the symptoms continue.</w:t>
      </w:r>
    </w:p>
    <w:p>
      <w:r>
        <w:rPr>
          <w:b/>
          <w:color w:val="237852"/>
        </w:rPr>
        <w:t>Correct Answer: C</w:t>
      </w:r>
    </w:p>
    <w:p>
      <w:pPr>
        <w:keepNext/>
      </w:pPr>
      <w:r>
        <w:rPr>
          <w:b/>
          <w:color w:val="1B2A41"/>
          <w:sz w:val="22"/>
        </w:rPr>
        <w:t>Rationales</w:t>
      </w:r>
    </w:p>
    <w:p>
      <w:pPr>
        <w:pStyle w:val="Rationale"/>
      </w:pPr>
      <w:r>
        <w:rPr>
          <w:b/>
          <w:color w:val="A02D2D"/>
        </w:rPr>
        <w:t xml:space="preserve">A. </w:t>
      </w:r>
      <w:r>
        <w:t>Incorrect. Medical urgency and safety take priority.</w:t>
      </w:r>
    </w:p>
    <w:p>
      <w:pPr>
        <w:pStyle w:val="Rationale"/>
      </w:pPr>
      <w:r>
        <w:rPr>
          <w:b/>
          <w:color w:val="A02D2D"/>
        </w:rPr>
        <w:t xml:space="preserve">B. </w:t>
      </w:r>
      <w:r>
        <w:t>Incorrect. The abrupt, fluctuating, medically associated onset argues against premature chronic diagnosis.</w:t>
      </w:r>
    </w:p>
    <w:p>
      <w:pPr>
        <w:pStyle w:val="Rationale"/>
      </w:pPr>
      <w:r>
        <w:rPr>
          <w:b/>
          <w:color w:val="237852"/>
        </w:rPr>
        <w:t xml:space="preserve">C. </w:t>
      </w:r>
      <w:r>
        <w:t>Correct. Acute fluctuating cognition during medical illness is a medical warning sign and should not be treated first as a primary psychiatric disorder.</w:t>
      </w:r>
    </w:p>
    <w:p>
      <w:pPr>
        <w:pStyle w:val="Rationale"/>
      </w:pPr>
      <w:r>
        <w:rPr>
          <w:b/>
          <w:color w:val="A02D2D"/>
        </w:rPr>
        <w:t xml:space="preserve">D. </w:t>
      </w:r>
      <w:r>
        <w:t>Incorrect. Delay may increase risk.</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Sudden fluctuating cognition is a medical-assessment clue before it is a psychotherapy question.</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LCSW-WB05-QB-Q004</w:t>
            </w:r>
          </w:p>
        </w:tc>
        <w:tc>
          <w:tcPr>
            <w:tcW w:type="dxa" w:w="1728"/>
            <w:tcMar>
              <w:top w:w="90" w:type="dxa"/>
              <w:start w:w="100" w:type="dxa"/>
              <w:bottom w:w="90" w:type="dxa"/>
              <w:end w:w="100" w:type="dxa"/>
            </w:tcMar>
            <w:vAlign w:val="top"/>
          </w:tcPr>
          <w:p>
            <w:pPr>
              <w:keepNext/>
              <w:jc w:val="center"/>
            </w:pPr>
            <w:r>
              <w:rPr>
                <w:b/>
                <w:color w:val="1B2A41"/>
                <w:sz w:val="16"/>
              </w:rPr>
              <w:t>Easy</w:t>
            </w:r>
          </w:p>
        </w:tc>
        <w:tc>
          <w:tcPr>
            <w:tcW w:type="dxa" w:w="2520"/>
            <w:tcMar>
              <w:top w:w="90" w:type="dxa"/>
              <w:start w:w="100" w:type="dxa"/>
              <w:bottom w:w="90" w:type="dxa"/>
              <w:end w:w="100" w:type="dxa"/>
            </w:tcMar>
            <w:vAlign w:val="top"/>
          </w:tcPr>
          <w:p>
            <w:pPr>
              <w:keepNext/>
              <w:jc w:val="center"/>
            </w:pPr>
            <w:r>
              <w:rPr>
                <w:b/>
                <w:color w:val="1B2A41"/>
                <w:sz w:val="16"/>
              </w:rPr>
              <w:t>Knowledge &amp; Recall</w:t>
            </w:r>
          </w:p>
        </w:tc>
        <w:tc>
          <w:tcPr>
            <w:tcW w:type="dxa" w:w="3672"/>
            <w:tcMar>
              <w:top w:w="90" w:type="dxa"/>
              <w:start w:w="100" w:type="dxa"/>
              <w:bottom w:w="90" w:type="dxa"/>
              <w:end w:w="100" w:type="dxa"/>
            </w:tcMar>
            <w:vAlign w:val="top"/>
          </w:tcPr>
          <w:p>
            <w:pPr>
              <w:keepNext/>
              <w:jc w:val="center"/>
            </w:pPr>
            <w:r>
              <w:rPr>
                <w:b/>
                <w:color w:val="1B2A41"/>
                <w:sz w:val="16"/>
              </w:rPr>
              <w:t>Contextual conditions</w:t>
            </w:r>
          </w:p>
        </w:tc>
      </w:tr>
    </w:tbl>
    <w:p>
      <w:pPr>
        <w:keepNext/>
      </w:pPr>
      <w:r>
        <w:rPr>
          <w:b/>
          <w:color w:val="1B2A41"/>
          <w:sz w:val="22"/>
        </w:rPr>
        <w:t>Question</w:t>
      </w:r>
    </w:p>
    <w:p>
      <w:pPr>
        <w:keepNext/>
      </w:pPr>
      <w:r>
        <w:rPr>
          <w:b/>
        </w:rPr>
        <w:t>A client requests help with utility shutoff, food insecurity, and conflict about shared parenting. Current assessment does not support a mental disorder. What is the MOST appropriate conclusion?</w:t>
      </w:r>
    </w:p>
    <w:p>
      <w:pPr>
        <w:pStyle w:val="Option"/>
        <w:keepNext/>
      </w:pPr>
      <w:r>
        <w:rPr>
          <w:b/>
        </w:rPr>
        <w:t xml:space="preserve">A. </w:t>
      </w:r>
      <w:r>
        <w:t>No social work service is indicated without a mental disorder.</w:t>
      </w:r>
    </w:p>
    <w:p>
      <w:pPr>
        <w:pStyle w:val="Option"/>
        <w:keepNext/>
      </w:pPr>
      <w:r>
        <w:rPr>
          <w:b/>
        </w:rPr>
        <w:t xml:space="preserve">B. </w:t>
      </w:r>
      <w:r>
        <w:t>Assign a personality disorder to permit treatment.</w:t>
      </w:r>
    </w:p>
    <w:p>
      <w:pPr>
        <w:pStyle w:val="Option"/>
        <w:keepNext/>
      </w:pPr>
      <w:r>
        <w:rPr>
          <w:b/>
        </w:rPr>
        <w:t xml:space="preserve">C. </w:t>
      </w:r>
      <w:r>
        <w:t>Use adjustment disorder automatically because a stressor is present.</w:t>
      </w:r>
    </w:p>
    <w:p>
      <w:pPr>
        <w:pStyle w:val="Option"/>
        <w:keepNext/>
      </w:pPr>
      <w:r>
        <w:rPr>
          <w:b/>
        </w:rPr>
        <w:t xml:space="preserve">D. </w:t>
      </w:r>
      <w:r>
        <w:t>The contextual and relational problems may be documented as legitimate clinical-focus conditions and addressed in the service plan.</w:t>
      </w:r>
    </w:p>
    <w:p>
      <w:r>
        <w:rPr>
          <w:b/>
          <w:color w:val="237852"/>
        </w:rPr>
        <w:t>Correct Answer: D</w:t>
      </w:r>
    </w:p>
    <w:p>
      <w:pPr>
        <w:keepNext/>
      </w:pPr>
      <w:r>
        <w:rPr>
          <w:b/>
          <w:color w:val="1B2A41"/>
          <w:sz w:val="22"/>
        </w:rPr>
        <w:t>Rationales</w:t>
      </w:r>
    </w:p>
    <w:p>
      <w:pPr>
        <w:pStyle w:val="Rationale"/>
      </w:pPr>
      <w:r>
        <w:rPr>
          <w:b/>
          <w:color w:val="A02D2D"/>
        </w:rPr>
        <w:t xml:space="preserve">A. </w:t>
      </w:r>
      <w:r>
        <w:t>Incorrect. Social work frequently addresses environmental, relational, and resource concerns.</w:t>
      </w:r>
    </w:p>
    <w:p>
      <w:pPr>
        <w:pStyle w:val="Rationale"/>
      </w:pPr>
      <w:r>
        <w:rPr>
          <w:b/>
          <w:color w:val="A02D2D"/>
        </w:rPr>
        <w:t xml:space="preserve">B. </w:t>
      </w:r>
      <w:r>
        <w:t>Incorrect. A diagnosis should never be selected solely to justify services.</w:t>
      </w:r>
    </w:p>
    <w:p>
      <w:pPr>
        <w:pStyle w:val="Rationale"/>
      </w:pPr>
      <w:r>
        <w:rPr>
          <w:b/>
          <w:color w:val="A02D2D"/>
        </w:rPr>
        <w:t xml:space="preserve">C. </w:t>
      </w:r>
      <w:r>
        <w:t>Incorrect. A stressor does not establish the required symptom pattern and impairment.</w:t>
      </w:r>
    </w:p>
    <w:p>
      <w:pPr>
        <w:pStyle w:val="Rationale"/>
      </w:pPr>
      <w:r>
        <w:rPr>
          <w:b/>
          <w:color w:val="237852"/>
        </w:rPr>
        <w:t xml:space="preserve">D. </w:t>
      </w:r>
      <w:r>
        <w:t>Correct. Social work services may target serious environmental and relational problems without manufacturing a psychiatric diagnosis.</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Name the actual problem being addressed; do not create a disorder because services are needed.</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LCSW-WB05-QB-Q005</w:t>
            </w:r>
          </w:p>
        </w:tc>
        <w:tc>
          <w:tcPr>
            <w:tcW w:type="dxa" w:w="1728"/>
            <w:tcMar>
              <w:top w:w="90" w:type="dxa"/>
              <w:start w:w="100" w:type="dxa"/>
              <w:bottom w:w="90" w:type="dxa"/>
              <w:end w:w="100" w:type="dxa"/>
            </w:tcMar>
            <w:vAlign w:val="top"/>
          </w:tcPr>
          <w:p>
            <w:pPr>
              <w:keepNext/>
              <w:jc w:val="center"/>
            </w:pPr>
            <w:r>
              <w:rPr>
                <w:b/>
                <w:color w:val="1B2A41"/>
                <w:sz w:val="16"/>
              </w:rPr>
              <w:t>Easy</w:t>
            </w:r>
          </w:p>
        </w:tc>
        <w:tc>
          <w:tcPr>
            <w:tcW w:type="dxa" w:w="2520"/>
            <w:tcMar>
              <w:top w:w="90" w:type="dxa"/>
              <w:start w:w="100" w:type="dxa"/>
              <w:bottom w:w="90" w:type="dxa"/>
              <w:end w:w="100" w:type="dxa"/>
            </w:tcMar>
            <w:vAlign w:val="top"/>
          </w:tcPr>
          <w:p>
            <w:pPr>
              <w:keepNext/>
              <w:jc w:val="center"/>
            </w:pPr>
            <w:r>
              <w:rPr>
                <w:b/>
                <w:color w:val="1B2A41"/>
                <w:sz w:val="16"/>
              </w:rPr>
              <w:t>Knowledge &amp; Recall</w:t>
            </w:r>
          </w:p>
        </w:tc>
        <w:tc>
          <w:tcPr>
            <w:tcW w:type="dxa" w:w="3672"/>
            <w:tcMar>
              <w:top w:w="90" w:type="dxa"/>
              <w:start w:w="100" w:type="dxa"/>
              <w:bottom w:w="90" w:type="dxa"/>
              <w:end w:w="100" w:type="dxa"/>
            </w:tcMar>
            <w:vAlign w:val="top"/>
          </w:tcPr>
          <w:p>
            <w:pPr>
              <w:keepNext/>
              <w:jc w:val="center"/>
            </w:pPr>
            <w:r>
              <w:rPr>
                <w:b/>
                <w:color w:val="1B2A41"/>
                <w:sz w:val="16"/>
              </w:rPr>
              <w:t>Medication adherence barriers</w:t>
            </w:r>
          </w:p>
        </w:tc>
      </w:tr>
    </w:tbl>
    <w:p>
      <w:pPr>
        <w:keepNext/>
      </w:pPr>
      <w:r>
        <w:rPr>
          <w:b/>
          <w:color w:val="1B2A41"/>
          <w:sz w:val="22"/>
        </w:rPr>
        <w:t>Question</w:t>
      </w:r>
    </w:p>
    <w:p>
      <w:pPr>
        <w:keepNext/>
      </w:pPr>
      <w:r>
        <w:rPr>
          <w:b/>
        </w:rPr>
        <w:t>Which response BEST reflects person-centered reasoning about medication nonadherence?</w:t>
      </w:r>
    </w:p>
    <w:p>
      <w:pPr>
        <w:pStyle w:val="Option"/>
        <w:keepNext/>
      </w:pPr>
      <w:r>
        <w:rPr>
          <w:b/>
        </w:rPr>
        <w:t xml:space="preserve">A. </w:t>
      </w:r>
      <w:r>
        <w:t>Clarify whether missed doses reflect cost, side effects, confusion, transportation, pharmacy access, stigma, beliefs, housing instability, cognitive difficulty, ambivalence, or deliberate choice.</w:t>
      </w:r>
    </w:p>
    <w:p>
      <w:pPr>
        <w:pStyle w:val="Option"/>
        <w:keepNext/>
      </w:pPr>
      <w:r>
        <w:rPr>
          <w:b/>
        </w:rPr>
        <w:t xml:space="preserve">B. </w:t>
      </w:r>
      <w:r>
        <w:t>Assume the client lacks motivation.</w:t>
      </w:r>
    </w:p>
    <w:p>
      <w:pPr>
        <w:pStyle w:val="Option"/>
        <w:keepNext/>
      </w:pPr>
      <w:r>
        <w:rPr>
          <w:b/>
        </w:rPr>
        <w:t xml:space="preserve">C. </w:t>
      </w:r>
      <w:r>
        <w:t>Warn that services will end unless every dose is taken.</w:t>
      </w:r>
    </w:p>
    <w:p>
      <w:r>
        <w:rPr>
          <w:b/>
          <w:color w:val="237852"/>
        </w:rPr>
        <w:t>Correct Answer: A</w:t>
      </w:r>
    </w:p>
    <w:p>
      <w:pPr>
        <w:keepNext/>
      </w:pPr>
      <w:r>
        <w:rPr>
          <w:b/>
          <w:color w:val="1B2A41"/>
          <w:sz w:val="22"/>
        </w:rPr>
        <w:t>Rationales</w:t>
      </w:r>
    </w:p>
    <w:p>
      <w:pPr>
        <w:pStyle w:val="Rationale"/>
      </w:pPr>
      <w:r>
        <w:rPr>
          <w:b/>
          <w:color w:val="237852"/>
        </w:rPr>
        <w:t xml:space="preserve">A. </w:t>
      </w:r>
      <w:r>
        <w:t>Correct. The label nonadherent describes behavior but does not explain the barrier or the client's perspective.</w:t>
      </w:r>
    </w:p>
    <w:p>
      <w:pPr>
        <w:pStyle w:val="Rationale"/>
      </w:pPr>
      <w:r>
        <w:rPr>
          <w:b/>
          <w:color w:val="A02D2D"/>
        </w:rPr>
        <w:t xml:space="preserve">B. </w:t>
      </w:r>
      <w:r>
        <w:t>Incorrect. Motivation is only one possible explanation and should not be presumed.</w:t>
      </w:r>
    </w:p>
    <w:p>
      <w:pPr>
        <w:pStyle w:val="Rationale"/>
      </w:pPr>
      <w:r>
        <w:rPr>
          <w:b/>
          <w:color w:val="A02D2D"/>
        </w:rPr>
        <w:t xml:space="preserve">C. </w:t>
      </w:r>
      <w:r>
        <w:t>Incorrect. Coercion does not address the cause and may undermine engagement.</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Replace the label with a question: what makes this treatment difficult, unsafe, unaffordable, or unwanted?</w:t>
            </w:r>
          </w:p>
        </w:tc>
      </w:tr>
    </w:tbl>
    <w:p/>
    <w:p>
      <w:r>
        <w:br w:type="page"/>
      </w:r>
    </w:p>
    <w:p>
      <w:pPr>
        <w:pStyle w:val="Heading1"/>
      </w:pPr>
      <w:r>
        <w:t>Moderate Questions</w:t>
      </w:r>
    </w:p>
    <w:p>
      <w:r>
        <w:rPr>
          <w:i/>
          <w:color w:val="696969"/>
        </w:rPr>
        <w:t>7 questions | Applied sequencing and realistic clinical decision-making.</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LCSW-WB05-QB-Q006</w:t>
            </w:r>
          </w:p>
        </w:tc>
        <w:tc>
          <w:tcPr>
            <w:tcW w:type="dxa" w:w="1728"/>
            <w:tcMar>
              <w:top w:w="90" w:type="dxa"/>
              <w:start w:w="100" w:type="dxa"/>
              <w:bottom w:w="90" w:type="dxa"/>
              <w:end w:w="100" w:type="dxa"/>
            </w:tcMar>
            <w:vAlign w:val="top"/>
          </w:tcPr>
          <w:p>
            <w:pPr>
              <w:keepNext/>
              <w:jc w:val="center"/>
            </w:pPr>
            <w:r>
              <w:rPr>
                <w:b/>
                <w:color w:val="1B2A41"/>
                <w:sz w:val="16"/>
              </w:rPr>
              <w:t>Moderate</w:t>
            </w:r>
          </w:p>
        </w:tc>
        <w:tc>
          <w:tcPr>
            <w:tcW w:type="dxa" w:w="2520"/>
            <w:tcMar>
              <w:top w:w="90" w:type="dxa"/>
              <w:start w:w="100" w:type="dxa"/>
              <w:bottom w:w="90" w:type="dxa"/>
              <w:end w:w="100" w:type="dxa"/>
            </w:tcMar>
            <w:vAlign w:val="top"/>
          </w:tcPr>
          <w:p>
            <w:pPr>
              <w:keepNext/>
              <w:jc w:val="center"/>
            </w:pPr>
            <w:r>
              <w:rPr>
                <w:b/>
                <w:color w:val="1B2A41"/>
                <w:sz w:val="16"/>
              </w:rPr>
              <w:t>Application</w:t>
            </w:r>
          </w:p>
        </w:tc>
        <w:tc>
          <w:tcPr>
            <w:tcW w:type="dxa" w:w="3672"/>
            <w:tcMar>
              <w:top w:w="90" w:type="dxa"/>
              <w:start w:w="100" w:type="dxa"/>
              <w:bottom w:w="90" w:type="dxa"/>
              <w:end w:w="100" w:type="dxa"/>
            </w:tcMar>
            <w:vAlign w:val="top"/>
          </w:tcPr>
          <w:p>
            <w:pPr>
              <w:keepNext/>
              <w:jc w:val="center"/>
            </w:pPr>
            <w:r>
              <w:rPr>
                <w:b/>
                <w:color w:val="1B2A41"/>
                <w:sz w:val="16"/>
              </w:rPr>
              <w:t>Bereavement and depression</w:t>
            </w:r>
          </w:p>
        </w:tc>
      </w:tr>
    </w:tbl>
    <w:p>
      <w:pPr>
        <w:keepNext/>
      </w:pPr>
      <w:r>
        <w:rPr>
          <w:b/>
          <w:color w:val="1B2A41"/>
          <w:sz w:val="22"/>
        </w:rPr>
        <w:t>Question</w:t>
      </w:r>
    </w:p>
    <w:p>
      <w:pPr>
        <w:keepNext/>
      </w:pPr>
      <w:r>
        <w:rPr>
          <w:b/>
        </w:rPr>
        <w:t>Six weeks after the death of a sibling, a client reports waves of sadness, disrupted sleep, difficulty concentrating at work, and pressure from relatives to grieve differently. What should the social worker do FIRST?</w:t>
      </w:r>
    </w:p>
    <w:p>
      <w:pPr>
        <w:pStyle w:val="Option"/>
        <w:keepNext/>
      </w:pPr>
      <w:r>
        <w:rPr>
          <w:b/>
        </w:rPr>
        <w:t xml:space="preserve">A. </w:t>
      </w:r>
      <w:r>
        <w:t>Diagnose major depressive disorder because the client is sad and cannot sleep.</w:t>
      </w:r>
    </w:p>
    <w:p>
      <w:pPr>
        <w:pStyle w:val="Option"/>
        <w:keepNext/>
      </w:pPr>
      <w:r>
        <w:rPr>
          <w:b/>
        </w:rPr>
        <w:t xml:space="preserve">B. </w:t>
      </w:r>
      <w:r>
        <w:t>Assess safety, the grief pattern, functional impairment, hopelessness, guilt, prior mood episodes, supports, cultural mourning practices, medical and substance factors, and whether grief, depression, or both are present.</w:t>
      </w:r>
    </w:p>
    <w:p>
      <w:pPr>
        <w:pStyle w:val="Option"/>
        <w:keepNext/>
      </w:pPr>
      <w:r>
        <w:rPr>
          <w:b/>
        </w:rPr>
        <w:t xml:space="preserve">C. </w:t>
      </w:r>
      <w:r>
        <w:t>Assure the client that all grief is normal and needs no further evaluation.</w:t>
      </w:r>
    </w:p>
    <w:p>
      <w:r>
        <w:rPr>
          <w:b/>
          <w:color w:val="237852"/>
        </w:rPr>
        <w:t>Correct Answer: B</w:t>
      </w:r>
    </w:p>
    <w:p>
      <w:pPr>
        <w:keepNext/>
      </w:pPr>
      <w:r>
        <w:rPr>
          <w:b/>
          <w:color w:val="1B2A41"/>
          <w:sz w:val="22"/>
        </w:rPr>
        <w:t>Rationales</w:t>
      </w:r>
    </w:p>
    <w:p>
      <w:pPr>
        <w:pStyle w:val="Rationale"/>
      </w:pPr>
      <w:r>
        <w:rPr>
          <w:b/>
          <w:color w:val="A02D2D"/>
        </w:rPr>
        <w:t xml:space="preserve">A. </w:t>
      </w:r>
      <w:r>
        <w:t>Incorrect. The complete syndrome, context, duration, and alternatives require assessment.</w:t>
      </w:r>
    </w:p>
    <w:p>
      <w:pPr>
        <w:pStyle w:val="Rationale"/>
      </w:pPr>
      <w:r>
        <w:rPr>
          <w:b/>
          <w:color w:val="237852"/>
        </w:rPr>
        <w:t xml:space="preserve">B. </w:t>
      </w:r>
      <w:r>
        <w:t>Correct. Bereavement does not eliminate the need for risk assessment or a careful grief-versus-depression differential.</w:t>
      </w:r>
    </w:p>
    <w:p>
      <w:pPr>
        <w:pStyle w:val="Rationale"/>
      </w:pPr>
      <w:r>
        <w:rPr>
          <w:b/>
          <w:color w:val="A02D2D"/>
        </w:rPr>
        <w:t xml:space="preserve">C. </w:t>
      </w:r>
      <w:r>
        <w:t>Incorrect. Grief varies, and severe impairment or risk can occur.</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Do not automatically pathologize or normalize grief; assess pattern, risk, function, and culture.</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LCSW-WB05-QB-Q007</w:t>
            </w:r>
          </w:p>
        </w:tc>
        <w:tc>
          <w:tcPr>
            <w:tcW w:type="dxa" w:w="1728"/>
            <w:tcMar>
              <w:top w:w="90" w:type="dxa"/>
              <w:start w:w="100" w:type="dxa"/>
              <w:bottom w:w="90" w:type="dxa"/>
              <w:end w:w="100" w:type="dxa"/>
            </w:tcMar>
            <w:vAlign w:val="top"/>
          </w:tcPr>
          <w:p>
            <w:pPr>
              <w:keepNext/>
              <w:jc w:val="center"/>
            </w:pPr>
            <w:r>
              <w:rPr>
                <w:b/>
                <w:color w:val="1B2A41"/>
                <w:sz w:val="16"/>
              </w:rPr>
              <w:t>Moderate</w:t>
            </w:r>
          </w:p>
        </w:tc>
        <w:tc>
          <w:tcPr>
            <w:tcW w:type="dxa" w:w="2520"/>
            <w:tcMar>
              <w:top w:w="90" w:type="dxa"/>
              <w:start w:w="100" w:type="dxa"/>
              <w:bottom w:w="90" w:type="dxa"/>
              <w:end w:w="100" w:type="dxa"/>
            </w:tcMar>
            <w:vAlign w:val="top"/>
          </w:tcPr>
          <w:p>
            <w:pPr>
              <w:keepNext/>
              <w:jc w:val="center"/>
            </w:pPr>
            <w:r>
              <w:rPr>
                <w:b/>
                <w:color w:val="1B2A41"/>
                <w:sz w:val="16"/>
              </w:rPr>
              <w:t>Application</w:t>
            </w:r>
          </w:p>
        </w:tc>
        <w:tc>
          <w:tcPr>
            <w:tcW w:type="dxa" w:w="3672"/>
            <w:tcMar>
              <w:top w:w="90" w:type="dxa"/>
              <w:start w:w="100" w:type="dxa"/>
              <w:bottom w:w="90" w:type="dxa"/>
              <w:end w:w="100" w:type="dxa"/>
            </w:tcMar>
            <w:vAlign w:val="top"/>
          </w:tcPr>
          <w:p>
            <w:pPr>
              <w:keepNext/>
              <w:jc w:val="center"/>
            </w:pPr>
            <w:r>
              <w:rPr>
                <w:b/>
                <w:color w:val="1B2A41"/>
                <w:sz w:val="16"/>
              </w:rPr>
              <w:t>Child attention differential</w:t>
            </w:r>
          </w:p>
        </w:tc>
      </w:tr>
    </w:tbl>
    <w:p>
      <w:pPr>
        <w:keepNext/>
      </w:pPr>
      <w:r>
        <w:rPr>
          <w:b/>
          <w:color w:val="1B2A41"/>
          <w:sz w:val="22"/>
        </w:rPr>
        <w:t>Question</w:t>
      </w:r>
    </w:p>
    <w:p>
      <w:pPr>
        <w:keepNext/>
      </w:pPr>
      <w:r>
        <w:rPr>
          <w:b/>
        </w:rPr>
        <w:t>A ten-year-old referred for attention problems has frequent absences, snores loudly, changed schools twice, and reads below grade level. What is the BEST next step?</w:t>
      </w:r>
    </w:p>
    <w:p>
      <w:pPr>
        <w:pStyle w:val="Option"/>
        <w:keepNext/>
      </w:pPr>
      <w:r>
        <w:rPr>
          <w:b/>
        </w:rPr>
        <w:t xml:space="preserve">A. </w:t>
      </w:r>
      <w:r>
        <w:t>Diagnose attention-deficit/hyperactivity disorder because the teacher requested an evaluation.</w:t>
      </w:r>
    </w:p>
    <w:p>
      <w:pPr>
        <w:pStyle w:val="Option"/>
        <w:keepNext/>
      </w:pPr>
      <w:r>
        <w:rPr>
          <w:b/>
        </w:rPr>
        <w:t xml:space="preserve">B. </w:t>
      </w:r>
      <w:r>
        <w:t>Refer immediately for medication without further assessment.</w:t>
      </w:r>
    </w:p>
    <w:p>
      <w:pPr>
        <w:pStyle w:val="Option"/>
        <w:keepNext/>
      </w:pPr>
      <w:r>
        <w:rPr>
          <w:b/>
        </w:rPr>
        <w:t xml:space="preserve">C. </w:t>
      </w:r>
      <w:r>
        <w:t>Gather developmental and school history, compare behavior across settings, assess sleep and health, trauma and stress, learning needs, attendance barriers, strengths, and collateral data before assigning a diagnosis.</w:t>
      </w:r>
    </w:p>
    <w:p>
      <w:pPr>
        <w:pStyle w:val="Option"/>
        <w:keepNext/>
      </w:pPr>
      <w:r>
        <w:rPr>
          <w:b/>
        </w:rPr>
        <w:t xml:space="preserve">D. </w:t>
      </w:r>
      <w:r>
        <w:t>Tell the caregiver that stricter discipline is the primary intervention.</w:t>
      </w:r>
    </w:p>
    <w:p>
      <w:r>
        <w:rPr>
          <w:b/>
          <w:color w:val="237852"/>
        </w:rPr>
        <w:t>Correct Answer: C</w:t>
      </w:r>
    </w:p>
    <w:p>
      <w:pPr>
        <w:keepNext/>
      </w:pPr>
      <w:r>
        <w:rPr>
          <w:b/>
          <w:color w:val="1B2A41"/>
          <w:sz w:val="22"/>
        </w:rPr>
        <w:t>Rationales</w:t>
      </w:r>
    </w:p>
    <w:p>
      <w:pPr>
        <w:pStyle w:val="Rationale"/>
      </w:pPr>
      <w:r>
        <w:rPr>
          <w:b/>
          <w:color w:val="A02D2D"/>
        </w:rPr>
        <w:t xml:space="preserve">A. </w:t>
      </w:r>
      <w:r>
        <w:t>Incorrect. A referral concern does not establish onset, cross-setting pattern, or exclusions.</w:t>
      </w:r>
    </w:p>
    <w:p>
      <w:pPr>
        <w:pStyle w:val="Rationale"/>
      </w:pPr>
      <w:r>
        <w:rPr>
          <w:b/>
          <w:color w:val="A02D2D"/>
        </w:rPr>
        <w:t xml:space="preserve">B. </w:t>
      </w:r>
      <w:r>
        <w:t>Incorrect. Medication referral does not replace a comprehensive differential and health review.</w:t>
      </w:r>
    </w:p>
    <w:p>
      <w:pPr>
        <w:pStyle w:val="Rationale"/>
      </w:pPr>
      <w:r>
        <w:rPr>
          <w:b/>
          <w:color w:val="237852"/>
        </w:rPr>
        <w:t xml:space="preserve">C. </w:t>
      </w:r>
      <w:r>
        <w:t>Correct. Attention complaints can reflect developmental, educational, medical, sleep, trauma, and environmental factors.</w:t>
      </w:r>
    </w:p>
    <w:p>
      <w:pPr>
        <w:pStyle w:val="Rationale"/>
      </w:pPr>
      <w:r>
        <w:rPr>
          <w:b/>
          <w:color w:val="A02D2D"/>
        </w:rPr>
        <w:t xml:space="preserve">D. </w:t>
      </w:r>
      <w:r>
        <w:t>Incorrect. The available information points to several unassessed contributors.</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When a child is labeled inattentive, assess school, sleep, health, development, stress, and access before diagnosing.</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LCSW-WB05-QB-Q008</w:t>
            </w:r>
          </w:p>
        </w:tc>
        <w:tc>
          <w:tcPr>
            <w:tcW w:type="dxa" w:w="1728"/>
            <w:tcMar>
              <w:top w:w="90" w:type="dxa"/>
              <w:start w:w="100" w:type="dxa"/>
              <w:bottom w:w="90" w:type="dxa"/>
              <w:end w:w="100" w:type="dxa"/>
            </w:tcMar>
            <w:vAlign w:val="top"/>
          </w:tcPr>
          <w:p>
            <w:pPr>
              <w:keepNext/>
              <w:jc w:val="center"/>
            </w:pPr>
            <w:r>
              <w:rPr>
                <w:b/>
                <w:color w:val="1B2A41"/>
                <w:sz w:val="16"/>
              </w:rPr>
              <w:t>Moderate</w:t>
            </w:r>
          </w:p>
        </w:tc>
        <w:tc>
          <w:tcPr>
            <w:tcW w:type="dxa" w:w="2520"/>
            <w:tcMar>
              <w:top w:w="90" w:type="dxa"/>
              <w:start w:w="100" w:type="dxa"/>
              <w:bottom w:w="90" w:type="dxa"/>
              <w:end w:w="100" w:type="dxa"/>
            </w:tcMar>
            <w:vAlign w:val="top"/>
          </w:tcPr>
          <w:p>
            <w:pPr>
              <w:keepNext/>
              <w:jc w:val="center"/>
            </w:pPr>
            <w:r>
              <w:rPr>
                <w:b/>
                <w:color w:val="1B2A41"/>
                <w:sz w:val="16"/>
              </w:rPr>
              <w:t>Scenario-Based</w:t>
            </w:r>
          </w:p>
        </w:tc>
        <w:tc>
          <w:tcPr>
            <w:tcW w:type="dxa" w:w="3672"/>
            <w:tcMar>
              <w:top w:w="90" w:type="dxa"/>
              <w:start w:w="100" w:type="dxa"/>
              <w:bottom w:w="90" w:type="dxa"/>
              <w:end w:w="100" w:type="dxa"/>
            </w:tcMar>
            <w:vAlign w:val="top"/>
          </w:tcPr>
          <w:p>
            <w:pPr>
              <w:keepNext/>
              <w:jc w:val="center"/>
            </w:pPr>
            <w:r>
              <w:rPr>
                <w:b/>
                <w:color w:val="1B2A41"/>
                <w:sz w:val="16"/>
              </w:rPr>
              <w:t>Medication access and side effects</w:t>
            </w:r>
          </w:p>
        </w:tc>
      </w:tr>
    </w:tbl>
    <w:p>
      <w:pPr>
        <w:keepNext/>
      </w:pPr>
      <w:r>
        <w:rPr>
          <w:b/>
          <w:color w:val="1B2A41"/>
          <w:sz w:val="22"/>
        </w:rPr>
        <w:t>Question</w:t>
      </w:r>
    </w:p>
    <w:p>
      <w:pPr>
        <w:keepNext/>
      </w:pPr>
      <w:r>
        <w:rPr>
          <w:b/>
        </w:rPr>
        <w:t>A client takes a prescribed medication inconsistently because the instructions are confusing, the pharmacy requires two buses, and the medication causes dizziness. What should the social worker do FIRST?</w:t>
      </w:r>
    </w:p>
    <w:p>
      <w:pPr>
        <w:pStyle w:val="Option"/>
        <w:keepNext/>
      </w:pPr>
      <w:r>
        <w:rPr>
          <w:b/>
        </w:rPr>
        <w:t xml:space="preserve">A. </w:t>
      </w:r>
      <w:r>
        <w:t>Tell the client to take the medication exactly as written without further discussion.</w:t>
      </w:r>
    </w:p>
    <w:p>
      <w:pPr>
        <w:pStyle w:val="Option"/>
        <w:keepNext/>
      </w:pPr>
      <w:r>
        <w:rPr>
          <w:b/>
        </w:rPr>
        <w:t xml:space="preserve">B. </w:t>
      </w:r>
      <w:r>
        <w:t>Advise the client to take half the dose until the dizziness stops.</w:t>
      </w:r>
    </w:p>
    <w:p>
      <w:pPr>
        <w:pStyle w:val="Option"/>
        <w:keepNext/>
      </w:pPr>
      <w:r>
        <w:rPr>
          <w:b/>
        </w:rPr>
        <w:t xml:space="preserve">C. </w:t>
      </w:r>
      <w:r>
        <w:t>Ask a family member to control the medication without the client's consent.</w:t>
      </w:r>
    </w:p>
    <w:p>
      <w:pPr>
        <w:pStyle w:val="Option"/>
        <w:keepNext/>
      </w:pPr>
      <w:r>
        <w:rPr>
          <w:b/>
        </w:rPr>
        <w:t xml:space="preserve">D. </w:t>
      </w:r>
      <w:r>
        <w:t>Assess current symptoms and safety, clarify the client's understanding and preferences, and coordinate with the prescriber and service system about side effects, instructions, pharmacy access, and transportation.</w:t>
      </w:r>
    </w:p>
    <w:p>
      <w:r>
        <w:rPr>
          <w:b/>
          <w:color w:val="237852"/>
        </w:rPr>
        <w:t>Correct Answer: D</w:t>
      </w:r>
    </w:p>
    <w:p>
      <w:pPr>
        <w:keepNext/>
      </w:pPr>
      <w:r>
        <w:rPr>
          <w:b/>
          <w:color w:val="1B2A41"/>
          <w:sz w:val="22"/>
        </w:rPr>
        <w:t>Rationales</w:t>
      </w:r>
    </w:p>
    <w:p>
      <w:pPr>
        <w:pStyle w:val="Rationale"/>
      </w:pPr>
      <w:r>
        <w:rPr>
          <w:b/>
          <w:color w:val="A02D2D"/>
        </w:rPr>
        <w:t xml:space="preserve">A. </w:t>
      </w:r>
      <w:r>
        <w:t>Incorrect. This ignores side effects, understanding, and feasibility.</w:t>
      </w:r>
    </w:p>
    <w:p>
      <w:pPr>
        <w:pStyle w:val="Rationale"/>
      </w:pPr>
      <w:r>
        <w:rPr>
          <w:b/>
          <w:color w:val="A02D2D"/>
        </w:rPr>
        <w:t xml:space="preserve">B. </w:t>
      </w:r>
      <w:r>
        <w:t>Incorrect. Independent dose advice is outside scope and may be unsafe.</w:t>
      </w:r>
    </w:p>
    <w:p>
      <w:pPr>
        <w:pStyle w:val="Rationale"/>
      </w:pPr>
      <w:r>
        <w:rPr>
          <w:b/>
          <w:color w:val="A02D2D"/>
        </w:rPr>
        <w:t xml:space="preserve">C. </w:t>
      </w:r>
      <w:r>
        <w:t>Incorrect. Family involvement requires authorization, fit, and client participation.</w:t>
      </w:r>
    </w:p>
    <w:p>
      <w:pPr>
        <w:pStyle w:val="Rationale"/>
      </w:pPr>
      <w:r>
        <w:rPr>
          <w:b/>
          <w:color w:val="237852"/>
        </w:rPr>
        <w:t xml:space="preserve">D. </w:t>
      </w:r>
      <w:r>
        <w:t>Correct. The behavior reflects intertwined health, communication, and access barriers rather than simple unwillingness.</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Before calling behavior noncompliance, determine whether the plan is tolerable, understandable, affordable, and possible.</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LCSW-WB05-QB-Q009</w:t>
            </w:r>
          </w:p>
        </w:tc>
        <w:tc>
          <w:tcPr>
            <w:tcW w:type="dxa" w:w="1728"/>
            <w:tcMar>
              <w:top w:w="90" w:type="dxa"/>
              <w:start w:w="100" w:type="dxa"/>
              <w:bottom w:w="90" w:type="dxa"/>
              <w:end w:w="100" w:type="dxa"/>
            </w:tcMar>
            <w:vAlign w:val="top"/>
          </w:tcPr>
          <w:p>
            <w:pPr>
              <w:keepNext/>
              <w:jc w:val="center"/>
            </w:pPr>
            <w:r>
              <w:rPr>
                <w:b/>
                <w:color w:val="1B2A41"/>
                <w:sz w:val="16"/>
              </w:rPr>
              <w:t>Moderate</w:t>
            </w:r>
          </w:p>
        </w:tc>
        <w:tc>
          <w:tcPr>
            <w:tcW w:type="dxa" w:w="2520"/>
            <w:tcMar>
              <w:top w:w="90" w:type="dxa"/>
              <w:start w:w="100" w:type="dxa"/>
              <w:bottom w:w="90" w:type="dxa"/>
              <w:end w:w="100" w:type="dxa"/>
            </w:tcMar>
            <w:vAlign w:val="top"/>
          </w:tcPr>
          <w:p>
            <w:pPr>
              <w:keepNext/>
              <w:jc w:val="center"/>
            </w:pPr>
            <w:r>
              <w:rPr>
                <w:b/>
                <w:color w:val="1B2A41"/>
                <w:sz w:val="16"/>
              </w:rPr>
              <w:t>Scenario-Based</w:t>
            </w:r>
          </w:p>
        </w:tc>
        <w:tc>
          <w:tcPr>
            <w:tcW w:type="dxa" w:w="3672"/>
            <w:tcMar>
              <w:top w:w="90" w:type="dxa"/>
              <w:start w:w="100" w:type="dxa"/>
              <w:bottom w:w="90" w:type="dxa"/>
              <w:end w:w="100" w:type="dxa"/>
            </w:tcMar>
            <w:vAlign w:val="top"/>
          </w:tcPr>
          <w:p>
            <w:pPr>
              <w:keepNext/>
              <w:jc w:val="center"/>
            </w:pPr>
            <w:r>
              <w:rPr>
                <w:b/>
                <w:color w:val="1B2A41"/>
                <w:sz w:val="16"/>
              </w:rPr>
              <w:t>Primary versus substance-induced psychosis</w:t>
            </w:r>
          </w:p>
        </w:tc>
      </w:tr>
    </w:tbl>
    <w:p>
      <w:pPr>
        <w:keepNext/>
      </w:pPr>
      <w:r>
        <w:rPr>
          <w:b/>
          <w:color w:val="1B2A41"/>
          <w:sz w:val="22"/>
        </w:rPr>
        <w:t>Question</w:t>
      </w:r>
    </w:p>
    <w:p>
      <w:pPr>
        <w:keepNext/>
      </w:pPr>
      <w:r>
        <w:rPr>
          <w:b/>
        </w:rPr>
        <w:t>A client presents with hallucinations after several days of stimulant use. An old record lists schizophrenia, but family reports long periods without symptoms. What should the social worker do NEXT?</w:t>
      </w:r>
    </w:p>
    <w:p>
      <w:pPr>
        <w:pStyle w:val="Option"/>
        <w:keepNext/>
      </w:pPr>
      <w:r>
        <w:rPr>
          <w:b/>
        </w:rPr>
        <w:t xml:space="preserve">A. </w:t>
      </w:r>
      <w:r>
        <w:t>Assess safety and medical stability, clarify the timing of psychosis relative to use and abstinence, review prior episodes and records, and coordinate psychiatric evaluation before finalizing the diagnosis.</w:t>
      </w:r>
    </w:p>
    <w:p>
      <w:pPr>
        <w:pStyle w:val="Option"/>
        <w:keepNext/>
      </w:pPr>
      <w:r>
        <w:rPr>
          <w:b/>
        </w:rPr>
        <w:t xml:space="preserve">B. </w:t>
      </w:r>
      <w:r>
        <w:t>Use schizophrenia because written records are more reliable than current information.</w:t>
      </w:r>
    </w:p>
    <w:p>
      <w:pPr>
        <w:pStyle w:val="Option"/>
        <w:keepNext/>
      </w:pPr>
      <w:r>
        <w:rPr>
          <w:b/>
        </w:rPr>
        <w:t xml:space="preserve">C. </w:t>
      </w:r>
      <w:r>
        <w:t>Use stimulant-induced psychosis because current use is confirmed.</w:t>
      </w:r>
    </w:p>
    <w:p>
      <w:r>
        <w:rPr>
          <w:b/>
          <w:color w:val="237852"/>
        </w:rPr>
        <w:t>Correct Answer: A</w:t>
      </w:r>
    </w:p>
    <w:p>
      <w:pPr>
        <w:keepNext/>
      </w:pPr>
      <w:r>
        <w:rPr>
          <w:b/>
          <w:color w:val="1B2A41"/>
          <w:sz w:val="22"/>
        </w:rPr>
        <w:t>Rationales</w:t>
      </w:r>
    </w:p>
    <w:p>
      <w:pPr>
        <w:pStyle w:val="Rationale"/>
      </w:pPr>
      <w:r>
        <w:rPr>
          <w:b/>
          <w:color w:val="237852"/>
        </w:rPr>
        <w:t xml:space="preserve">A. </w:t>
      </w:r>
      <w:r>
        <w:t>Correct. The current substance exposure and prior chart diagnosis are both relevant but neither alone resolves the differential.</w:t>
      </w:r>
    </w:p>
    <w:p>
      <w:pPr>
        <w:pStyle w:val="Rationale"/>
      </w:pPr>
      <w:r>
        <w:rPr>
          <w:b/>
          <w:color w:val="A02D2D"/>
        </w:rPr>
        <w:t xml:space="preserve">B. </w:t>
      </w:r>
      <w:r>
        <w:t>Incorrect. Historical records may be incomplete, outdated, or context-specific.</w:t>
      </w:r>
    </w:p>
    <w:p>
      <w:pPr>
        <w:pStyle w:val="Rationale"/>
      </w:pPr>
      <w:r>
        <w:rPr>
          <w:b/>
          <w:color w:val="A02D2D"/>
        </w:rPr>
        <w:t xml:space="preserve">C. </w:t>
      </w:r>
      <w:r>
        <w:t>Incorrect. Independent episodes during abstinence still require clarification.</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Use chronology to test both hypotheses; do not let a chart label or current substance use decide the case alone.</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LCSW-WB05-QB-Q010</w:t>
            </w:r>
          </w:p>
        </w:tc>
        <w:tc>
          <w:tcPr>
            <w:tcW w:type="dxa" w:w="1728"/>
            <w:tcMar>
              <w:top w:w="90" w:type="dxa"/>
              <w:start w:w="100" w:type="dxa"/>
              <w:bottom w:w="90" w:type="dxa"/>
              <w:end w:w="100" w:type="dxa"/>
            </w:tcMar>
            <w:vAlign w:val="top"/>
          </w:tcPr>
          <w:p>
            <w:pPr>
              <w:keepNext/>
              <w:jc w:val="center"/>
            </w:pPr>
            <w:r>
              <w:rPr>
                <w:b/>
                <w:color w:val="1B2A41"/>
                <w:sz w:val="16"/>
              </w:rPr>
              <w:t>Moderate</w:t>
            </w:r>
          </w:p>
        </w:tc>
        <w:tc>
          <w:tcPr>
            <w:tcW w:type="dxa" w:w="2520"/>
            <w:tcMar>
              <w:top w:w="90" w:type="dxa"/>
              <w:start w:w="100" w:type="dxa"/>
              <w:bottom w:w="90" w:type="dxa"/>
              <w:end w:w="100" w:type="dxa"/>
            </w:tcMar>
            <w:vAlign w:val="top"/>
          </w:tcPr>
          <w:p>
            <w:pPr>
              <w:keepNext/>
              <w:jc w:val="center"/>
            </w:pPr>
            <w:r>
              <w:rPr>
                <w:b/>
                <w:color w:val="1B2A41"/>
                <w:sz w:val="16"/>
              </w:rPr>
              <w:t>Application</w:t>
            </w:r>
          </w:p>
        </w:tc>
        <w:tc>
          <w:tcPr>
            <w:tcW w:type="dxa" w:w="3672"/>
            <w:tcMar>
              <w:top w:w="90" w:type="dxa"/>
              <w:start w:w="100" w:type="dxa"/>
              <w:bottom w:w="90" w:type="dxa"/>
              <w:end w:w="100" w:type="dxa"/>
            </w:tcMar>
            <w:vAlign w:val="top"/>
          </w:tcPr>
          <w:p>
            <w:pPr>
              <w:keepNext/>
              <w:jc w:val="center"/>
            </w:pPr>
            <w:r>
              <w:rPr>
                <w:b/>
                <w:color w:val="1B2A41"/>
                <w:sz w:val="16"/>
              </w:rPr>
              <w:t>Somatic symptom assessment</w:t>
            </w:r>
          </w:p>
        </w:tc>
      </w:tr>
    </w:tbl>
    <w:p>
      <w:pPr>
        <w:keepNext/>
      </w:pPr>
      <w:r>
        <w:rPr>
          <w:b/>
          <w:color w:val="1B2A41"/>
          <w:sz w:val="22"/>
        </w:rPr>
        <w:t>Question</w:t>
      </w:r>
    </w:p>
    <w:p>
      <w:pPr>
        <w:keepNext/>
      </w:pPr>
      <w:r>
        <w:rPr>
          <w:b/>
        </w:rPr>
        <w:t>A client with chronic pain reports severe distress, repeated medical visits, and constant fear that a serious illness has been missed. What is the BEST assessment response?</w:t>
      </w:r>
    </w:p>
    <w:p>
      <w:pPr>
        <w:pStyle w:val="Option"/>
        <w:keepNext/>
      </w:pPr>
      <w:r>
        <w:rPr>
          <w:b/>
        </w:rPr>
        <w:t xml:space="preserve">A. </w:t>
      </w:r>
      <w:r>
        <w:t>Confront the client about exaggerating symptoms.</w:t>
      </w:r>
    </w:p>
    <w:p>
      <w:pPr>
        <w:pStyle w:val="Option"/>
        <w:keepNext/>
      </w:pPr>
      <w:r>
        <w:rPr>
          <w:b/>
        </w:rPr>
        <w:t xml:space="preserve">B. </w:t>
      </w:r>
      <w:r>
        <w:t>Continue appropriate medical coordination while assessing the client's distress, health beliefs, checking or reassurance-seeking, functional impact, mood and anxiety, trauma, substance use, and the relationship between symptoms and behavior.</w:t>
      </w:r>
    </w:p>
    <w:p>
      <w:pPr>
        <w:pStyle w:val="Option"/>
        <w:keepNext/>
      </w:pPr>
      <w:r>
        <w:rPr>
          <w:b/>
        </w:rPr>
        <w:t xml:space="preserve">C. </w:t>
      </w:r>
      <w:r>
        <w:t>Stop all medical evaluation because psychological factors are evident.</w:t>
      </w:r>
    </w:p>
    <w:p>
      <w:r>
        <w:rPr>
          <w:b/>
          <w:color w:val="237852"/>
        </w:rPr>
        <w:t>Correct Answer: B</w:t>
      </w:r>
    </w:p>
    <w:p>
      <w:pPr>
        <w:keepNext/>
      </w:pPr>
      <w:r>
        <w:rPr>
          <w:b/>
          <w:color w:val="1B2A41"/>
          <w:sz w:val="22"/>
        </w:rPr>
        <w:t>Rationales</w:t>
      </w:r>
    </w:p>
    <w:p>
      <w:pPr>
        <w:pStyle w:val="Rationale"/>
      </w:pPr>
      <w:r>
        <w:rPr>
          <w:b/>
          <w:color w:val="A02D2D"/>
        </w:rPr>
        <w:t xml:space="preserve">A. </w:t>
      </w:r>
      <w:r>
        <w:t>Incorrect. Intentional production has not been established and confrontation may damage care.</w:t>
      </w:r>
    </w:p>
    <w:p>
      <w:pPr>
        <w:pStyle w:val="Rationale"/>
      </w:pPr>
      <w:r>
        <w:rPr>
          <w:b/>
          <w:color w:val="237852"/>
        </w:rPr>
        <w:t xml:space="preserve">B. </w:t>
      </w:r>
      <w:r>
        <w:t>Correct. A somatic symptom-related formulation focuses on excessive distress and behavior without assuming symptoms are fabricated or medically unexplained.</w:t>
      </w:r>
    </w:p>
    <w:p>
      <w:pPr>
        <w:pStyle w:val="Rationale"/>
      </w:pPr>
      <w:r>
        <w:rPr>
          <w:b/>
          <w:color w:val="A02D2D"/>
        </w:rPr>
        <w:t xml:space="preserve">C. </w:t>
      </w:r>
      <w:r>
        <w:t>Incorrect. Medical and psychological assessment may need to proceed together.</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Do not choose between physical and psychological care prematurely; assess both the symptoms and the response to them.</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LCSW-WB05-QB-Q011</w:t>
            </w:r>
          </w:p>
        </w:tc>
        <w:tc>
          <w:tcPr>
            <w:tcW w:type="dxa" w:w="1728"/>
            <w:tcMar>
              <w:top w:w="90" w:type="dxa"/>
              <w:start w:w="100" w:type="dxa"/>
              <w:bottom w:w="90" w:type="dxa"/>
              <w:end w:w="100" w:type="dxa"/>
            </w:tcMar>
            <w:vAlign w:val="top"/>
          </w:tcPr>
          <w:p>
            <w:pPr>
              <w:keepNext/>
              <w:jc w:val="center"/>
            </w:pPr>
            <w:r>
              <w:rPr>
                <w:b/>
                <w:color w:val="1B2A41"/>
                <w:sz w:val="16"/>
              </w:rPr>
              <w:t>Moderate</w:t>
            </w:r>
          </w:p>
        </w:tc>
        <w:tc>
          <w:tcPr>
            <w:tcW w:type="dxa" w:w="2520"/>
            <w:tcMar>
              <w:top w:w="90" w:type="dxa"/>
              <w:start w:w="100" w:type="dxa"/>
              <w:bottom w:w="90" w:type="dxa"/>
              <w:end w:w="100" w:type="dxa"/>
            </w:tcMar>
            <w:vAlign w:val="top"/>
          </w:tcPr>
          <w:p>
            <w:pPr>
              <w:keepNext/>
              <w:jc w:val="center"/>
            </w:pPr>
            <w:r>
              <w:rPr>
                <w:b/>
                <w:color w:val="1B2A41"/>
                <w:sz w:val="16"/>
              </w:rPr>
              <w:t>Scenario-Based</w:t>
            </w:r>
          </w:p>
        </w:tc>
        <w:tc>
          <w:tcPr>
            <w:tcW w:type="dxa" w:w="3672"/>
            <w:tcMar>
              <w:top w:w="90" w:type="dxa"/>
              <w:start w:w="100" w:type="dxa"/>
              <w:bottom w:w="90" w:type="dxa"/>
              <w:end w:w="100" w:type="dxa"/>
            </w:tcMar>
            <w:vAlign w:val="top"/>
          </w:tcPr>
          <w:p>
            <w:pPr>
              <w:keepNext/>
              <w:jc w:val="center"/>
            </w:pPr>
            <w:r>
              <w:rPr>
                <w:b/>
                <w:color w:val="1B2A41"/>
                <w:sz w:val="16"/>
              </w:rPr>
              <w:t>Alcohol withdrawal risk</w:t>
            </w:r>
          </w:p>
        </w:tc>
      </w:tr>
    </w:tbl>
    <w:p>
      <w:pPr>
        <w:keepNext/>
      </w:pPr>
      <w:r>
        <w:rPr>
          <w:b/>
          <w:color w:val="1B2A41"/>
          <w:sz w:val="22"/>
        </w:rPr>
        <w:t>Question</w:t>
      </w:r>
    </w:p>
    <w:p>
      <w:pPr>
        <w:keepNext/>
      </w:pPr>
      <w:r>
        <w:rPr>
          <w:b/>
        </w:rPr>
        <w:t>A client who drinks heavily every day wants to stop immediately and reports prior shaking and confusion when trying to quit. What should the social worker do FIRST?</w:t>
      </w:r>
    </w:p>
    <w:p>
      <w:pPr>
        <w:pStyle w:val="Option"/>
        <w:keepNext/>
      </w:pPr>
      <w:r>
        <w:rPr>
          <w:b/>
        </w:rPr>
        <w:t xml:space="preserve">A. </w:t>
      </w:r>
      <w:r>
        <w:t>Encourage the client to stop alone at home and call if symptoms worsen.</w:t>
      </w:r>
    </w:p>
    <w:p>
      <w:pPr>
        <w:pStyle w:val="Option"/>
        <w:keepNext/>
      </w:pPr>
      <w:r>
        <w:rPr>
          <w:b/>
        </w:rPr>
        <w:t xml:space="preserve">B. </w:t>
      </w:r>
      <w:r>
        <w:t>Begin relapse-prevention therapy before discussing medical care.</w:t>
      </w:r>
    </w:p>
    <w:p>
      <w:pPr>
        <w:pStyle w:val="Option"/>
        <w:keepNext/>
      </w:pPr>
      <w:r>
        <w:rPr>
          <w:b/>
        </w:rPr>
        <w:t xml:space="preserve">C. </w:t>
      </w:r>
      <w:r>
        <w:t>Assess current withdrawal signs and immediate safety and arrange prompt medical evaluation for supervised withdrawal planning.</w:t>
      </w:r>
    </w:p>
    <w:p>
      <w:r>
        <w:rPr>
          <w:b/>
          <w:color w:val="237852"/>
        </w:rPr>
        <w:t>Correct Answer: C</w:t>
      </w:r>
    </w:p>
    <w:p>
      <w:pPr>
        <w:keepNext/>
      </w:pPr>
      <w:r>
        <w:rPr>
          <w:b/>
          <w:color w:val="1B2A41"/>
          <w:sz w:val="22"/>
        </w:rPr>
        <w:t>Rationales</w:t>
      </w:r>
    </w:p>
    <w:p>
      <w:pPr>
        <w:pStyle w:val="Rationale"/>
      </w:pPr>
      <w:r>
        <w:rPr>
          <w:b/>
          <w:color w:val="A02D2D"/>
        </w:rPr>
        <w:t xml:space="preserve">A. </w:t>
      </w:r>
      <w:r>
        <w:t>Incorrect. Abrupt unsupervised cessation may be medically dangerous.</w:t>
      </w:r>
    </w:p>
    <w:p>
      <w:pPr>
        <w:pStyle w:val="Rationale"/>
      </w:pPr>
      <w:r>
        <w:rPr>
          <w:b/>
          <w:color w:val="A02D2D"/>
        </w:rPr>
        <w:t xml:space="preserve">B. </w:t>
      </w:r>
      <w:r>
        <w:t>Incorrect. Psychotherapy planning follows stabilization of withdrawal risk.</w:t>
      </w:r>
    </w:p>
    <w:p>
      <w:pPr>
        <w:pStyle w:val="Rationale"/>
      </w:pPr>
      <w:r>
        <w:rPr>
          <w:b/>
          <w:color w:val="237852"/>
        </w:rPr>
        <w:t xml:space="preserve">C. </w:t>
      </w:r>
      <w:r>
        <w:t>Correct. A history of severe withdrawal symptoms creates potential medical danger that precedes routine outpatient counseling.</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When withdrawal may be dangerous, medical stabilization comes before motivational or relapse-prevention work.</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LCSW-WB05-QB-Q012</w:t>
            </w:r>
          </w:p>
        </w:tc>
        <w:tc>
          <w:tcPr>
            <w:tcW w:type="dxa" w:w="1728"/>
            <w:tcMar>
              <w:top w:w="90" w:type="dxa"/>
              <w:start w:w="100" w:type="dxa"/>
              <w:bottom w:w="90" w:type="dxa"/>
              <w:end w:w="100" w:type="dxa"/>
            </w:tcMar>
            <w:vAlign w:val="top"/>
          </w:tcPr>
          <w:p>
            <w:pPr>
              <w:keepNext/>
              <w:jc w:val="center"/>
            </w:pPr>
            <w:r>
              <w:rPr>
                <w:b/>
                <w:color w:val="1B2A41"/>
                <w:sz w:val="16"/>
              </w:rPr>
              <w:t>Moderate</w:t>
            </w:r>
          </w:p>
        </w:tc>
        <w:tc>
          <w:tcPr>
            <w:tcW w:type="dxa" w:w="2520"/>
            <w:tcMar>
              <w:top w:w="90" w:type="dxa"/>
              <w:start w:w="100" w:type="dxa"/>
              <w:bottom w:w="90" w:type="dxa"/>
              <w:end w:w="100" w:type="dxa"/>
            </w:tcMar>
            <w:vAlign w:val="top"/>
          </w:tcPr>
          <w:p>
            <w:pPr>
              <w:keepNext/>
              <w:jc w:val="center"/>
            </w:pPr>
            <w:r>
              <w:rPr>
                <w:b/>
                <w:color w:val="1B2A41"/>
                <w:sz w:val="16"/>
              </w:rPr>
              <w:t>Scenario-Based</w:t>
            </w:r>
          </w:p>
        </w:tc>
        <w:tc>
          <w:tcPr>
            <w:tcW w:type="dxa" w:w="3672"/>
            <w:tcMar>
              <w:top w:w="90" w:type="dxa"/>
              <w:start w:w="100" w:type="dxa"/>
              <w:bottom w:w="90" w:type="dxa"/>
              <w:end w:w="100" w:type="dxa"/>
            </w:tcMar>
            <w:vAlign w:val="top"/>
          </w:tcPr>
          <w:p>
            <w:pPr>
              <w:keepNext/>
              <w:jc w:val="center"/>
            </w:pPr>
            <w:r>
              <w:rPr>
                <w:b/>
                <w:color w:val="1B2A41"/>
                <w:sz w:val="16"/>
              </w:rPr>
              <w:t>Possible medication side effect</w:t>
            </w:r>
          </w:p>
        </w:tc>
      </w:tr>
    </w:tbl>
    <w:p>
      <w:pPr>
        <w:keepNext/>
      </w:pPr>
      <w:r>
        <w:rPr>
          <w:b/>
          <w:color w:val="1B2A41"/>
          <w:sz w:val="22"/>
        </w:rPr>
        <w:t>Question</w:t>
      </w:r>
    </w:p>
    <w:p>
      <w:pPr>
        <w:keepNext/>
      </w:pPr>
      <w:r>
        <w:rPr>
          <w:b/>
        </w:rPr>
        <w:t>A client develops severe restlessness and an uncontrollable urge to move soon after a psychiatric medication change. What should the social worker do NEXT?</w:t>
      </w:r>
    </w:p>
    <w:p>
      <w:pPr>
        <w:pStyle w:val="Option"/>
        <w:keepNext/>
      </w:pPr>
      <w:r>
        <w:rPr>
          <w:b/>
        </w:rPr>
        <w:t xml:space="preserve">A. </w:t>
      </w:r>
      <w:r>
        <w:t>Interpret the restlessness as resistance to treatment.</w:t>
      </w:r>
    </w:p>
    <w:p>
      <w:pPr>
        <w:pStyle w:val="Option"/>
        <w:keepNext/>
      </w:pPr>
      <w:r>
        <w:rPr>
          <w:b/>
        </w:rPr>
        <w:t xml:space="preserve">B. </w:t>
      </w:r>
      <w:r>
        <w:t>Tell the client to discontinue the medication immediately.</w:t>
      </w:r>
    </w:p>
    <w:p>
      <w:pPr>
        <w:pStyle w:val="Option"/>
        <w:keepNext/>
      </w:pPr>
      <w:r>
        <w:rPr>
          <w:b/>
        </w:rPr>
        <w:t xml:space="preserve">C. </w:t>
      </w:r>
      <w:r>
        <w:t>Wait until the next monthly appointment because side effects are expected.</w:t>
      </w:r>
    </w:p>
    <w:p>
      <w:pPr>
        <w:pStyle w:val="Option"/>
        <w:keepNext/>
      </w:pPr>
      <w:r>
        <w:rPr>
          <w:b/>
        </w:rPr>
        <w:t xml:space="preserve">D. </w:t>
      </w:r>
      <w:r>
        <w:t>Assess the timing, severity, safety, adherence, other substances and medications, and promptly communicate the possible side effect to the prescriber without directing a dose change.</w:t>
      </w:r>
    </w:p>
    <w:p>
      <w:r>
        <w:rPr>
          <w:b/>
          <w:color w:val="237852"/>
        </w:rPr>
        <w:t>Correct Answer: D</w:t>
      </w:r>
    </w:p>
    <w:p>
      <w:pPr>
        <w:keepNext/>
      </w:pPr>
      <w:r>
        <w:rPr>
          <w:b/>
          <w:color w:val="1B2A41"/>
          <w:sz w:val="22"/>
        </w:rPr>
        <w:t>Rationales</w:t>
      </w:r>
    </w:p>
    <w:p>
      <w:pPr>
        <w:pStyle w:val="Rationale"/>
      </w:pPr>
      <w:r>
        <w:rPr>
          <w:b/>
          <w:color w:val="A02D2D"/>
        </w:rPr>
        <w:t xml:space="preserve">A. </w:t>
      </w:r>
      <w:r>
        <w:t>Incorrect. The timing suggests a possible medication effect that must be evaluated.</w:t>
      </w:r>
    </w:p>
    <w:p>
      <w:pPr>
        <w:pStyle w:val="Rationale"/>
      </w:pPr>
      <w:r>
        <w:rPr>
          <w:b/>
          <w:color w:val="A02D2D"/>
        </w:rPr>
        <w:t xml:space="preserve">B. </w:t>
      </w:r>
      <w:r>
        <w:t>Incorrect. Abrupt medication instructions are outside scope and may be unsafe.</w:t>
      </w:r>
    </w:p>
    <w:p>
      <w:pPr>
        <w:pStyle w:val="Rationale"/>
      </w:pPr>
      <w:r>
        <w:rPr>
          <w:b/>
          <w:color w:val="A02D2D"/>
        </w:rPr>
        <w:t xml:space="preserve">C. </w:t>
      </w:r>
      <w:r>
        <w:t>Incorrect. Severe new symptoms warrant timely communication and safety assessment.</w:t>
      </w:r>
    </w:p>
    <w:p>
      <w:pPr>
        <w:pStyle w:val="Rationale"/>
      </w:pPr>
      <w:r>
        <w:rPr>
          <w:b/>
          <w:color w:val="237852"/>
        </w:rPr>
        <w:t xml:space="preserve">D. </w:t>
      </w:r>
      <w:r>
        <w:t>Correct. New movement or agitation symptoms after a medication change require timely assessment and prescriber coordination.</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Notice new symptoms after medication changes, assess urgency, and coordinate—do not prescribe.</w:t>
            </w:r>
          </w:p>
        </w:tc>
      </w:tr>
    </w:tbl>
    <w:p/>
    <w:p>
      <w:r>
        <w:br w:type="page"/>
      </w:r>
    </w:p>
    <w:p>
      <w:pPr>
        <w:pStyle w:val="Heading1"/>
      </w:pPr>
      <w:r>
        <w:t>Difficult Questions</w:t>
      </w:r>
    </w:p>
    <w:p>
      <w:r>
        <w:rPr>
          <w:i/>
          <w:color w:val="696969"/>
        </w:rPr>
        <w:t>5 questions | Complex scenarios requiring prioritization and integrated professional reasoning.</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LCSW-WB05-QB-Q013</w:t>
            </w:r>
          </w:p>
        </w:tc>
        <w:tc>
          <w:tcPr>
            <w:tcW w:type="dxa" w:w="1728"/>
            <w:tcMar>
              <w:top w:w="90" w:type="dxa"/>
              <w:start w:w="100" w:type="dxa"/>
              <w:bottom w:w="90" w:type="dxa"/>
              <w:end w:w="100" w:type="dxa"/>
            </w:tcMar>
            <w:vAlign w:val="top"/>
          </w:tcPr>
          <w:p>
            <w:pPr>
              <w:keepNext/>
              <w:jc w:val="center"/>
            </w:pPr>
            <w:r>
              <w:rPr>
                <w:b/>
                <w:color w:val="1B2A41"/>
                <w:sz w:val="16"/>
              </w:rPr>
              <w:t>Difficult</w:t>
            </w:r>
          </w:p>
        </w:tc>
        <w:tc>
          <w:tcPr>
            <w:tcW w:type="dxa" w:w="2520"/>
            <w:tcMar>
              <w:top w:w="90" w:type="dxa"/>
              <w:start w:w="100" w:type="dxa"/>
              <w:bottom w:w="90" w:type="dxa"/>
              <w:end w:w="100" w:type="dxa"/>
            </w:tcMar>
            <w:vAlign w:val="top"/>
          </w:tcPr>
          <w:p>
            <w:pPr>
              <w:keepNext/>
              <w:jc w:val="center"/>
            </w:pPr>
            <w:r>
              <w:rPr>
                <w:b/>
                <w:color w:val="1B2A41"/>
                <w:sz w:val="16"/>
              </w:rPr>
              <w:t>Integrated Clinical Reasoning</w:t>
            </w:r>
          </w:p>
        </w:tc>
        <w:tc>
          <w:tcPr>
            <w:tcW w:type="dxa" w:w="3672"/>
            <w:tcMar>
              <w:top w:w="90" w:type="dxa"/>
              <w:start w:w="100" w:type="dxa"/>
              <w:bottom w:w="90" w:type="dxa"/>
              <w:end w:w="100" w:type="dxa"/>
            </w:tcMar>
            <w:vAlign w:val="top"/>
          </w:tcPr>
          <w:p>
            <w:pPr>
              <w:keepNext/>
              <w:jc w:val="center"/>
            </w:pPr>
            <w:r>
              <w:rPr>
                <w:b/>
                <w:color w:val="1B2A41"/>
                <w:sz w:val="16"/>
              </w:rPr>
              <w:t>Integrated person-in-environment assessment</w:t>
            </w:r>
          </w:p>
        </w:tc>
      </w:tr>
    </w:tbl>
    <w:p>
      <w:pPr>
        <w:keepNext/>
      </w:pPr>
      <w:r>
        <w:rPr>
          <w:b/>
          <w:color w:val="1B2A41"/>
          <w:sz w:val="22"/>
        </w:rPr>
        <w:t>Question</w:t>
      </w:r>
    </w:p>
    <w:p>
      <w:pPr>
        <w:keepNext/>
      </w:pPr>
      <w:r>
        <w:rPr>
          <w:b/>
        </w:rPr>
        <w:t>A shelter resident reports depression, chronic pain, poor sleep, intermittent cocaine use, fear of assault, and an urgent wish to obtain safer housing. What is the BEST initial plan?</w:t>
      </w:r>
    </w:p>
    <w:p>
      <w:pPr>
        <w:pStyle w:val="Option"/>
        <w:keepNext/>
      </w:pPr>
      <w:r>
        <w:rPr>
          <w:b/>
        </w:rPr>
        <w:t xml:space="preserve">A. </w:t>
      </w:r>
      <w:r>
        <w:t>Begin with the client's housing priority while screening suicide and immediate safety risk, assessing pain, sleep, trauma, substance chronology, medical factors, prior episodes and strengths, and coordinating accessible housing, health, and behavioral-health resources.</w:t>
      </w:r>
    </w:p>
    <w:p>
      <w:pPr>
        <w:pStyle w:val="Option"/>
        <w:keepNext/>
      </w:pPr>
      <w:r>
        <w:rPr>
          <w:b/>
        </w:rPr>
        <w:t xml:space="preserve">B. </w:t>
      </w:r>
      <w:r>
        <w:t>Require completion of a full depression protocol before discussing housing.</w:t>
      </w:r>
    </w:p>
    <w:p>
      <w:pPr>
        <w:pStyle w:val="Option"/>
        <w:keepNext/>
      </w:pPr>
      <w:r>
        <w:rPr>
          <w:b/>
        </w:rPr>
        <w:t xml:space="preserve">C. </w:t>
      </w:r>
      <w:r>
        <w:t>Provide a housing list and defer all health and safety assessment.</w:t>
      </w:r>
    </w:p>
    <w:p>
      <w:r>
        <w:rPr>
          <w:b/>
          <w:color w:val="237852"/>
        </w:rPr>
        <w:t>Correct Answer: A</w:t>
      </w:r>
    </w:p>
    <w:p>
      <w:pPr>
        <w:keepNext/>
      </w:pPr>
      <w:r>
        <w:rPr>
          <w:b/>
          <w:color w:val="1B2A41"/>
          <w:sz w:val="22"/>
        </w:rPr>
        <w:t>Rationales</w:t>
      </w:r>
    </w:p>
    <w:p>
      <w:pPr>
        <w:pStyle w:val="Rationale"/>
      </w:pPr>
      <w:r>
        <w:rPr>
          <w:b/>
          <w:color w:val="237852"/>
        </w:rPr>
        <w:t xml:space="preserve">A. </w:t>
      </w:r>
      <w:r>
        <w:t>Correct. The plan integrates person-in-environment needs with diagnostic and safety assessment rather than making the client choose between concrete and clinical help.</w:t>
      </w:r>
    </w:p>
    <w:p>
      <w:pPr>
        <w:pStyle w:val="Rationale"/>
      </w:pPr>
      <w:r>
        <w:rPr>
          <w:b/>
          <w:color w:val="A02D2D"/>
        </w:rPr>
        <w:t xml:space="preserve">B. </w:t>
      </w:r>
      <w:r>
        <w:t>Incorrect. This ignores the urgent client-defined need and may weaken engagement.</w:t>
      </w:r>
    </w:p>
    <w:p>
      <w:pPr>
        <w:pStyle w:val="Rationale"/>
      </w:pPr>
      <w:r>
        <w:rPr>
          <w:b/>
          <w:color w:val="A02D2D"/>
        </w:rPr>
        <w:t xml:space="preserve">C. </w:t>
      </w:r>
      <w:r>
        <w:t>Incorrect. A list may not be usable, and urgent clinical or medical risk cannot be ignored.</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Start with the client's stated priority while screening urgent risk and building one coordinated plan.</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LCSW-WB05-QB-Q014</w:t>
            </w:r>
          </w:p>
        </w:tc>
        <w:tc>
          <w:tcPr>
            <w:tcW w:type="dxa" w:w="1728"/>
            <w:tcMar>
              <w:top w:w="90" w:type="dxa"/>
              <w:start w:w="100" w:type="dxa"/>
              <w:bottom w:w="90" w:type="dxa"/>
              <w:end w:w="100" w:type="dxa"/>
            </w:tcMar>
            <w:vAlign w:val="top"/>
          </w:tcPr>
          <w:p>
            <w:pPr>
              <w:keepNext/>
              <w:jc w:val="center"/>
            </w:pPr>
            <w:r>
              <w:rPr>
                <w:b/>
                <w:color w:val="1B2A41"/>
                <w:sz w:val="16"/>
              </w:rPr>
              <w:t>Difficult</w:t>
            </w:r>
          </w:p>
        </w:tc>
        <w:tc>
          <w:tcPr>
            <w:tcW w:type="dxa" w:w="2520"/>
            <w:tcMar>
              <w:top w:w="90" w:type="dxa"/>
              <w:start w:w="100" w:type="dxa"/>
              <w:bottom w:w="90" w:type="dxa"/>
              <w:end w:w="100" w:type="dxa"/>
            </w:tcMar>
            <w:vAlign w:val="top"/>
          </w:tcPr>
          <w:p>
            <w:pPr>
              <w:keepNext/>
              <w:jc w:val="center"/>
            </w:pPr>
            <w:r>
              <w:rPr>
                <w:b/>
                <w:color w:val="1B2A41"/>
                <w:sz w:val="16"/>
              </w:rPr>
              <w:t>Integrated Clinical Reasoning</w:t>
            </w:r>
          </w:p>
        </w:tc>
        <w:tc>
          <w:tcPr>
            <w:tcW w:type="dxa" w:w="3672"/>
            <w:tcMar>
              <w:top w:w="90" w:type="dxa"/>
              <w:start w:w="100" w:type="dxa"/>
              <w:bottom w:w="90" w:type="dxa"/>
              <w:end w:w="100" w:type="dxa"/>
            </w:tcMar>
            <w:vAlign w:val="top"/>
          </w:tcPr>
          <w:p>
            <w:pPr>
              <w:keepNext/>
              <w:jc w:val="center"/>
            </w:pPr>
            <w:r>
              <w:rPr>
                <w:b/>
                <w:color w:val="1B2A41"/>
                <w:sz w:val="16"/>
              </w:rPr>
              <w:t>Grief, depression, cognition, and placement</w:t>
            </w:r>
          </w:p>
        </w:tc>
      </w:tr>
    </w:tbl>
    <w:p>
      <w:pPr>
        <w:keepNext/>
      </w:pPr>
      <w:r>
        <w:rPr>
          <w:b/>
          <w:color w:val="1B2A41"/>
          <w:sz w:val="22"/>
        </w:rPr>
        <w:t>Question</w:t>
      </w:r>
    </w:p>
    <w:p>
      <w:pPr>
        <w:keepNext/>
      </w:pPr>
      <w:r>
        <w:rPr>
          <w:b/>
        </w:rPr>
        <w:t>An older adult who recently lost a spouse develops apathy, missed bills, medication confusion, and difficulty finding words. Family asks the social worker to arrange permanent placement. What should the social worker do FIRST?</w:t>
      </w:r>
    </w:p>
    <w:p>
      <w:pPr>
        <w:pStyle w:val="Option"/>
        <w:keepNext/>
      </w:pPr>
      <w:r>
        <w:rPr>
          <w:b/>
        </w:rPr>
        <w:t xml:space="preserve">A. </w:t>
      </w:r>
      <w:r>
        <w:t>Arrange placement because missed bills prove incapacity.</w:t>
      </w:r>
    </w:p>
    <w:p>
      <w:pPr>
        <w:pStyle w:val="Option"/>
        <w:keepNext/>
      </w:pPr>
      <w:r>
        <w:rPr>
          <w:b/>
        </w:rPr>
        <w:t xml:space="preserve">B. </w:t>
      </w:r>
      <w:r>
        <w:t>Assess immediate safety and self-care, establish baseline and chronology, review grief and depression, cognition and function, medical and medication factors, decision-making ability, supports, and coordinate medical evaluation before recommending a long-term placement.</w:t>
      </w:r>
    </w:p>
    <w:p>
      <w:pPr>
        <w:pStyle w:val="Option"/>
        <w:keepNext/>
      </w:pPr>
      <w:r>
        <w:rPr>
          <w:b/>
        </w:rPr>
        <w:t xml:space="preserve">C. </w:t>
      </w:r>
      <w:r>
        <w:t>Diagnose depression because the changes began after bereavement.</w:t>
      </w:r>
    </w:p>
    <w:p>
      <w:r>
        <w:rPr>
          <w:b/>
          <w:color w:val="237852"/>
        </w:rPr>
        <w:t>Correct Answer: B</w:t>
      </w:r>
    </w:p>
    <w:p>
      <w:pPr>
        <w:keepNext/>
      </w:pPr>
      <w:r>
        <w:rPr>
          <w:b/>
          <w:color w:val="1B2A41"/>
          <w:sz w:val="22"/>
        </w:rPr>
        <w:t>Rationales</w:t>
      </w:r>
    </w:p>
    <w:p>
      <w:pPr>
        <w:pStyle w:val="Rationale"/>
      </w:pPr>
      <w:r>
        <w:rPr>
          <w:b/>
          <w:color w:val="A02D2D"/>
        </w:rPr>
        <w:t xml:space="preserve">A. </w:t>
      </w:r>
      <w:r>
        <w:t>Incorrect. Functional difficulty warrants assessment but does not by itself establish global incapacity or placement need.</w:t>
      </w:r>
    </w:p>
    <w:p>
      <w:pPr>
        <w:pStyle w:val="Rationale"/>
      </w:pPr>
      <w:r>
        <w:rPr>
          <w:b/>
          <w:color w:val="237852"/>
        </w:rPr>
        <w:t xml:space="preserve">B. </w:t>
      </w:r>
      <w:r>
        <w:t>Correct. The presentation may involve grief, depression, neurocognitive change, medication problems, or several conditions and requires least-restrictive assessment.</w:t>
      </w:r>
    </w:p>
    <w:p>
      <w:pPr>
        <w:pStyle w:val="Rationale"/>
      </w:pPr>
      <w:r>
        <w:rPr>
          <w:b/>
          <w:color w:val="A02D2D"/>
        </w:rPr>
        <w:t xml:space="preserve">C. </w:t>
      </w:r>
      <w:r>
        <w:t>Incorrect. Timing is relevant but does not exclude cognitive, medical, or medication contributors.</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Do not let the family's requested disposition replace assessment of reversible causes, capacity, and the client's preferences.</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LCSW-WB05-QB-Q015</w:t>
            </w:r>
          </w:p>
        </w:tc>
        <w:tc>
          <w:tcPr>
            <w:tcW w:type="dxa" w:w="1728"/>
            <w:tcMar>
              <w:top w:w="90" w:type="dxa"/>
              <w:start w:w="100" w:type="dxa"/>
              <w:bottom w:w="90" w:type="dxa"/>
              <w:end w:w="100" w:type="dxa"/>
            </w:tcMar>
            <w:vAlign w:val="top"/>
          </w:tcPr>
          <w:p>
            <w:pPr>
              <w:keepNext/>
              <w:jc w:val="center"/>
            </w:pPr>
            <w:r>
              <w:rPr>
                <w:b/>
                <w:color w:val="1B2A41"/>
                <w:sz w:val="16"/>
              </w:rPr>
              <w:t>Difficult</w:t>
            </w:r>
          </w:p>
        </w:tc>
        <w:tc>
          <w:tcPr>
            <w:tcW w:type="dxa" w:w="2520"/>
            <w:tcMar>
              <w:top w:w="90" w:type="dxa"/>
              <w:start w:w="100" w:type="dxa"/>
              <w:bottom w:w="90" w:type="dxa"/>
              <w:end w:w="100" w:type="dxa"/>
            </w:tcMar>
            <w:vAlign w:val="top"/>
          </w:tcPr>
          <w:p>
            <w:pPr>
              <w:keepNext/>
              <w:jc w:val="center"/>
            </w:pPr>
            <w:r>
              <w:rPr>
                <w:b/>
                <w:color w:val="1B2A41"/>
                <w:sz w:val="16"/>
              </w:rPr>
              <w:t>Integrated Clinical Reasoning</w:t>
            </w:r>
          </w:p>
        </w:tc>
        <w:tc>
          <w:tcPr>
            <w:tcW w:type="dxa" w:w="3672"/>
            <w:tcMar>
              <w:top w:w="90" w:type="dxa"/>
              <w:start w:w="100" w:type="dxa"/>
              <w:bottom w:w="90" w:type="dxa"/>
              <w:end w:w="100" w:type="dxa"/>
            </w:tcMar>
            <w:vAlign w:val="top"/>
          </w:tcPr>
          <w:p>
            <w:pPr>
              <w:keepNext/>
              <w:jc w:val="center"/>
            </w:pPr>
            <w:r>
              <w:rPr>
                <w:b/>
                <w:color w:val="1B2A41"/>
                <w:sz w:val="16"/>
              </w:rPr>
              <w:t>Pregnancy and medication coordination</w:t>
            </w:r>
          </w:p>
        </w:tc>
      </w:tr>
    </w:tbl>
    <w:p>
      <w:pPr>
        <w:keepNext/>
      </w:pPr>
      <w:r>
        <w:rPr>
          <w:b/>
          <w:color w:val="1B2A41"/>
          <w:sz w:val="22"/>
        </w:rPr>
        <w:t>Question</w:t>
      </w:r>
    </w:p>
    <w:p>
      <w:pPr>
        <w:keepNext/>
      </w:pPr>
      <w:r>
        <w:rPr>
          <w:b/>
        </w:rPr>
        <w:t>A pregnant client with a history of bipolar disorder says, 'I heard my medication could hurt the baby, so I am stopping it tonight.' The client currently denies symptoms. What should the social worker do NEXT?</w:t>
      </w:r>
    </w:p>
    <w:p>
      <w:pPr>
        <w:pStyle w:val="Option"/>
        <w:keepNext/>
      </w:pPr>
      <w:r>
        <w:rPr>
          <w:b/>
        </w:rPr>
        <w:t xml:space="preserve">A. </w:t>
      </w:r>
      <w:r>
        <w:t>Tell the client to continue the medication because relapse is always more dangerous.</w:t>
      </w:r>
    </w:p>
    <w:p>
      <w:pPr>
        <w:pStyle w:val="Option"/>
        <w:keepNext/>
      </w:pPr>
      <w:r>
        <w:rPr>
          <w:b/>
        </w:rPr>
        <w:t xml:space="preserve">B. </w:t>
      </w:r>
      <w:r>
        <w:t>Support immediate discontinuation because fetal safety is the only priority.</w:t>
      </w:r>
    </w:p>
    <w:p>
      <w:pPr>
        <w:pStyle w:val="Option"/>
        <w:keepNext/>
      </w:pPr>
      <w:r>
        <w:rPr>
          <w:b/>
        </w:rPr>
        <w:t xml:space="preserve">C. </w:t>
      </w:r>
      <w:r>
        <w:t>Assess current safety, mood and sleep, understanding and concerns, past relapse severity, supports and access, and facilitate prompt informed consultation with the prescriber and prenatal provider rather than advising continuation or discontinuation.</w:t>
      </w:r>
    </w:p>
    <w:p>
      <w:pPr>
        <w:pStyle w:val="Option"/>
        <w:keepNext/>
      </w:pPr>
      <w:r>
        <w:rPr>
          <w:b/>
        </w:rPr>
        <w:t xml:space="preserve">D. </w:t>
      </w:r>
      <w:r>
        <w:t>Avoid discussing the concern because medication is outside social work scope.</w:t>
      </w:r>
    </w:p>
    <w:p>
      <w:r>
        <w:rPr>
          <w:b/>
          <w:color w:val="237852"/>
        </w:rPr>
        <w:t>Correct Answer: C</w:t>
      </w:r>
    </w:p>
    <w:p>
      <w:pPr>
        <w:keepNext/>
      </w:pPr>
      <w:r>
        <w:rPr>
          <w:b/>
          <w:color w:val="1B2A41"/>
          <w:sz w:val="22"/>
        </w:rPr>
        <w:t>Rationales</w:t>
      </w:r>
    </w:p>
    <w:p>
      <w:pPr>
        <w:pStyle w:val="Rationale"/>
      </w:pPr>
      <w:r>
        <w:rPr>
          <w:b/>
          <w:color w:val="A02D2D"/>
        </w:rPr>
        <w:t xml:space="preserve">A. </w:t>
      </w:r>
      <w:r>
        <w:t>Incorrect. The social worker should not make a medical risk-benefit decision or prescribe continuation.</w:t>
      </w:r>
    </w:p>
    <w:p>
      <w:pPr>
        <w:pStyle w:val="Rationale"/>
      </w:pPr>
      <w:r>
        <w:rPr>
          <w:b/>
          <w:color w:val="A02D2D"/>
        </w:rPr>
        <w:t xml:space="preserve">B. </w:t>
      </w:r>
      <w:r>
        <w:t>Incorrect. Abrupt discontinuation may also create risk and requires medical guidance.</w:t>
      </w:r>
    </w:p>
    <w:p>
      <w:pPr>
        <w:pStyle w:val="Rationale"/>
      </w:pPr>
      <w:r>
        <w:rPr>
          <w:b/>
          <w:color w:val="237852"/>
        </w:rPr>
        <w:t xml:space="preserve">C. </w:t>
      </w:r>
      <w:r>
        <w:t>Correct. Pregnancy requires coordinated risk-benefit discussion within medical scope while preserving client participation and monitoring relapse risk.</w:t>
      </w:r>
    </w:p>
    <w:p>
      <w:pPr>
        <w:pStyle w:val="Rationale"/>
      </w:pPr>
      <w:r>
        <w:rPr>
          <w:b/>
          <w:color w:val="A02D2D"/>
        </w:rPr>
        <w:t xml:space="preserve">D. </w:t>
      </w:r>
      <w:r>
        <w:t>Incorrect. Assessment, education, support, access, and care coordination are within scope.</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Do not choose the medication decision; assess risk and make timely, accessible prescriber coordination possible.</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LCSW-WB05-QB-Q016</w:t>
            </w:r>
          </w:p>
        </w:tc>
        <w:tc>
          <w:tcPr>
            <w:tcW w:type="dxa" w:w="1728"/>
            <w:tcMar>
              <w:top w:w="90" w:type="dxa"/>
              <w:start w:w="100" w:type="dxa"/>
              <w:bottom w:w="90" w:type="dxa"/>
              <w:end w:w="100" w:type="dxa"/>
            </w:tcMar>
            <w:vAlign w:val="top"/>
          </w:tcPr>
          <w:p>
            <w:pPr>
              <w:keepNext/>
              <w:jc w:val="center"/>
            </w:pPr>
            <w:r>
              <w:rPr>
                <w:b/>
                <w:color w:val="1B2A41"/>
                <w:sz w:val="16"/>
              </w:rPr>
              <w:t>Difficult</w:t>
            </w:r>
          </w:p>
        </w:tc>
        <w:tc>
          <w:tcPr>
            <w:tcW w:type="dxa" w:w="2520"/>
            <w:tcMar>
              <w:top w:w="90" w:type="dxa"/>
              <w:start w:w="100" w:type="dxa"/>
              <w:bottom w:w="90" w:type="dxa"/>
              <w:end w:w="100" w:type="dxa"/>
            </w:tcMar>
            <w:vAlign w:val="top"/>
          </w:tcPr>
          <w:p>
            <w:pPr>
              <w:keepNext/>
              <w:jc w:val="center"/>
            </w:pPr>
            <w:r>
              <w:rPr>
                <w:b/>
                <w:color w:val="1B2A41"/>
                <w:sz w:val="16"/>
              </w:rPr>
              <w:t>Integrated Clinical Reasoning</w:t>
            </w:r>
          </w:p>
        </w:tc>
        <w:tc>
          <w:tcPr>
            <w:tcW w:type="dxa" w:w="3672"/>
            <w:tcMar>
              <w:top w:w="90" w:type="dxa"/>
              <w:start w:w="100" w:type="dxa"/>
              <w:bottom w:w="90" w:type="dxa"/>
              <w:end w:w="100" w:type="dxa"/>
            </w:tcMar>
            <w:vAlign w:val="top"/>
          </w:tcPr>
          <w:p>
            <w:pPr>
              <w:keepNext/>
              <w:jc w:val="center"/>
            </w:pPr>
            <w:r>
              <w:rPr>
                <w:b/>
                <w:color w:val="1B2A41"/>
                <w:sz w:val="16"/>
              </w:rPr>
              <w:t>Overdose, parenting, readiness, and concrete needs</w:t>
            </w:r>
          </w:p>
        </w:tc>
      </w:tr>
    </w:tbl>
    <w:p>
      <w:pPr>
        <w:keepNext/>
      </w:pPr>
      <w:r>
        <w:rPr>
          <w:b/>
          <w:color w:val="1B2A41"/>
          <w:sz w:val="22"/>
        </w:rPr>
        <w:t>Question</w:t>
      </w:r>
    </w:p>
    <w:p>
      <w:pPr>
        <w:keepNext/>
      </w:pPr>
      <w:r>
        <w:rPr>
          <w:b/>
        </w:rPr>
        <w:t>A parent with opioid use reports a recent nonfatal overdose, unstable housing, and fear that seeking treatment will lead to losing custody. The parent wants help finding work but is unsure about substance treatment. What is the BEST initial response?</w:t>
      </w:r>
    </w:p>
    <w:p>
      <w:pPr>
        <w:pStyle w:val="Option"/>
        <w:keepNext/>
      </w:pPr>
      <w:r>
        <w:rPr>
          <w:b/>
        </w:rPr>
        <w:t xml:space="preserve">A. </w:t>
      </w:r>
      <w:r>
        <w:t>Threaten a report unless the parent enters abstinence-based treatment immediately.</w:t>
      </w:r>
    </w:p>
    <w:p>
      <w:pPr>
        <w:pStyle w:val="Option"/>
        <w:keepNext/>
      </w:pPr>
      <w:r>
        <w:rPr>
          <w:b/>
        </w:rPr>
        <w:t xml:space="preserve">B. </w:t>
      </w:r>
      <w:r>
        <w:t>Focus only on employment because that is the stated goal.</w:t>
      </w:r>
    </w:p>
    <w:p>
      <w:pPr>
        <w:pStyle w:val="Option"/>
        <w:keepNext/>
      </w:pPr>
      <w:r>
        <w:rPr>
          <w:b/>
        </w:rPr>
        <w:t xml:space="preserve">C. </w:t>
      </w:r>
      <w:r>
        <w:t>Require the parent to select residential treatment before discussing housing or work.</w:t>
      </w:r>
    </w:p>
    <w:p>
      <w:pPr>
        <w:pStyle w:val="Option"/>
        <w:keepNext/>
      </w:pPr>
      <w:r>
        <w:rPr>
          <w:b/>
        </w:rPr>
        <w:t xml:space="preserve">D. </w:t>
      </w:r>
      <w:r>
        <w:t>Assess overdose and current safety risk, withdrawal and medical needs, child safety and caregiving supports, housing and employment priorities, readiness and treatment options, and collaboratively coordinate harm-reduction, medical, and concrete resources.</w:t>
      </w:r>
    </w:p>
    <w:p>
      <w:r>
        <w:rPr>
          <w:b/>
          <w:color w:val="237852"/>
        </w:rPr>
        <w:t>Correct Answer: D</w:t>
      </w:r>
    </w:p>
    <w:p>
      <w:pPr>
        <w:keepNext/>
      </w:pPr>
      <w:r>
        <w:rPr>
          <w:b/>
          <w:color w:val="1B2A41"/>
          <w:sz w:val="22"/>
        </w:rPr>
        <w:t>Rationales</w:t>
      </w:r>
    </w:p>
    <w:p>
      <w:pPr>
        <w:pStyle w:val="Rationale"/>
      </w:pPr>
      <w:r>
        <w:rPr>
          <w:b/>
          <w:color w:val="A02D2D"/>
        </w:rPr>
        <w:t xml:space="preserve">A. </w:t>
      </w:r>
      <w:r>
        <w:t>Incorrect. The facts do not justify coercion, and legal duties should not be used as a threat.</w:t>
      </w:r>
    </w:p>
    <w:p>
      <w:pPr>
        <w:pStyle w:val="Rationale"/>
      </w:pPr>
      <w:r>
        <w:rPr>
          <w:b/>
          <w:color w:val="A02D2D"/>
        </w:rPr>
        <w:t xml:space="preserve">B. </w:t>
      </w:r>
      <w:r>
        <w:t>Incorrect. The recent overdose and child-care context require immediate safety assessment.</w:t>
      </w:r>
    </w:p>
    <w:p>
      <w:pPr>
        <w:pStyle w:val="Rationale"/>
      </w:pPr>
      <w:r>
        <w:rPr>
          <w:b/>
          <w:color w:val="A02D2D"/>
        </w:rPr>
        <w:t xml:space="preserve">C. </w:t>
      </w:r>
      <w:r>
        <w:t>Incorrect. Level of care should follow assessment, readiness, access, and clinical need.</w:t>
      </w:r>
    </w:p>
    <w:p>
      <w:pPr>
        <w:pStyle w:val="Rationale"/>
      </w:pPr>
      <w:r>
        <w:rPr>
          <w:b/>
          <w:color w:val="237852"/>
        </w:rPr>
        <w:t xml:space="preserve">D. </w:t>
      </w:r>
      <w:r>
        <w:t>Correct. The response combines urgent risk assessment, self-determination, parenting context, and person-in-environment needs without using custody fear as leverage.</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Address the recent life-threatening risk while working with—not against—the client's concrete priorities and readiness.</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LCSW-WB05-QB-Q017</w:t>
            </w:r>
          </w:p>
        </w:tc>
        <w:tc>
          <w:tcPr>
            <w:tcW w:type="dxa" w:w="1728"/>
            <w:tcMar>
              <w:top w:w="90" w:type="dxa"/>
              <w:start w:w="100" w:type="dxa"/>
              <w:bottom w:w="90" w:type="dxa"/>
              <w:end w:w="100" w:type="dxa"/>
            </w:tcMar>
            <w:vAlign w:val="top"/>
          </w:tcPr>
          <w:p>
            <w:pPr>
              <w:keepNext/>
              <w:jc w:val="center"/>
            </w:pPr>
            <w:r>
              <w:rPr>
                <w:b/>
                <w:color w:val="1B2A41"/>
                <w:sz w:val="16"/>
              </w:rPr>
              <w:t>Difficult</w:t>
            </w:r>
          </w:p>
        </w:tc>
        <w:tc>
          <w:tcPr>
            <w:tcW w:type="dxa" w:w="2520"/>
            <w:tcMar>
              <w:top w:w="90" w:type="dxa"/>
              <w:start w:w="100" w:type="dxa"/>
              <w:bottom w:w="90" w:type="dxa"/>
              <w:end w:w="100" w:type="dxa"/>
            </w:tcMar>
            <w:vAlign w:val="top"/>
          </w:tcPr>
          <w:p>
            <w:pPr>
              <w:keepNext/>
              <w:jc w:val="center"/>
            </w:pPr>
            <w:r>
              <w:rPr>
                <w:b/>
                <w:color w:val="1B2A41"/>
                <w:sz w:val="16"/>
              </w:rPr>
              <w:t>Integrated Clinical Reasoning</w:t>
            </w:r>
          </w:p>
        </w:tc>
        <w:tc>
          <w:tcPr>
            <w:tcW w:type="dxa" w:w="3672"/>
            <w:tcMar>
              <w:top w:w="90" w:type="dxa"/>
              <w:start w:w="100" w:type="dxa"/>
              <w:bottom w:w="90" w:type="dxa"/>
              <w:end w:w="100" w:type="dxa"/>
            </w:tcMar>
            <w:vAlign w:val="top"/>
          </w:tcPr>
          <w:p>
            <w:pPr>
              <w:keepNext/>
              <w:jc w:val="center"/>
            </w:pPr>
            <w:r>
              <w:rPr>
                <w:b/>
                <w:color w:val="1B2A41"/>
                <w:sz w:val="16"/>
              </w:rPr>
              <w:t>Integrated health, depression, and access barriers</w:t>
            </w:r>
          </w:p>
        </w:tc>
      </w:tr>
    </w:tbl>
    <w:p>
      <w:pPr>
        <w:keepNext/>
      </w:pPr>
      <w:r>
        <w:rPr>
          <w:b/>
          <w:color w:val="1B2A41"/>
          <w:sz w:val="22"/>
        </w:rPr>
        <w:t>Question</w:t>
      </w:r>
    </w:p>
    <w:p>
      <w:pPr>
        <w:keepNext/>
      </w:pPr>
      <w:r>
        <w:rPr>
          <w:b/>
        </w:rPr>
        <w:t>A client with diabetes and depression misses appointments, reports fatigue and poor concentration, cannot afford medication copays, and has received an eviction notice. The clinic labels the client 'unmotivated.' What is the BEST assessment and planning response?</w:t>
      </w:r>
    </w:p>
    <w:p>
      <w:pPr>
        <w:pStyle w:val="Option"/>
        <w:keepNext/>
      </w:pPr>
      <w:r>
        <w:rPr>
          <w:b/>
        </w:rPr>
        <w:t xml:space="preserve">A. </w:t>
      </w:r>
      <w:r>
        <w:t>Reassess depression and suicide risk, medical status, medication access and side effects, cognition and daily functioning, transportation and housing barriers, strengths and priorities, and coordinate an integrated, feasible plan with the client and health team.</w:t>
      </w:r>
    </w:p>
    <w:p>
      <w:pPr>
        <w:pStyle w:val="Option"/>
        <w:keepNext/>
      </w:pPr>
      <w:r>
        <w:rPr>
          <w:b/>
        </w:rPr>
        <w:t xml:space="preserve">B. </w:t>
      </w:r>
      <w:r>
        <w:t>Use the clinic's motivation label because repeated missed visits demonstrate resistance.</w:t>
      </w:r>
    </w:p>
    <w:p>
      <w:pPr>
        <w:pStyle w:val="Option"/>
        <w:keepNext/>
      </w:pPr>
      <w:r>
        <w:rPr>
          <w:b/>
        </w:rPr>
        <w:t xml:space="preserve">C. </w:t>
      </w:r>
      <w:r>
        <w:t>Treat depression first and postpone medical or housing concerns.</w:t>
      </w:r>
    </w:p>
    <w:p>
      <w:r>
        <w:rPr>
          <w:b/>
          <w:color w:val="237852"/>
        </w:rPr>
        <w:t>Correct Answer: A</w:t>
      </w:r>
    </w:p>
    <w:p>
      <w:pPr>
        <w:keepNext/>
      </w:pPr>
      <w:r>
        <w:rPr>
          <w:b/>
          <w:color w:val="1B2A41"/>
          <w:sz w:val="22"/>
        </w:rPr>
        <w:t>Rationales</w:t>
      </w:r>
    </w:p>
    <w:p>
      <w:pPr>
        <w:pStyle w:val="Rationale"/>
      </w:pPr>
      <w:r>
        <w:rPr>
          <w:b/>
          <w:color w:val="237852"/>
        </w:rPr>
        <w:t xml:space="preserve">A. </w:t>
      </w:r>
      <w:r>
        <w:t>Correct. The presentation may reflect psychiatric, medical, cognitive, financial, and access barriers rather than a character flaw.</w:t>
      </w:r>
    </w:p>
    <w:p>
      <w:pPr>
        <w:pStyle w:val="Rationale"/>
      </w:pPr>
      <w:r>
        <w:rPr>
          <w:b/>
          <w:color w:val="A02D2D"/>
        </w:rPr>
        <w:t xml:space="preserve">B. </w:t>
      </w:r>
      <w:r>
        <w:t>Incorrect. Attendance behavior does not explain the barriers or current health and mental-health risks.</w:t>
      </w:r>
    </w:p>
    <w:p>
      <w:pPr>
        <w:pStyle w:val="Rationale"/>
      </w:pPr>
      <w:r>
        <w:rPr>
          <w:b/>
          <w:color w:val="A02D2D"/>
        </w:rPr>
        <w:t xml:space="preserve">C. </w:t>
      </w:r>
      <w:r>
        <w:t>Incorrect. The needs interact and may need simultaneous coordination.</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Translate judgmental labels into assessable barriers, risks, strengths, and a plan the client can actually use.</w:t>
            </w:r>
          </w:p>
        </w:tc>
      </w:tr>
    </w:tbl>
    <w:p/>
    <w:p>
      <w:r>
        <w:br w:type="page"/>
      </w:r>
    </w:p>
    <w:p>
      <w:pPr>
        <w:pStyle w:val="Heading1"/>
      </w:pPr>
      <w:r>
        <w:t>Final Quality-Control Summary</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3240"/>
            <w:shd w:fill="DCEDEA"/>
            <w:tcMar>
              <w:top w:w="90" w:type="dxa"/>
              <w:start w:w="100" w:type="dxa"/>
              <w:bottom w:w="90" w:type="dxa"/>
              <w:end w:w="100" w:type="dxa"/>
            </w:tcMar>
            <w:vAlign w:val="center"/>
          </w:tcPr>
          <w:p>
            <w:pPr>
              <w:jc w:val="center"/>
            </w:pPr>
            <w:r>
              <w:rPr>
                <w:b/>
                <w:color w:val="1B2A41"/>
                <w:sz w:val="17"/>
              </w:rPr>
              <w:t>Quality-Control Area</w:t>
            </w:r>
          </w:p>
        </w:tc>
        <w:tc>
          <w:tcPr>
            <w:tcW w:type="dxa" w:w="6984"/>
            <w:shd w:fill="DCEDEA"/>
            <w:tcMar>
              <w:top w:w="90" w:type="dxa"/>
              <w:start w:w="100" w:type="dxa"/>
              <w:bottom w:w="90" w:type="dxa"/>
              <w:end w:w="100" w:type="dxa"/>
            </w:tcMar>
            <w:vAlign w:val="center"/>
          </w:tcPr>
          <w:p>
            <w:pPr>
              <w:jc w:val="center"/>
            </w:pPr>
            <w:r>
              <w:rPr>
                <w:b/>
                <w:color w:val="1B2A41"/>
                <w:sz w:val="17"/>
              </w:rPr>
              <w:t>Result</w:t>
            </w:r>
          </w:p>
        </w:tc>
      </w:tr>
      <w:tr>
        <w:trPr>
          <w:cantSplit w:val="true"/>
        </w:trPr>
        <w:tc>
          <w:tcPr>
            <w:tcW w:type="dxa" w:w="3240"/>
            <w:tcMar>
              <w:top w:w="90" w:type="dxa"/>
              <w:start w:w="100" w:type="dxa"/>
              <w:bottom w:w="90" w:type="dxa"/>
              <w:end w:w="100" w:type="dxa"/>
            </w:tcMar>
            <w:vAlign w:val="top"/>
          </w:tcPr>
          <w:p>
            <w:r>
              <w:rPr>
                <w:sz w:val="17"/>
              </w:rPr>
              <w:t>Question count</w:t>
            </w:r>
          </w:p>
        </w:tc>
        <w:tc>
          <w:tcPr>
            <w:tcW w:type="dxa" w:w="6984"/>
            <w:tcMar>
              <w:top w:w="90" w:type="dxa"/>
              <w:start w:w="100" w:type="dxa"/>
              <w:bottom w:w="90" w:type="dxa"/>
              <w:end w:w="100" w:type="dxa"/>
            </w:tcMar>
            <w:vAlign w:val="top"/>
          </w:tcPr>
          <w:p>
            <w:r>
              <w:rPr>
                <w:sz w:val="17"/>
              </w:rPr>
              <w:t>17 unique questions</w:t>
            </w:r>
          </w:p>
        </w:tc>
      </w:tr>
      <w:tr>
        <w:trPr>
          <w:cantSplit w:val="true"/>
        </w:trPr>
        <w:tc>
          <w:tcPr>
            <w:tcW w:type="dxa" w:w="3240"/>
            <w:tcMar>
              <w:top w:w="90" w:type="dxa"/>
              <w:start w:w="100" w:type="dxa"/>
              <w:bottom w:w="90" w:type="dxa"/>
              <w:end w:w="100" w:type="dxa"/>
            </w:tcMar>
            <w:vAlign w:val="top"/>
          </w:tcPr>
          <w:p>
            <w:r>
              <w:rPr>
                <w:sz w:val="17"/>
              </w:rPr>
              <w:t>Difficulty balance</w:t>
            </w:r>
          </w:p>
        </w:tc>
        <w:tc>
          <w:tcPr>
            <w:tcW w:type="dxa" w:w="6984"/>
            <w:tcMar>
              <w:top w:w="90" w:type="dxa"/>
              <w:start w:w="100" w:type="dxa"/>
              <w:bottom w:w="90" w:type="dxa"/>
              <w:end w:w="100" w:type="dxa"/>
            </w:tcMar>
            <w:vAlign w:val="top"/>
          </w:tcPr>
          <w:p>
            <w:r>
              <w:rPr>
                <w:sz w:val="17"/>
              </w:rPr>
              <w:t>5 Easy | 7 Moderate | 5 Difficult</w:t>
            </w:r>
          </w:p>
        </w:tc>
      </w:tr>
      <w:tr>
        <w:trPr>
          <w:cantSplit w:val="true"/>
        </w:trPr>
        <w:tc>
          <w:tcPr>
            <w:tcW w:type="dxa" w:w="3240"/>
            <w:tcMar>
              <w:top w:w="90" w:type="dxa"/>
              <w:start w:w="100" w:type="dxa"/>
              <w:bottom w:w="90" w:type="dxa"/>
              <w:end w:w="100" w:type="dxa"/>
            </w:tcMar>
            <w:vAlign w:val="top"/>
          </w:tcPr>
          <w:p>
            <w:r>
              <w:rPr>
                <w:sz w:val="17"/>
              </w:rPr>
              <w:t>Answer balance</w:t>
            </w:r>
          </w:p>
        </w:tc>
        <w:tc>
          <w:tcPr>
            <w:tcW w:type="dxa" w:w="6984"/>
            <w:tcMar>
              <w:top w:w="90" w:type="dxa"/>
              <w:start w:w="100" w:type="dxa"/>
              <w:bottom w:w="90" w:type="dxa"/>
              <w:end w:w="100" w:type="dxa"/>
            </w:tcMar>
            <w:vAlign w:val="top"/>
          </w:tcPr>
          <w:p>
            <w:r>
              <w:rPr>
                <w:sz w:val="17"/>
              </w:rPr>
              <w:t>A=5 | B=4 | C=4 | D=4</w:t>
            </w:r>
          </w:p>
        </w:tc>
      </w:tr>
      <w:tr>
        <w:trPr>
          <w:cantSplit w:val="true"/>
        </w:trPr>
        <w:tc>
          <w:tcPr>
            <w:tcW w:type="dxa" w:w="3240"/>
            <w:tcMar>
              <w:top w:w="90" w:type="dxa"/>
              <w:start w:w="100" w:type="dxa"/>
              <w:bottom w:w="90" w:type="dxa"/>
              <w:end w:w="100" w:type="dxa"/>
            </w:tcMar>
            <w:vAlign w:val="top"/>
          </w:tcPr>
          <w:p>
            <w:r>
              <w:rPr>
                <w:sz w:val="17"/>
              </w:rPr>
              <w:t>Rationales</w:t>
            </w:r>
          </w:p>
        </w:tc>
        <w:tc>
          <w:tcPr>
            <w:tcW w:type="dxa" w:w="6984"/>
            <w:tcMar>
              <w:top w:w="90" w:type="dxa"/>
              <w:start w:w="100" w:type="dxa"/>
              <w:bottom w:w="90" w:type="dxa"/>
              <w:end w:w="100" w:type="dxa"/>
            </w:tcMar>
            <w:vAlign w:val="top"/>
          </w:tcPr>
          <w:p>
            <w:r>
              <w:rPr>
                <w:sz w:val="17"/>
              </w:rPr>
              <w:t>Complete rationale for every presented option</w:t>
            </w:r>
          </w:p>
        </w:tc>
      </w:tr>
      <w:tr>
        <w:trPr>
          <w:cantSplit w:val="true"/>
        </w:trPr>
        <w:tc>
          <w:tcPr>
            <w:tcW w:type="dxa" w:w="3240"/>
            <w:tcMar>
              <w:top w:w="90" w:type="dxa"/>
              <w:start w:w="100" w:type="dxa"/>
              <w:bottom w:w="90" w:type="dxa"/>
              <w:end w:w="100" w:type="dxa"/>
            </w:tcMar>
            <w:vAlign w:val="top"/>
          </w:tcPr>
          <w:p>
            <w:r>
              <w:rPr>
                <w:sz w:val="17"/>
              </w:rPr>
              <w:t>Exam strategy</w:t>
            </w:r>
          </w:p>
        </w:tc>
        <w:tc>
          <w:tcPr>
            <w:tcW w:type="dxa" w:w="6984"/>
            <w:tcMar>
              <w:top w:w="90" w:type="dxa"/>
              <w:start w:w="100" w:type="dxa"/>
              <w:bottom w:w="90" w:type="dxa"/>
              <w:end w:w="100" w:type="dxa"/>
            </w:tcMar>
            <w:vAlign w:val="top"/>
          </w:tcPr>
          <w:p>
            <w:r>
              <w:rPr>
                <w:sz w:val="17"/>
              </w:rPr>
              <w:t>Included for every question</w:t>
            </w:r>
          </w:p>
        </w:tc>
      </w:tr>
      <w:tr>
        <w:trPr>
          <w:cantSplit w:val="true"/>
        </w:trPr>
        <w:tc>
          <w:tcPr>
            <w:tcW w:type="dxa" w:w="3240"/>
            <w:tcMar>
              <w:top w:w="90" w:type="dxa"/>
              <w:start w:w="100" w:type="dxa"/>
              <w:bottom w:w="90" w:type="dxa"/>
              <w:end w:w="100" w:type="dxa"/>
            </w:tcMar>
            <w:vAlign w:val="top"/>
          </w:tcPr>
          <w:p>
            <w:r>
              <w:rPr>
                <w:sz w:val="17"/>
              </w:rPr>
              <w:t>Originality</w:t>
            </w:r>
          </w:p>
        </w:tc>
        <w:tc>
          <w:tcPr>
            <w:tcW w:type="dxa" w:w="6984"/>
            <w:tcMar>
              <w:top w:w="90" w:type="dxa"/>
              <w:start w:w="100" w:type="dxa"/>
              <w:bottom w:w="90" w:type="dxa"/>
              <w:end w:w="100" w:type="dxa"/>
            </w:tcMar>
            <w:vAlign w:val="top"/>
          </w:tcPr>
          <w:p>
            <w:r>
              <w:rPr>
                <w:sz w:val="17"/>
              </w:rPr>
              <w:t>Original CTA items; no official or third-party sample question is reproduced</w:t>
            </w:r>
          </w:p>
        </w:tc>
      </w:tr>
      <w:tr>
        <w:trPr>
          <w:cantSplit w:val="true"/>
        </w:trPr>
        <w:tc>
          <w:tcPr>
            <w:tcW w:type="dxa" w:w="3240"/>
            <w:tcMar>
              <w:top w:w="90" w:type="dxa"/>
              <w:start w:w="100" w:type="dxa"/>
              <w:bottom w:w="90" w:type="dxa"/>
              <w:end w:w="100" w:type="dxa"/>
            </w:tcMar>
            <w:vAlign w:val="top"/>
          </w:tcPr>
          <w:p>
            <w:r>
              <w:rPr>
                <w:sz w:val="17"/>
              </w:rPr>
              <w:t>Workbook alignment</w:t>
            </w:r>
          </w:p>
        </w:tc>
        <w:tc>
          <w:tcPr>
            <w:tcW w:type="dxa" w:w="6984"/>
            <w:tcMar>
              <w:top w:w="90" w:type="dxa"/>
              <w:start w:w="100" w:type="dxa"/>
              <w:bottom w:w="90" w:type="dxa"/>
              <w:end w:w="100" w:type="dxa"/>
            </w:tcMar>
            <w:vAlign w:val="top"/>
          </w:tcPr>
          <w:p>
            <w:r>
              <w:rPr>
                <w:sz w:val="17"/>
              </w:rPr>
              <w:t>All items assess the concepts and reasoning taught in LCSW Workbook 5</w:t>
            </w:r>
          </w:p>
        </w:tc>
      </w:tr>
      <w:tr>
        <w:trPr>
          <w:cantSplit w:val="true"/>
        </w:trPr>
        <w:tc>
          <w:tcPr>
            <w:tcW w:type="dxa" w:w="3240"/>
            <w:tcMar>
              <w:top w:w="90" w:type="dxa"/>
              <w:start w:w="100" w:type="dxa"/>
              <w:bottom w:w="90" w:type="dxa"/>
              <w:end w:w="100" w:type="dxa"/>
            </w:tcMar>
            <w:vAlign w:val="top"/>
          </w:tcPr>
          <w:p>
            <w:r>
              <w:rPr>
                <w:sz w:val="17"/>
              </w:rPr>
              <w:t>Comprehensive exams</w:t>
            </w:r>
          </w:p>
        </w:tc>
        <w:tc>
          <w:tcPr>
            <w:tcW w:type="dxa" w:w="6984"/>
            <w:tcMar>
              <w:top w:w="90" w:type="dxa"/>
              <w:start w:w="100" w:type="dxa"/>
              <w:bottom w:w="90" w:type="dxa"/>
              <w:end w:w="100" w:type="dxa"/>
            </w:tcMar>
            <w:vAlign w:val="top"/>
          </w:tcPr>
          <w:p>
            <w:r>
              <w:rPr>
                <w:sz w:val="17"/>
              </w:rPr>
              <w:t>Larger comprehensive simulations will be developed separately from the official examination blueprint and will not merely combine workbook banks</w:t>
            </w:r>
          </w:p>
        </w:tc>
      </w:tr>
    </w:tbl>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EAF4F2"/>
            <w:tcMar>
              <w:top w:w="130" w:type="dxa"/>
              <w:start w:w="150" w:type="dxa"/>
              <w:bottom w:w="130" w:type="dxa"/>
              <w:end w:w="150" w:type="dxa"/>
            </w:tcMar>
          </w:tcPr>
          <w:p>
            <w:r>
              <w:rPr>
                <w:b/>
                <w:color w:val="1B2A41"/>
                <w:sz w:val="21"/>
              </w:rPr>
              <w:t>Currency Note</w:t>
              <w:br/>
            </w:r>
            <w:r>
              <w:rPr>
                <w:sz w:val="19"/>
              </w:rPr>
              <w:t>Diagnostic manuals, medication information, examination outlines, laws, standards, and professional guidance may change. Re-audit against current official sources before future publication or use after a material change.</w:t>
            </w:r>
          </w:p>
        </w:tc>
      </w:tr>
    </w:tbl>
    <w:p/>
    <w:sectPr w:rsidR="00FC693F" w:rsidRPr="0006063C" w:rsidSect="00034616">
      <w:headerReference w:type="default" r:id="rId9"/>
      <w:footerReference w:type="default" r:id="rId10"/>
      <w:headerReference w:type="first" r:id="rId11"/>
      <w:footerReference w:type="first" r:id="rId12"/>
      <w:pgSz w:w="12240" w:h="15840"/>
      <w:pgMar w:top="907" w:right="1008" w:bottom="835" w:left="1008" w:header="317" w:footer="31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96969"/>
        <w:sz w:val="18"/>
      </w:rPr>
      <w:t xml:space="preserve">Clinical Training Academy • </w:t>
    </w:r>
    <w:r>
      <w:rPr>
        <w:color w:val="696969"/>
        <w:sz w:val="18"/>
      </w:rPr>
      <w:t xml:space="preserve">Page </w:t>
    </w:r>
    <w:fldSimple w:instr="PAGE">
      <w:r>
        <w:rPr>
          <w:color w:val="666666"/>
          <w:sz w:val="18"/>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9" w:space="2" w:color="2A9D8F"/>
      </w:pBdr>
    </w:pPr>
    <w:r>
      <w:rPr>
        <w:rFonts w:ascii="Arial" w:hAnsi="Arial"/>
        <w:b/>
        <w:color w:val="1B2A41"/>
        <w:sz w:val="16"/>
      </w:rPr>
      <w:t>CTA LCSW Workbook 5 Question Bank</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B2A41"/>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2A9D8F"/>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1B2A4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B2A41"/>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rial" w:hAnsi="Arial"/>
      <w:b w:val="0"/>
      <w:i/>
      <w:iCs/>
      <w:color w:val="2A9D8F"/>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temMetadata">
    <w:name w:val="Item Metadata"/>
    <w:pPr>
      <w:spacing w:after="40"/>
    </w:pPr>
    <w:rPr>
      <w:rFonts w:ascii="Arial" w:hAnsi="Arial"/>
      <w:color w:val="696969"/>
      <w:sz w:val="16"/>
    </w:rPr>
  </w:style>
  <w:style w:type="paragraph" w:customStyle="1" w:styleId="Option">
    <w:name w:val="Option"/>
    <w:pPr>
      <w:spacing w:after="50"/>
      <w:ind w:left="317" w:hanging="317"/>
    </w:pPr>
    <w:rPr>
      <w:rFonts w:ascii="Arial" w:hAnsi="Arial"/>
      <w:sz w:val="20"/>
    </w:rPr>
  </w:style>
  <w:style w:type="paragraph" w:customStyle="1" w:styleId="Rationale">
    <w:name w:val="Rationale"/>
    <w:pPr>
      <w:spacing w:after="60"/>
      <w:ind w:left="259" w:hanging="259"/>
    </w:pPr>
    <w:rPr>
      <w:rFonts w:ascii="Arial" w:hAnsi="Arial"/>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LCSW Workbook 5 Question Bank</dc:title>
  <dc:subject>LCSW Workbook 5 seventeen-question clinical examination question bank</dc:subject>
  <dc:creator>Clinical Training Academy</dc:creator>
  <cp:keywords>LMFT, LCSW, clinical exam preparation, practice examination, question bank</cp:keywords>
  <dc:description>Original Clinical Training Academy educational material.</dc:description>
  <cp:lastModifiedBy/>
  <cp:revision>1</cp:revision>
  <dcterms:created xsi:type="dcterms:W3CDTF">2013-12-23T23:15:00Z</dcterms:created>
  <dcterms:modified xsi:type="dcterms:W3CDTF">2013-12-23T23:15:00Z</dcterms:modified>
  <cp:category/>
</cp:coreProperties>
</file>