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Arial" w:hAnsi="Arial"/>
          <w:b/>
          <w:i w:val="0"/>
          <w:color w:val="1F7A8C"/>
          <w:sz w:val="24"/>
        </w:rPr>
        <w:t>CLINICAL TRAINING ACADEMY</w:t>
      </w:r>
    </w:p>
    <w:p>
      <w:pPr>
        <w:spacing w:before="320"/>
        <w:jc w:val="center"/>
      </w:pPr>
      <w:r>
        <w:rPr>
          <w:rFonts w:ascii="Arial" w:hAnsi="Arial"/>
          <w:b/>
          <w:i w:val="0"/>
          <w:color w:val="17365D"/>
          <w:sz w:val="68"/>
        </w:rPr>
        <w:t>LCSW</w:t>
      </w:r>
    </w:p>
    <w:p>
      <w:pPr>
        <w:jc w:val="center"/>
      </w:pPr>
      <w:r>
        <w:rPr>
          <w:rFonts w:ascii="Arial" w:hAnsi="Arial"/>
          <w:b/>
          <w:i w:val="0"/>
          <w:color w:val="24313D"/>
          <w:sz w:val="36"/>
        </w:rPr>
        <w:t>CLINICAL EXAM PREPARATION FLASHCARD COLLECTION</w:t>
      </w:r>
    </w:p>
    <w:p>
      <w:pPr>
        <w:spacing w:before="120"/>
        <w:jc w:val="center"/>
      </w:pPr>
      <w:r>
        <w:rPr>
          <w:rFonts w:ascii="Arial" w:hAnsi="Arial"/>
          <w:b w:val="0"/>
          <w:i w:val="0"/>
          <w:color w:val="1F7A8C"/>
          <w:sz w:val="24"/>
        </w:rPr>
        <w:t>Printable study cards for core reasoning and all 12 workbooks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76"/>
      </w:tblGrid>
      <w:tr>
        <w:tc>
          <w:tcPr>
            <w:tcW w:type="dxa" w:w="14804"/>
            <w:shd w:fill="DDEFF2"/>
            <w:tcBorders>
              <w:top w:val="single" w:sz="12" w:color="1F7A8C"/>
              <w:left w:val="single" w:sz="12" w:color="1F7A8C"/>
              <w:bottom w:val="single" w:sz="12" w:color="1F7A8C"/>
              <w:right w:val="single" w:sz="12" w:color="1F7A8C"/>
            </w:tcBorders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26"/>
              </w:rPr>
              <w:t>132 cards  •  12 core-reasoning cards  •  10 cards for each workbook</w:t>
            </w:r>
          </w:p>
        </w:tc>
      </w:tr>
    </w:tbl>
    <w:p>
      <w:pPr>
        <w:spacing w:before="360"/>
        <w:jc w:val="center"/>
      </w:pPr>
      <w:r>
        <w:rPr>
          <w:rFonts w:ascii="Arial" w:hAnsi="Arial"/>
          <w:b w:val="0"/>
          <w:i w:val="0"/>
          <w:color w:val="68737D"/>
          <w:sz w:val="20"/>
        </w:rPr>
        <w:t>Cut the cards, fold or cover the answer area, or study directly on screen.</w:t>
      </w:r>
    </w:p>
    <w:p>
      <w:pPr>
        <w:spacing w:before="160"/>
        <w:jc w:val="center"/>
      </w:pPr>
      <w:r>
        <w:rPr>
          <w:rFonts w:ascii="Arial" w:hAnsi="Arial"/>
          <w:b w:val="0"/>
          <w:i w:val="0"/>
          <w:color w:val="68737D"/>
          <w:sz w:val="19"/>
        </w:rPr>
        <w:t>Version 1.0  •  July 2026</w:t>
      </w:r>
    </w:p>
    <w:p>
      <w:r>
        <w:br w:type="page"/>
      </w:r>
    </w:p>
    <w:p>
      <w:pPr>
        <w:pStyle w:val="Heading1"/>
        <w:jc w:val="center"/>
      </w:pPr>
      <w:r>
        <w:t>How to Use the LCSW Flashcards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5"/>
        <w:gridCol w:w="4935"/>
        <w:gridCol w:w="4935"/>
      </w:tblGrid>
      <w:tr>
        <w:tc>
          <w:tcPr>
            <w:tcW w:type="dxa" w:w="4680"/>
            <w:shd w:fill="F3F7FA"/>
            <w:tcBorders>
              <w:top w:val="single" w:sz="8" w:color="B7C4CE"/>
              <w:left w:val="single" w:sz="8" w:color="B7C4CE"/>
              <w:bottom w:val="single" w:sz="8" w:color="B7C4CE"/>
              <w:right w:val="single" w:sz="8" w:color="B7C4CE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F7A8C"/>
                <w:sz w:val="22"/>
              </w:rPr>
              <w:t>RETRIEVE</w:t>
            </w:r>
          </w:p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4313D"/>
                <w:sz w:val="18"/>
              </w:rPr>
              <w:t>Read the question. Cover the answer. Say the rule, sequence, or next step aloud before checking.</w:t>
            </w:r>
          </w:p>
        </w:tc>
        <w:tc>
          <w:tcPr>
            <w:tcW w:type="dxa" w:w="4680"/>
            <w:shd w:fill="F3F7FA"/>
            <w:tcBorders>
              <w:top w:val="single" w:sz="8" w:color="B7C4CE"/>
              <w:left w:val="single" w:sz="8" w:color="B7C4CE"/>
              <w:bottom w:val="single" w:sz="8" w:color="B7C4CE"/>
              <w:right w:val="single" w:sz="8" w:color="B7C4CE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F7A8C"/>
                <w:sz w:val="22"/>
              </w:rPr>
              <w:t>APPLY</w:t>
            </w:r>
          </w:p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4313D"/>
                <w:sz w:val="18"/>
              </w:rPr>
              <w:t>For rule and trap cards, create a one-sentence vignette that would test the distinction.</w:t>
            </w:r>
          </w:p>
        </w:tc>
        <w:tc>
          <w:tcPr>
            <w:tcW w:type="dxa" w:w="4680"/>
            <w:shd w:fill="F3F7FA"/>
            <w:tcBorders>
              <w:top w:val="single" w:sz="8" w:color="B7C4CE"/>
              <w:left w:val="single" w:sz="8" w:color="B7C4CE"/>
              <w:bottom w:val="single" w:sz="8" w:color="B7C4CE"/>
              <w:right w:val="single" w:sz="8" w:color="B7C4CE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F7A8C"/>
                <w:sz w:val="22"/>
              </w:rPr>
              <w:t>REVIEW</w:t>
            </w:r>
          </w:p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24313D"/>
                <w:sz w:val="18"/>
              </w:rPr>
              <w:t>Sort cards into Know, Unsure, and Relearn. Return missed cards to the matching workbook and rationale.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i w:val="0"/>
          <w:color w:val="1F7A8C"/>
          <w:sz w:val="20"/>
        </w:rPr>
        <w:t>CARD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1"/>
        <w:gridCol w:w="3701"/>
        <w:gridCol w:w="3701"/>
        <w:gridCol w:w="3701"/>
      </w:tblGrid>
      <w:tr>
        <w:trPr>
          <w:cantSplit/>
        </w:trPr>
        <w:tc>
          <w:tcPr>
            <w:tcW w:type="dxa" w:w="792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WB1</w:t>
            </w:r>
          </w:p>
        </w:tc>
        <w:tc>
          <w:tcPr>
            <w:tcW w:type="dxa" w:w="6120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r>
              <w:rPr>
                <w:rFonts w:ascii="Arial" w:hAnsi="Arial"/>
                <w:b/>
                <w:i w:val="0"/>
                <w:color w:val="24313D"/>
                <w:sz w:val="16"/>
              </w:rPr>
              <w:t>ASWB Exam Strategy and Applied Reasoning</w:t>
            </w:r>
          </w:p>
        </w:tc>
        <w:tc>
          <w:tcPr>
            <w:tcW w:type="dxa" w:w="792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WB7</w:t>
            </w:r>
          </w:p>
        </w:tc>
        <w:tc>
          <w:tcPr>
            <w:tcW w:type="dxa" w:w="6120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r>
              <w:rPr>
                <w:rFonts w:ascii="Arial" w:hAnsi="Arial"/>
                <w:b/>
                <w:i w:val="0"/>
                <w:color w:val="24313D"/>
                <w:sz w:val="16"/>
              </w:rPr>
              <w:t>Treatment and Service Planning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WB2</w:t>
            </w:r>
          </w:p>
        </w:tc>
        <w:tc>
          <w:tcPr>
            <w:tcW w:type="dxa" w:w="6120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r>
              <w:rPr>
                <w:rFonts w:ascii="Arial" w:hAnsi="Arial"/>
                <w:b/>
                <w:i w:val="0"/>
                <w:color w:val="24313D"/>
                <w:sz w:val="16"/>
              </w:rPr>
              <w:t>Values, Ethics, Self-Determination, and Social Justice</w:t>
            </w:r>
          </w:p>
        </w:tc>
        <w:tc>
          <w:tcPr>
            <w:tcW w:type="dxa" w:w="792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WB8</w:t>
            </w:r>
          </w:p>
        </w:tc>
        <w:tc>
          <w:tcPr>
            <w:tcW w:type="dxa" w:w="6120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r>
              <w:rPr>
                <w:rFonts w:ascii="Arial" w:hAnsi="Arial"/>
                <w:b/>
                <w:i w:val="0"/>
                <w:color w:val="24313D"/>
                <w:sz w:val="16"/>
              </w:rPr>
              <w:t>Clinical Interventions and Trauma-Informed Practice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WB3</w:t>
            </w:r>
          </w:p>
        </w:tc>
        <w:tc>
          <w:tcPr>
            <w:tcW w:type="dxa" w:w="6120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r>
              <w:rPr>
                <w:rFonts w:ascii="Arial" w:hAnsi="Arial"/>
                <w:b/>
                <w:i w:val="0"/>
                <w:color w:val="24313D"/>
                <w:sz w:val="16"/>
              </w:rPr>
              <w:t>Human Development, Diversity, and Person-in-Environment</w:t>
            </w:r>
          </w:p>
        </w:tc>
        <w:tc>
          <w:tcPr>
            <w:tcW w:type="dxa" w:w="792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WB9</w:t>
            </w:r>
          </w:p>
        </w:tc>
        <w:tc>
          <w:tcPr>
            <w:tcW w:type="dxa" w:w="6120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r>
              <w:rPr>
                <w:rFonts w:ascii="Arial" w:hAnsi="Arial"/>
                <w:b/>
                <w:i w:val="0"/>
                <w:color w:val="24313D"/>
                <w:sz w:val="16"/>
              </w:rPr>
              <w:t>Family, Couple, Group, and Parenting Interventions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WB4</w:t>
            </w:r>
          </w:p>
        </w:tc>
        <w:tc>
          <w:tcPr>
            <w:tcW w:type="dxa" w:w="6120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r>
              <w:rPr>
                <w:rFonts w:ascii="Arial" w:hAnsi="Arial"/>
                <w:b/>
                <w:i w:val="0"/>
                <w:color w:val="24313D"/>
                <w:sz w:val="16"/>
              </w:rPr>
              <w:t>Clinical Assessment, Interviewing, and Mental Status</w:t>
            </w:r>
          </w:p>
        </w:tc>
        <w:tc>
          <w:tcPr>
            <w:tcW w:type="dxa" w:w="792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WB10</w:t>
            </w:r>
          </w:p>
        </w:tc>
        <w:tc>
          <w:tcPr>
            <w:tcW w:type="dxa" w:w="6120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r>
              <w:rPr>
                <w:rFonts w:ascii="Arial" w:hAnsi="Arial"/>
                <w:b/>
                <w:i w:val="0"/>
                <w:color w:val="24313D"/>
                <w:sz w:val="16"/>
              </w:rPr>
              <w:t>Case Management, Advocacy, Resources, and Collaboration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WB5</w:t>
            </w:r>
          </w:p>
        </w:tc>
        <w:tc>
          <w:tcPr>
            <w:tcW w:type="dxa" w:w="6120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r>
              <w:rPr>
                <w:rFonts w:ascii="Arial" w:hAnsi="Arial"/>
                <w:b/>
                <w:i w:val="0"/>
                <w:color w:val="24313D"/>
                <w:sz w:val="16"/>
              </w:rPr>
              <w:t>Diagnosis, Medical Factors, and Psychopharmacology</w:t>
            </w:r>
          </w:p>
        </w:tc>
        <w:tc>
          <w:tcPr>
            <w:tcW w:type="dxa" w:w="792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WB11</w:t>
            </w:r>
          </w:p>
        </w:tc>
        <w:tc>
          <w:tcPr>
            <w:tcW w:type="dxa" w:w="6120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r>
              <w:rPr>
                <w:rFonts w:ascii="Arial" w:hAnsi="Arial"/>
                <w:b/>
                <w:i w:val="0"/>
                <w:color w:val="24313D"/>
                <w:sz w:val="16"/>
              </w:rPr>
              <w:t>Practice Evaluation, Research, Supervision, and Administration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WB6</w:t>
            </w:r>
          </w:p>
        </w:tc>
        <w:tc>
          <w:tcPr>
            <w:tcW w:type="dxa" w:w="6120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r>
              <w:rPr>
                <w:rFonts w:ascii="Arial" w:hAnsi="Arial"/>
                <w:b/>
                <w:i w:val="0"/>
                <w:color w:val="24313D"/>
                <w:sz w:val="16"/>
              </w:rPr>
              <w:t>Crisis, Abuse, and Risk Assessment</w:t>
            </w:r>
          </w:p>
        </w:tc>
        <w:tc>
          <w:tcPr>
            <w:tcW w:type="dxa" w:w="792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17365D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WB12</w:t>
            </w:r>
          </w:p>
        </w:tc>
        <w:tc>
          <w:tcPr>
            <w:tcW w:type="dxa" w:w="6120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r>
              <w:rPr>
                <w:rFonts w:ascii="Arial" w:hAnsi="Arial"/>
                <w:b/>
                <w:i w:val="0"/>
                <w:color w:val="24313D"/>
                <w:sz w:val="16"/>
              </w:rPr>
              <w:t>Integrated Review and 25-Question Mini Mock</w:t>
            </w:r>
          </w:p>
        </w:tc>
      </w:tr>
    </w:tbl>
    <w:p>
      <w:pPr>
        <w:spacing w:before="200"/>
      </w:pPr>
      <w:r>
        <w:rPr>
          <w:rFonts w:ascii="Arial" w:hAnsi="Arial"/>
          <w:b/>
          <w:i w:val="0"/>
          <w:color w:val="17365D"/>
          <w:sz w:val="18"/>
        </w:rPr>
        <w:t xml:space="preserve">Study rule: </w:t>
      </w:r>
      <w:r>
        <w:rPr>
          <w:rFonts w:ascii="Arial" w:hAnsi="Arial"/>
          <w:b w:val="0"/>
          <w:i w:val="0"/>
          <w:color w:val="24313D"/>
          <w:sz w:val="18"/>
        </w:rPr>
        <w:t>Use these cards after learning the workbook content. Flashcards strengthen retrieval; they do not replace the full workbook, question-bank rationales, or current official exam and licensing information.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1F7A8C"/>
              <w:left w:val="single" w:sz="9" w:color="1F7A8C"/>
              <w:bottom w:val="single" w:sz="9" w:color="1F7A8C"/>
              <w:right w:val="single" w:sz="9" w:color="1F7A8C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7365D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CORE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001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What is the LCSW core decision sequence?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Task → Safety/Duty → Engage → Assess → Plan → Act → Review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1F7A8C"/>
              <w:left w:val="single" w:sz="9" w:color="1F7A8C"/>
              <w:bottom w:val="single" w:sz="9" w:color="1F7A8C"/>
              <w:right w:val="single" w:sz="9" w:color="1F7A8C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7365D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CORE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002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What should you identify before solving the vignette?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Read the qualifier first. FIRST, NEXT, BEST, MOST, and INITIAL require different responses.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1F7A8C"/>
              <w:left w:val="single" w:sz="9" w:color="1F7A8C"/>
              <w:bottom w:val="single" w:sz="9" w:color="1F7A8C"/>
              <w:right w:val="single" w:sz="9" w:color="1F7A8C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7365D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CORE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003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What controls the sequence when safety or a duty is present?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Assess and address urgency, capacity, immediate safety, and controlling duties before routine services or interventions.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1F7A8C"/>
              <w:left w:val="single" w:sz="9" w:color="1F7A8C"/>
              <w:bottom w:val="single" w:sz="9" w:color="1F7A8C"/>
              <w:right w:val="single" w:sz="9" w:color="1F7A8C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7365D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CORE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004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Why does engagement come before many actions?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Engagement clarifies the client perspective, strengthens collaboration, and provides information needed for accurate assessment and planning.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1F7A8C"/>
              <w:left w:val="single" w:sz="9" w:color="1F7A8C"/>
              <w:bottom w:val="single" w:sz="9" w:color="1F7A8C"/>
              <w:right w:val="single" w:sz="9" w:color="1F7A8C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7365D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CORE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005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What does person-in-environment reasoning require?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Integrate individual functioning, relationships, systems, culture, resources, access, history, and power.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1F7A8C"/>
              <w:left w:val="single" w:sz="9" w:color="1F7A8C"/>
              <w:bottom w:val="single" w:sz="9" w:color="1F7A8C"/>
              <w:right w:val="single" w:sz="9" w:color="1F7A8C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7365D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CORE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006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How should self-determination be balanced?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Support informed client choice while assessing capacity, coercion, safety, barriers, and proportionate professional responsibility.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1F7A8C"/>
              <w:left w:val="single" w:sz="9" w:color="1F7A8C"/>
              <w:bottom w:val="single" w:sz="9" w:color="1F7A8C"/>
              <w:right w:val="single" w:sz="9" w:color="1F7A8C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7365D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CORE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007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What does “least assumptive” mean?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Reject answers that invent motives, diagnoses, services, readiness, authority, access, or facts not supplied by the vignette.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1F7A8C"/>
              <w:left w:val="single" w:sz="9" w:color="1F7A8C"/>
              <w:bottom w:val="single" w:sz="9" w:color="1F7A8C"/>
              <w:right w:val="single" w:sz="9" w:color="1F7A8C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7365D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CORE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008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What is a common timing rule?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A helpful service or intervention is wrong when engagement, assessment, consent, planning, or duty action must come first.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1F7A8C"/>
              <w:left w:val="single" w:sz="9" w:color="1F7A8C"/>
              <w:bottom w:val="single" w:sz="9" w:color="1F7A8C"/>
              <w:right w:val="single" w:sz="9" w:color="1F7A8C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7365D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CORE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009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What intervention level is generally preferred?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Choose the smallest effective level that addresses the stated barrier and remains safe, accessible, and within role.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1F7A8C"/>
              <w:left w:val="single" w:sz="9" w:color="1F7A8C"/>
              <w:bottom w:val="single" w:sz="9" w:color="1F7A8C"/>
              <w:right w:val="single" w:sz="9" w:color="1F7A8C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7365D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CORE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010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What information-sharing rule should guide collaboration?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Clarify role and consent, share only necessary information, and protect privacy while coordinating the required action.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1F7A8C"/>
              <w:left w:val="single" w:sz="9" w:color="1F7A8C"/>
              <w:bottom w:val="single" w:sz="9" w:color="1F7A8C"/>
              <w:right w:val="single" w:sz="9" w:color="1F7A8C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7365D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CORE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011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What makes an action complete?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Verify access, responsibility, handoff, documentation, follow-up, and outcome review.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1F7A8C"/>
              <w:left w:val="single" w:sz="9" w:color="1F7A8C"/>
              <w:bottom w:val="single" w:sz="9" w:color="1F7A8C"/>
              <w:right w:val="single" w:sz="9" w:color="1F7A8C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7365D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CORE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012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How should a missed question become a study tool?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Classify the error, write the corrective rule, link it to the matching workbook, and retest the pattern.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WB1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013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WB1: What reasoning sequence anchors this topic?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Task → Priority → Fit → Answer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WB1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014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WB1: Which CTA memory aid organizes decisions?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Decision Sequence + VALUES. Use it to organize the reasoning priorities in ASWB Exam Strategy and Applied Reasoning.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WB1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015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 high-yield rule 1: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Let the qualifier define the task; read the final question first and identify FIRST, NEXT, BEST, MOST, or INITIAL.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WB1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016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 high-yield rule 2: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Use sequence: Safety → Duty → Engage → Assess → Plan → Act → Review.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WB1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017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 high-yield rule 3: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Use VALUES to compare options: Values, Assessment, Least assumptive, Understand the client, Environment, Safety/System.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WB1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018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 trap check 1: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Choosing a good service or intervention at the wrong stage.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WB1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019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 trap check 2: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Treating self-determination as passivity when clarification, education, or risk assessment is needed.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WB1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020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 trap check 3: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Adding facts, services, diagnoses, or barriers not supplied by the vignette.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WB1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021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WB1: Which three self-check questions should you ask?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What task and stage are being tested? • What option uses the least unsupported assumption? • How do client choice, environment, and safety change the response?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WB1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022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WB1: What practice action should follow this review?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Classify every miss as task, priority, assumption, client perspective, environment, or timing.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WB2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023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WB2: What reasoning sequence anchors this topic?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Clarify • Locate • Evaluate • Act • Review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WB2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024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WB2: Which CTA memory aid organizes decisions?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CLEAR Ethical Sequence. Use it to organize the reasoning priorities in Values, Ethics, Self-Determination, and Social Justice.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WB2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025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WB2 high-yield rule 1: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Clarify the conflict and locate role, rights, risk, power, competence, and applicable authority before acting.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WB2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026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WB2 high-yield rule 2: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Separate consent, confidentiality, privacy, privilege, and authorization; they are related but not interchangeable.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WB2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027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WB2 high-yield rule 3: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Support informed self-determination while using proportionate limits when capacity, safety, coercion, or legal duties require them.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WB2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028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WB2 trap check 1: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Paternalism or overriding the client before understanding capacity, options, and barriers.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WB2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029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WB2 trap check 2: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Releasing more information than necessary because a payer, family member, or agency requests it.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WB2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030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WB2 trap check 3: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Focusing only on coping while ignoring discrimination, access, exploitation, or system-level barriers.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WB2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031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WB2: Which three self-check questions should you ask?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What ethical conflict and role are present? • Who benefits, who is pressured, and who is excluded? • What action protects rights without overreaching?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WB2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032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WB2: What practice action should follow this review?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Complete a CLEAR analysis for one difficult item before viewing the rationale.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WB3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033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WB3: What reasoning sequence anchors this topic?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Time • Systems • Change • Meaning • Strengths/Barriers • Choice • Action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WB3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034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WB3: Which CTA memory aid organizes decisions?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Seven-Step PIE Sequence. Use it to organize the reasoning priorities in Human Development, Diversity, and Person-in-Environment.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WB3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035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WB3 high-yield rule 1: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Place the person within development, family, community, institutions, resources, history, and current transition.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WB3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036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WB3 high-yield rule 2: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Assess demonstrated capacity, life stage, identity, intersectionality, power, minority stress, and client-defined meaning—not age or category alone.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WB3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037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WB3 high-yield rule 3: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Connect barriers, resources, resilience, accessibility, and client participation to the next action.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WB3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038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WB3 trap check 1: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Using age, culture, diagnosis, or identity as a shortcut to explain behavior.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WB3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039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WB3 trap check 2: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Choosing an intrapsychic-only answer when housing, food, transportation, language, disability, or discrimination drives the problem.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WB3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040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WB3 trap check 3: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Labeling access problems as resistance or poor motivation.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WB3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041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WB3: Which three self-check questions should you ask?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What changed and in which systems? • How does the client understand the situation? • What barrier, strength, resource, and access plan matter?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WB3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042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WB3: What practice action should follow this review?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Create a seven-line PIE map for one vignette.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WB4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043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WB4: What reasoning sequence anchors this topic?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Role/Safety → Perspective → Engagement → Domains → Health/Context → Collateral → Missing Data → Plan → Revise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WB4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044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WB4: Which CTA memory aid organizes decisions?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Integrated Assessment Sequence. Use it to organize the reasoning priorities in Clinical Assessment, Interviewing, and Mental Status.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WB4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045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WB4 high-yield rule 1: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Engage while gathering decision-critical information; assessment is relational and structured.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WB4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046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WB4 high-yield rule 2: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Match open, reflective, focused, clarifying, and direct questions to the information need.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WB4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047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WB4 high-yield rule 3: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Use MSE as a current snapshot and integrate baseline, culture, health, medication, substance, collateral source, reliability, and relevance.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WB4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048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WB4 trap check 1: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Intervening or diagnosing before required assessment is complete.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WB4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049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WB4 trap check 2: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Inferring motive, character, or diagnosis from behavior without context.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WB4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050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WB4 trap check 3: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Relying on collateral as complete truth or giving medication advice outside role.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WB4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051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WB4: Which three self-check questions should you ask?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What is known, missing, urgent, and from which source? • What is observed versus inferred? • What plan follows and what information could revise it?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WB4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052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WB4: What practice action should follow this review?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List the next three questions in order before choosing the intervention.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WB5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053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WB5: What reasoning sequence anchors this topic?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Safety • Pattern • Chronology • Medical/Medication • Substance • Differential • PIE • Client • Plan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WB5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054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WB5: Which CTA memory aid organizes decisions?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Nine-Step Diagnostic-Health Sequence. Use it to organize the reasoning priorities in Diagnosis, Medical Factors, and Psychopharmacology.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WB5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055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WB5 high-yield rule 1: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Diagnosis is a working explanation integrating pattern, time, impairment, exclusions, context, and client goals.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WB5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056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WB5 high-yield rule 2: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New, fluctuating, physical, neurological, medication-linked, or substance-linked symptoms require health assessment and coordination.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WB5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057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WB5 high-yield rule 3: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Within social work scope: assess purpose, benefit, effects, adherence barriers, access, and prescriber communication; do not prescribe.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WB5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058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WB5 trap check 1: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Letting a prior diagnosis or familiar symptom end the assessment.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WB5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059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WB5 trap check 2: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Ignoring medical, neurological, sleep, medication, substance, and access explanations.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WB5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060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WB5 trap check 3: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Giving medication recommendations rather than assessing and coordinating.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WB5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061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WB5: Which three self-check questions should you ask?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What is the timeline and baseline? • What competing explanation must be ruled out? • What can the social worker assess, coordinate, and document within role?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WB5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062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WB5: What practice action should follow this review?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Write a diagnostic-health sequence for one practice item before checking the answer.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WB6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063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WB6: What reasoning sequence anchors this topic?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Stabilize • Assess • Formulate • Execute • Resources • Engage • Access • Link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WB6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064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WB6: Which CTA memory aid organizes decisions?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SAFE + REAL. Use it to organize the reasoning priorities in Crisis, Abuse, and Risk Assessment.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WB6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065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WB6 high-yield rule 1: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Ask direct, specific questions, formulate acuity, and match the response to actual danger, capacity, duty, and least restrictive safe care.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WB6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066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WB6 high-yield rule 2: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Use the reporting or protective duty supplied by the item; distinguish assessment, protection, reporting, medical response, and stabilization.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WB6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067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WB6 high-yield rule 3: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Make the plan real by checking resources, engagement, accessibility, reachability, handoff, and follow-up.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WB6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068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WB6 trap check 1: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Planning services before directly assessing suicide, violence, abuse, neglect, intoxication, withdrawal, or medical risk.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WB6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069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WB6 trap check 2: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Using excessive control or routine referral without considering capacity and least restrictive alternatives.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WB6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070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WB6 trap check 3: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Ignoring transportation, phone access, housing, cost, language, or the client’s ability to carry out the plan.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WB6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071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WB6: Which three self-check questions should you ask?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What danger must be assessed directly? • What duty or level of care controls? • Can the client access and carry out the plan?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WB6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072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WB6: What practice action should follow this review?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Write the risk question, acuity finding, action, access check, and follow-up step.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WB7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073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WB7: What reasoning sequence anchors this topic?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Prioritize • Link • Agree • Name • Evaluate • Revise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WB7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074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WB7: Which CTA memory aid organizes decisions?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PLAN-ER + CLOSE. Use it to organize the reasoning priorities in Treatment and Service Planning.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WB7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075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WB7 high-yield rule 1: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Build a usable plan: right need, right fit, real access, and scheduled review.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WB7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076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WB7 high-yield rule 2: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Write measurable clinical, functional, and service goals: what changes, who acts, by when, and how it will be measured.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WB7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077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WB7 high-yield rule 3: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When progress is limited, reassess formulation, alliance, access, implementation, intensity, resources, and continuity before blaming the client.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WB7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078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WB7 trap check 1: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Listing services without linking them to priority needs and client goals.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WB7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079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WB7 trap check 2: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Treating availability as accessibility or assuming a referral solves the barrier.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WB7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080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WB7 trap check 3: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Ending, transferring, or revising care without evaluation and continuity planning.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WB7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081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WB7: Which three self-check questions should you ask?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What priority and formulation does the plan address? • What action and measure make the goal testable? • What access barrier or outcome requires revision?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WB7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082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WB7: What practice action should follow this review?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Convert one service list into a linked, measurable, client-agreed plan.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WB8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083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WB8: What reasoning sequence anchors this topic?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Formulation • Immediacy • Target • Suitability • Response Check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WB8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084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WB8: Which CTA memory aid organizes decisions?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FITS. Use it to organize the reasoning priorities in Clinical Interventions and Trauma-Informed Practice.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WB8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085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WB8 high-yield rule 1: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Choose an intervention because of what it changes, for whom, at this stage—not because the technique is well known.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WB8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086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WB8 high-yield rule 2: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Trauma-informed care emphasizes safety, transparency, choice, collaboration, pacing, and stabilization before deeper processing.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WB8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087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WB8 high-yield rule 3: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Adapt delivery for development, culture, language, disability, strengths, resources, and structural barriers; measure response.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WB8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088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WB8 trap check 1: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Choosing a technique before naming the target and maintaining mechanism.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WB8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089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WB8 trap check 2: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Pressing trauma processing during withdrawal, dysregulation, or insufficient readiness.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WB8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090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WB8 trap check 3: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Treating ambivalence as defiance or evidence-based treatment as automatically suitable.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WB8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091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WB8: Which three self-check questions should you ask?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What formulation and mechanism guide the method? • What urgency or stabilization need comes first? • What adaptation and measure show fit?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WB8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092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WB8: What practice action should follow this review?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State the target, mechanism, intervention, adaptation, and response measure.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WB9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093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WB9: What reasoning sequence anchors this topic?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Goal • System Level • Safety • Participation • Access • Role • Follow-Up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WB9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094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WB9: Which CTA memory aid organizes decisions?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Client-System Selection. Use it to organize the reasoning priorities in Family, Couple, Group, and Parenting Interventions.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WB9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095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WB9 high-yield rule 1: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Choose the smallest effective level that fits the goal: individual, caregiver, family, couple, group, team, network, or community.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WB9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096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WB9 high-yield rule 2: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Ask who the client considers family and whether involvement is voluntary, useful, safe, and consistent with role and confidentiality.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WB9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097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WB9 high-yield rule 3: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Screen group purpose, readiness, composition, norms, stage, conflict, and safety before using the group.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WB9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098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WB9 trap check 1: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Automatic family involvement or conjoint work before coercion, retaliation, and voluntariness are assessed.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WB9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099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WB9 trap check 2: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Using communication training alone when housing, poverty, safety, or another environmental crisis controls the case.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WB9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100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WB9 trap check 3: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Referring to a group, team, or resource without access checks and clear responsibility.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WB9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101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WB9: Which three self-check questions should you ask?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What system level fits the stated goal? • What safety and participation conditions are needed? • How will roles, access, and follow-up be coordinated?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WB9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102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WB9: What practice action should follow this review?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Map the client system and circle the smallest effective level for the question.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WB10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103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WB10: What reasoning sequence anchors this topic?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Begin • Respect • Identify • Define • Generate • Evaluate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WB10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104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WB10: Which CTA memory aid organizes decisions?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BRIDGE. Use it to organize the reasoning priorities in Case Management, Advocacy, Resources, and Collaboration.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WB10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105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WB10 high-yield rule 1: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Begin with the priority and client participation; identify systems and barriers; define roles and disclosure; generate a warm handoff; evaluate outcome.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WB10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106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WB10 high-yield rule 2: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Map who is involved, what the barrier is, and who owns the next step.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WB10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107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WB10 high-yield rule 3: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Verify resource eligibility, availability, accessibility, acceptability, logistics, and follow-through; use the least intrusive effective advocacy level.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WB10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108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WB10 trap check 1: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Providing a referral list without confirming fit or handoff.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WB10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109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WB10 trap check 2: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Unclear roles, broad disclosure, duplicated services, or no person responsible for follow-up.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WB10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110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WB10 trap check 3: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Interpreting access failure as lack of motivation or escalating advocacy beyond the needed level.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WB10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111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WB10: Which three self-check questions should you ask?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What priority and barrier are being addressed? • Who owns each next step and what disclosure is necessary? • How will access and outcome be verified?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WB10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112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WB10: What practice action should follow this review?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Complete a BRIDGE map for one complex service vignette.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WB11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113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WB11: What reasoning sequence anchors this topic?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Establish • Value • Articulate • Locate • Use • Analyze • Translate • Evaluate Again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WB11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114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WB11: Which CTA memory aid organizes decisions?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EVALUATE + SUPERVISE. Use it to organize the reasoning priorities in Practice Evaluation, Research, Supervision, and Administration.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WB11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115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WB11 high-yield rule 1: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Start with the decision the information must support; then define the valued outcome and the question.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WB11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116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WB11 high-yield rule 2: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Match needs, process, outcome, cost-effectiveness, or cost-benefit evaluation to the question and available data.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WB11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117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WB11 high-yield rule 3: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Make no stronger claim than reliability, validity, sampling, design, bias, feasibility, and ethics allow; bring risk and uncertainty to supervision early.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WB11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118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WB11 trap check 1: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Choosing a measure before defining the question and target.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WB11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119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WB11 trap check 2: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Treating correlation as causation or generalizing beyond the design and sample.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WB11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120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WB11 trap check 3: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Disciplining an individual or delaying supervision before examining system conditions and safeguards.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WB11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121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WB11: Which three self-check questions should you ask?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What decision and outcome are being evaluated? • What data and design support the claim? • What ethical, supervisory, or system action follows?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WB11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122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WB11: What practice action should follow this review?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Write one evaluation question, measure, limitation, action, and recheck point.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WB12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123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WB12: What reasoning sequence anchors this topic?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Clarify • Locate • Identify • Name • Intervene • Check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WB12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124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WB12: Which CTA memory aid organizes decisions?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CLINIC + Priority Ladder. Use it to organize the reasoning priorities in Integrated Review and 25-Question Mini-Mock.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WB12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125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WB12 high-yield rule 1: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4"/>
              </w:rPr>
              <w:t>Integrate ethics, assessment/planning, and intervention/practice by clarifying the task, locating urgency, identifying authority/capacity, naming the stage, acting proportionately, and checking continuity.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WB12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126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WB12 high-yield rule 2: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Use the priority ladder: Urgency → Authority/Capacity → Assess → Plan → Act → Review.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WB12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127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WB12 high-yield rule 3: What should you remember?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Use time and confidence as data; change an answer only when a specific fact, principle, role boundary, or sequence makes the original weaker.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WB12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128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WB12 trap check 1: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Adding facts or answering a different practice stage than the question asks.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WB12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129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WB12 trap check 2: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Paternalism, system blindness, overreferral, or action without follow-up.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WB12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130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WB12 trap check 3: What tempting mistake should you reject?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Changing answers because another option sounds more sophisticated rather than because evidence supports the change.</w:t>
            </w:r>
          </w:p>
        </w:tc>
      </w:tr>
      <w:tr>
        <w:trPr>
          <w:cantSplit/>
          <w:trHeight w:val="3413" w:hRule="exact"/>
        </w:trPr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WB12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131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WB12: Which three self-check questions should you ask?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5"/>
              </w:rPr>
              <w:t>What is urgent and what authority or capacity matters? • What stage is the question testing? • What specific reason supports keeping or changing the answer?</w:t>
            </w:r>
          </w:p>
        </w:tc>
        <w:tc>
          <w:tcPr>
            <w:tcW w:type="dxa" w:w="7272"/>
            <w:vAlign w:val="top"/>
            <w:tcMar>
              <w:top w:w="70" w:type="dxa"/>
              <w:start w:w="95" w:type="dxa"/>
              <w:bottom w:w="55" w:type="dxa"/>
              <w:end w:w="95" w:type="dxa"/>
            </w:tcMar>
            <w:tcBorders>
              <w:top w:val="single" w:sz="9" w:color="B7C4CE"/>
              <w:left w:val="single" w:sz="9" w:color="B7C4CE"/>
              <w:bottom w:val="single" w:sz="9" w:color="B7C4CE"/>
              <w:right w:val="single" w:sz="9" w:color="B7C4CE"/>
            </w:tcBorders>
            <w:shd w:fill="FFFFFF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080"/>
            </w:tblGrid>
            <w:tr>
              <w:tc>
                <w:tcPr>
                  <w:tcW w:type="dxa" w:w="3636"/>
                  <w:shd w:fill="1F7A8C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LCSW  •  WB12</w:t>
                  </w:r>
                </w:p>
              </w:tc>
              <w:tc>
                <w:tcPr>
                  <w:tcW w:type="dxa" w:w="3636"/>
                  <w:shd w:fill="D9A441"/>
                  <w:tcBorders>
                    <w:top w:val="single" w:sz="1" w:color="FFFFFF"/>
                    <w:left w:val="single" w:sz="1" w:color="FFFFFF"/>
                    <w:bottom w:val="single" w:sz="1" w:color="FFFFFF"/>
                    <w:right w:val="single" w:sz="1" w:color="FFFFF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5"/>
                    </w:rPr>
                    <w:t>132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F7A8C"/>
                <w:sz w:val="13"/>
              </w:rPr>
              <w:t>QUESTION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WB12: What practice action should follow this review?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/>
                <w:b w:val="0"/>
                <w:i/>
                <w:color w:val="68737D"/>
                <w:sz w:val="12"/>
              </w:rPr>
              <w:t>—  COVER OR FOLD HERE  —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D9A441"/>
                <w:sz w:val="13"/>
              </w:rPr>
              <w:t>ANSWER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13D"/>
                <w:sz w:val="16"/>
              </w:rPr>
              <w:t>After the mini-mock, classify every miss by content, stage, sequence, distractor, pacing, and confidence.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504" w:right="518" w:bottom="504" w:left="518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68737D"/>
        <w:sz w:val="15"/>
      </w:rPr>
      <w:t xml:space="preserve">Clinical Training Academy |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color w:val="1F7A8C"/>
        <w:sz w:val="14"/>
      </w:rPr>
      <w:t>CLINICAL TRAINING ACADEMY  •  LCSW FLASHCARDS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color w:val="24313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7A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b/>
      <w:i/>
      <w:iCs/>
      <w:color w:val="1F7A8C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CTA LCSW Clinical Exam Preparation Flashcard Collection</dc:title>
  <dc:subject>Clinical Exam Preparation Flashcards</dc:subject>
  <dc:creator>Clinical Training Academy</dc:creator>
  <cp:keywords>CTA, LCSW, clinical exam preparation, flashcards, study cards</cp:keywords>
  <dc:description/>
  <cp:lastModifiedBy>Clinical Training Academy</cp:lastModifiedBy>
  <cp:revision>1</cp:revision>
  <dcterms:created xsi:type="dcterms:W3CDTF">2013-12-23T23:15:00Z</dcterms:created>
  <dcterms:modified xsi:type="dcterms:W3CDTF">2013-12-23T23:15:00Z</dcterms:modified>
  <cp:category/>
</cp:coreProperties>
</file>