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drawing>
          <wp:inline xmlns:a="http://schemas.openxmlformats.org/drawingml/2006/main" xmlns:pic="http://schemas.openxmlformats.org/drawingml/2006/picture">
            <wp:extent cx="1234440" cy="892311"/>
            <wp:docPr id="1" name="Picture 1" descr="Clinical Training Academy logo" title="Clinical Training Academy logo"/>
            <wp:cNvGraphicFramePr>
              <a:graphicFrameLocks noChangeAspect="1"/>
            </wp:cNvGraphicFramePr>
            <a:graphic>
              <a:graphicData uri="http://schemas.openxmlformats.org/drawingml/2006/picture">
                <pic:pic>
                  <pic:nvPicPr>
                    <pic:cNvPr id="0" name="image.png" descr="Clinical Training Academy logo"/>
                    <pic:cNvPicPr/>
                  </pic:nvPicPr>
                  <pic:blipFill>
                    <a:blip r:embed="rId9"/>
                    <a:stretch>
                      <a:fillRect/>
                    </a:stretch>
                  </pic:blipFill>
                  <pic:spPr>
                    <a:xfrm>
                      <a:off x="0" y="0"/>
                      <a:ext cx="1234440" cy="892311"/>
                    </a:xfrm>
                    <a:prstGeom prst="rect"/>
                  </pic:spPr>
                </pic:pic>
              </a:graphicData>
            </a:graphic>
          </wp:inline>
        </w:drawing>
      </w:r>
    </w:p>
    <w:p>
      <w:pPr>
        <w:spacing w:after="60"/>
        <w:jc w:val="center"/>
      </w:pPr>
      <w:r>
        <w:rPr>
          <w:b/>
          <w:i w:val="0"/>
          <w:color w:val="0F7C82"/>
          <w:sz w:val="23"/>
        </w:rPr>
        <w:t>LCSW EXAM PREPARATION PROGRAM</w:t>
      </w:r>
    </w:p>
    <w:p>
      <w:pPr>
        <w:spacing w:after="240"/>
        <w:jc w:val="center"/>
      </w:pPr>
      <w:r>
        <w:rPr>
          <w:b/>
          <w:i w:val="0"/>
          <w:color w:val="C17C00"/>
          <w:sz w:val="30"/>
        </w:rPr>
        <w:t>Student Workbook</w:t>
      </w:r>
    </w:p>
    <w:p>
      <w:pPr>
        <w:pStyle w:val="Title"/>
        <w:spacing w:after="160"/>
        <w:jc w:val="center"/>
      </w:pPr>
      <w:r>
        <w:t>CTA LCSW Workbook 10: Case Management, Advocacy, Resources, and Collaboration</w:t>
      </w:r>
    </w:p>
    <w:p>
      <w:pPr>
        <w:spacing w:after="240"/>
        <w:jc w:val="center"/>
      </w:pPr>
      <w:r>
        <w:rPr>
          <w:b w:val="0"/>
          <w:i/>
          <w:color w:val="5B6573"/>
          <w:sz w:val="24"/>
        </w:rPr>
        <w:t>Coordinating accessible services while preserving participation, ethics, and continuity</w:t>
      </w:r>
    </w:p>
    <w:p>
      <w:pPr>
        <w:spacing w:after="360"/>
        <w:jc w:val="center"/>
      </w:pPr>
      <w:r>
        <w:rPr>
          <w:b w:val="0"/>
          <w:i w:val="0"/>
          <w:color w:val="667085"/>
          <w:sz w:val="21"/>
        </w:rPr>
        <w:t>Version 1.0 - July 2026</w:t>
      </w:r>
    </w:p>
    <w:p>
      <w:pPr>
        <w:spacing w:before="240"/>
        <w:jc w:val="center"/>
      </w:pPr>
      <w:r>
        <w:rPr>
          <w:b/>
          <w:i w:val="0"/>
          <w:color w:val="17365D"/>
          <w:sz w:val="22"/>
        </w:rPr>
        <w:t>Clinical Training Academy</w:t>
      </w:r>
    </w:p>
    <w:p>
      <w:r>
        <w:br w:type="page"/>
      </w:r>
    </w:p>
    <w:tbl>
      <w:tblPr>
        <w:tblW w:type="auto" w:w="0"/>
        <w:jc w:val="center"/>
        <w:tblLayout w:type="fixed"/>
        <w:tblLook w:firstColumn="1" w:firstRow="1" w:lastColumn="0" w:lastRow="0" w:noHBand="0" w:noVBand="1" w:val="04A0"/>
      </w:tblPr>
      <w:tblGrid>
        <w:gridCol w:w="8208"/>
      </w:tblGrid>
      <w:tr>
        <w:trPr>
          <w:cantSplit/>
          <w:tblHeader w:val="true"/>
        </w:trPr>
        <w:tc>
          <w:tcPr>
            <w:tcW w:type="dxa" w:w="10080"/>
            <w:shd w:fill="EEF6F8"/>
            <w:tcMar>
              <w:top w:w="120" w:type="dxa"/>
              <w:start w:w="140" w:type="dxa"/>
              <w:bottom w:w="120" w:type="dxa"/>
              <w:end w:w="140" w:type="dxa"/>
            </w:tcMar>
            <w:vAlign w:val="center"/>
          </w:tcPr>
          <w:p>
            <w:pPr>
              <w:spacing w:after="0" w:before="0" w:line="252" w:lineRule="auto"/>
              <w:jc w:val="center"/>
            </w:pPr>
            <w:r>
              <w:rPr>
                <w:b/>
              </w:rPr>
              <w:t>Educational and Non-Affiliation Notice</w:t>
            </w:r>
            <w:r>
              <w:br/>
              <w:t>This workbook is an independent educational resource developed by Clinical Training and Supervision Academy. CTA is not affiliated with, endorsed by, or sponsored by the California Board of Behavioral Sciences, Pearson VUE, the Association of Social Work Boards, or any other licensing or testing organization. Examination specifications, laws, regulations, and professional standards may change. Candidates are responsible for consulting current official sources. Completion of this program does not guarantee examination passage.</w:t>
            </w:r>
          </w:p>
        </w:tc>
      </w:tr>
    </w:tbl>
    <w:tbl>
      <w:tblPr>
        <w:tblW w:type="auto" w:w="0"/>
        <w:jc w:val="center"/>
        <w:tblLayout w:type="fixed"/>
        <w:tblLook w:firstColumn="1" w:firstRow="1" w:lastColumn="0" w:lastRow="0" w:noHBand="0" w:noVBand="1" w:val="04A0"/>
      </w:tblPr>
      <w:tblGrid>
        <w:gridCol w:w="9936"/>
      </w:tblGrid>
      <w:tr>
        <w:trPr>
          <w:cantSplit/>
          <w:tblHeader w:val="true"/>
        </w:trPr>
        <w:tc>
          <w:tcPr>
            <w:tcW w:type="dxa" w:w="10080"/>
            <w:shd w:fill="EEF6F8"/>
            <w:tcMar>
              <w:top w:w="120" w:type="dxa"/>
              <w:start w:w="140" w:type="dxa"/>
              <w:bottom w:w="120" w:type="dxa"/>
              <w:end w:w="140" w:type="dxa"/>
            </w:tcMar>
            <w:vAlign w:val="center"/>
          </w:tcPr>
          <w:p>
            <w:pPr>
              <w:spacing w:after="0" w:before="0" w:line="252" w:lineRule="auto"/>
            </w:pPr>
            <w:r>
              <w:rPr>
                <w:b/>
              </w:rPr>
              <w:t>National Examination and Clinical Scope Notice</w:t>
            </w:r>
            <w:r>
              <w:br/>
              <w:t>The ASWB examination is national. Unless a question supplies a jurisdiction or legal requirement, do not import California-specific rules. Follow the law stated in the item and use ethical clinical sequencing.</w:t>
              <w:br/>
              <w:br/>
              <w:t>The material is provided for examination preparation and professional education. It is not legal advice, clinical supervision, diagnosis, treatment, or a substitute for consultation with qualified legal, clinical, regulatory, or professional experts.</w:t>
            </w:r>
          </w:p>
        </w:tc>
      </w:tr>
    </w:tbl>
    <w:p>
      <w:pPr>
        <w:pStyle w:val="Heading1"/>
      </w:pPr>
      <w:r>
        <w:t>How to Use This Workbook</w:t>
      </w:r>
    </w:p>
    <w:p>
      <w:r>
        <w:rPr>
          <w:i w:val="0"/>
        </w:rPr>
        <w:t>This workbook develops the applied systems reasoning used when clients need coordinated clinical, medical, educational, legal, housing, benefit, disability, family, or community responses. Read each section, practice mapping responsibilities and barriers, complete the worksheet, and answer the knowledge check before reviewing the rationales.</w:t>
      </w:r>
    </w:p>
    <w:tbl>
      <w:tblPr>
        <w:tblW w:type="auto" w:w="0"/>
        <w:jc w:val="center"/>
        <w:tblLayout w:type="fixed"/>
        <w:tblLook w:firstColumn="1" w:firstRow="1" w:lastColumn="0" w:lastRow="0" w:noHBand="0" w:noVBand="1" w:val="04A0"/>
      </w:tblPr>
      <w:tblGrid>
        <w:gridCol w:w="9936"/>
      </w:tblGrid>
      <w:tr>
        <w:trPr>
          <w:cantSplit/>
          <w:tblHeader/>
        </w:trPr>
        <w:tc>
          <w:tcPr>
            <w:tcW w:type="dxa" w:w="10080"/>
            <w:shd w:fill="EAF3F8"/>
            <w:tcMar>
              <w:top w:w="150" w:type="dxa"/>
              <w:start w:w="180" w:type="dxa"/>
              <w:bottom w:w="150" w:type="dxa"/>
              <w:end w:w="180" w:type="dxa"/>
            </w:tcMar>
          </w:tcPr>
          <w:p>
            <w:pPr>
              <w:spacing w:after="80"/>
            </w:pPr>
            <w:r>
              <w:rPr>
                <w:b/>
                <w:i w:val="0"/>
                <w:color w:val="1F4E78"/>
              </w:rPr>
              <w:t>Core Exam Question</w:t>
            </w:r>
          </w:p>
          <w:p>
            <w:pPr>
              <w:spacing w:after="0"/>
            </w:pPr>
            <w:r>
              <w:t>What should the social worker coordinate or advocate for next, with whom, under what authority, and how will access and follow-through be confirmed?</w:t>
            </w:r>
          </w:p>
        </w:tc>
      </w:tr>
    </w:tbl>
    <w:tbl>
      <w:tblPr>
        <w:tblW w:type="auto" w:w="0"/>
        <w:jc w:val="center"/>
        <w:tblLayout w:type="fixed"/>
        <w:tblLook w:firstColumn="1" w:firstRow="1" w:lastColumn="0" w:lastRow="0" w:noHBand="0" w:noVBand="1" w:val="04A0"/>
      </w:tblPr>
      <w:tblGrid>
        <w:gridCol w:w="9936"/>
      </w:tblGrid>
      <w:tr>
        <w:trPr>
          <w:cantSplit/>
          <w:tblHeader w:val="true"/>
        </w:trPr>
        <w:tc>
          <w:tcPr>
            <w:tcW w:type="dxa" w:w="10080"/>
            <w:shd w:fill="EAF3F8"/>
            <w:tcMar>
              <w:top w:w="150" w:type="dxa"/>
              <w:start w:w="180" w:type="dxa"/>
              <w:bottom w:w="150" w:type="dxa"/>
              <w:end w:w="180" w:type="dxa"/>
            </w:tcMar>
          </w:tcPr>
          <w:p>
            <w:pPr>
              <w:spacing w:after="80"/>
            </w:pPr>
            <w:r>
              <w:rPr>
                <w:b/>
                <w:i w:val="0"/>
                <w:color w:val="1F4E78"/>
              </w:rPr>
              <w:t>Blueprint Note</w:t>
            </w:r>
          </w:p>
          <w:p>
            <w:pPr>
              <w:spacing w:after="0"/>
            </w:pPr>
            <w:r>
              <w:t>For Clinical exams administered on or after August 3, 2026, the ASWB outline assigns 36% to Values and Ethics, 32% to Assessment and Planning, and 32% to Intervention and Practice. Intervention questions emphasize applied reasoning, client or client-system fit, ethical sequencing, and the use of both three- and four-option formats.</w:t>
            </w:r>
          </w:p>
        </w:tc>
      </w:tr>
    </w:tbl>
    <w:p>
      <w:pPr>
        <w:spacing w:after="0"/>
      </w:pPr>
    </w:p>
    <w:p>
      <w:pPr>
        <w:pStyle w:val="Heading1"/>
      </w:pPr>
      <w:r>
        <w:t>Learning Objectives</w:t>
      </w:r>
    </w:p>
    <w:p>
      <w:pPr>
        <w:pStyle w:val="ListBullet"/>
      </w:pPr>
      <w:r>
        <w:t>Use person-in-environment assessment to prioritize safety, health, housing, benefits, access, functioning, and client-defined goals and translate them into an accountable case-management plan.</w:t>
      </w:r>
    </w:p>
    <w:p>
      <w:pPr>
        <w:pStyle w:val="ListBullet"/>
      </w:pPr>
      <w:r>
        <w:t>Map clients, families, providers, agencies, benefits, services, eligibility rules, environmental barriers, and community systems and clarify who has authority and responsibility for each next step.</w:t>
      </w:r>
    </w:p>
    <w:p>
      <w:pPr>
        <w:pStyle w:val="ListBullet"/>
      </w:pPr>
      <w:r>
        <w:t>Select the least intrusive effective level of individual, organizational, systems, or community advocacy while preserving self-determination, informed participation, privacy, and attention to power and risk.</w:t>
      </w:r>
    </w:p>
    <w:p>
      <w:pPr>
        <w:pStyle w:val="ListBullet"/>
      </w:pPr>
      <w:r>
        <w:t>Match resources and referrals to need, eligibility, availability, cost, transportation, language, disability, technology, culture, and client preference and use warm handoffs and follow-up to protect continuity.</w:t>
      </w:r>
    </w:p>
    <w:p>
      <w:pPr>
        <w:pStyle w:val="ListBullet"/>
      </w:pPr>
      <w:r>
        <w:t>Document consent, role, responsibility, barriers, actions, deadlines, and outcomes and revise coordination when access, follow-through, or service effectiveness is inadequate.</w:t>
      </w:r>
    </w:p>
    <w:p>
      <w:pPr>
        <w:pStyle w:val="Heading1"/>
      </w:pPr>
      <w:r>
        <w:t>Why This Topic Matters</w:t>
      </w:r>
    </w:p>
    <w:p>
      <w:r>
        <w:rPr>
          <w:i w:val="0"/>
        </w:rPr>
        <w:t>ASWB-style questions often present several helpful services or professionals. The best answer is usually the next coordinated step that matches acuity, client choice, access, authority, and role. A referral is not complete when the name of an agency is provided. The social worker must think through eligibility, accessibility, consent, responsibility, and follow-through.</w:t>
      </w:r>
    </w:p>
    <w:p>
      <w:pPr>
        <w:pStyle w:val="Heading1"/>
      </w:pPr>
      <w:r>
        <w:t>1. The BRIDGE Coordination Sequence</w:t>
      </w:r>
    </w:p>
    <w:tbl>
      <w:tblPr>
        <w:tblStyle w:val="TableGrid"/>
        <w:tblW w:type="auto" w:w="0"/>
        <w:jc w:val="center"/>
        <w:tblLayout w:type="fixed"/>
        <w:tblLook w:firstColumn="1" w:firstRow="1" w:lastColumn="0" w:lastRow="0" w:noHBand="0" w:noVBand="1" w:val="04A0"/>
      </w:tblPr>
      <w:tblGrid>
        <w:gridCol w:w="2376"/>
        <w:gridCol w:w="7560"/>
      </w:tblGrid>
      <w:tr>
        <w:trPr>
          <w:tblHeader w:val="true"/>
          <w:cantSplit/>
        </w:trPr>
        <w:tc>
          <w:tcPr>
            <w:tcW w:type="dxa" w:w="5040"/>
            <w:shd w:fill="17365D"/>
            <w:tcMar>
              <w:top w:w="100" w:type="dxa"/>
              <w:start w:w="120" w:type="dxa"/>
              <w:bottom w:w="100" w:type="dxa"/>
              <w:end w:w="120" w:type="dxa"/>
            </w:tcMar>
          </w:tcPr>
          <w:p>
            <w:pPr>
              <w:spacing w:after="0"/>
            </w:pPr>
            <w:r>
              <w:rPr>
                <w:b/>
                <w:color w:val="FFFFFF"/>
                <w:sz w:val="17"/>
              </w:rPr>
              <w:t>Step</w:t>
            </w:r>
          </w:p>
        </w:tc>
        <w:tc>
          <w:tcPr>
            <w:tcW w:type="dxa" w:w="5040"/>
            <w:shd w:fill="17365D"/>
            <w:tcMar>
              <w:top w:w="100" w:type="dxa"/>
              <w:start w:w="120" w:type="dxa"/>
              <w:bottom w:w="100" w:type="dxa"/>
              <w:end w:w="120" w:type="dxa"/>
            </w:tcMar>
          </w:tcPr>
          <w:p>
            <w:pPr>
              <w:spacing w:after="0"/>
            </w:pPr>
            <w:r>
              <w:rPr>
                <w:b/>
                <w:color w:val="FFFFFF"/>
                <w:sz w:val="17"/>
              </w:rPr>
              <w:t>Applied Question</w:t>
            </w:r>
          </w:p>
        </w:tc>
      </w:tr>
      <w:tr>
        <w:trPr>
          <w:cantSplit/>
        </w:trPr>
        <w:tc>
          <w:tcPr>
            <w:tcW w:type="dxa" w:w="2376"/>
            <w:tcMar>
              <w:top w:w="100" w:type="dxa"/>
              <w:start w:w="120" w:type="dxa"/>
              <w:bottom w:w="100" w:type="dxa"/>
              <w:end w:w="120" w:type="dxa"/>
            </w:tcMar>
          </w:tcPr>
          <w:p>
            <w:pPr>
              <w:spacing w:after="0"/>
            </w:pPr>
            <w:r>
              <w:rPr>
                <w:sz w:val="17"/>
              </w:rPr>
              <w:t>B — Begin with priority</w:t>
            </w:r>
          </w:p>
        </w:tc>
        <w:tc>
          <w:tcPr>
            <w:tcW w:type="dxa" w:w="7560"/>
            <w:tcMar>
              <w:top w:w="100" w:type="dxa"/>
              <w:start w:w="120" w:type="dxa"/>
              <w:bottom w:w="100" w:type="dxa"/>
              <w:end w:w="120" w:type="dxa"/>
            </w:tcMar>
          </w:tcPr>
          <w:p>
            <w:pPr>
              <w:spacing w:after="0"/>
            </w:pPr>
            <w:r>
              <w:rPr>
                <w:sz w:val="17"/>
              </w:rPr>
              <w:t>What safety, medical, housing, food, legal, caregiving, or functional issue requires attention first?</w:t>
            </w:r>
          </w:p>
        </w:tc>
      </w:tr>
      <w:tr>
        <w:trPr>
          <w:cantSplit/>
        </w:trPr>
        <w:tc>
          <w:tcPr>
            <w:tcW w:type="dxa" w:w="2376"/>
            <w:tcMar>
              <w:top w:w="100" w:type="dxa"/>
              <w:start w:w="120" w:type="dxa"/>
              <w:bottom w:w="100" w:type="dxa"/>
              <w:end w:w="120" w:type="dxa"/>
            </w:tcMar>
            <w:shd w:fill="F7F8FA"/>
          </w:tcPr>
          <w:p>
            <w:pPr>
              <w:spacing w:after="0"/>
            </w:pPr>
            <w:r>
              <w:rPr>
                <w:sz w:val="17"/>
              </w:rPr>
              <w:t>R — Respect participation</w:t>
            </w:r>
          </w:p>
        </w:tc>
        <w:tc>
          <w:tcPr>
            <w:tcW w:type="dxa" w:w="7560"/>
            <w:tcMar>
              <w:top w:w="100" w:type="dxa"/>
              <w:start w:w="120" w:type="dxa"/>
              <w:bottom w:w="100" w:type="dxa"/>
              <w:end w:w="120" w:type="dxa"/>
            </w:tcMar>
            <w:shd w:fill="F7F8FA"/>
          </w:tcPr>
          <w:p>
            <w:pPr>
              <w:spacing w:after="0"/>
            </w:pPr>
            <w:r>
              <w:rPr>
                <w:sz w:val="17"/>
              </w:rPr>
              <w:t>What does the client want, understand, consent to, and prefer to do?</w:t>
            </w:r>
          </w:p>
        </w:tc>
      </w:tr>
      <w:tr>
        <w:trPr>
          <w:cantSplit/>
        </w:trPr>
        <w:tc>
          <w:tcPr>
            <w:tcW w:type="dxa" w:w="2376"/>
            <w:tcMar>
              <w:top w:w="100" w:type="dxa"/>
              <w:start w:w="120" w:type="dxa"/>
              <w:bottom w:w="100" w:type="dxa"/>
              <w:end w:w="120" w:type="dxa"/>
            </w:tcMar>
          </w:tcPr>
          <w:p>
            <w:pPr>
              <w:spacing w:after="0"/>
            </w:pPr>
            <w:r>
              <w:rPr>
                <w:sz w:val="17"/>
              </w:rPr>
              <w:t>I — Identify systems and barriers</w:t>
            </w:r>
          </w:p>
        </w:tc>
        <w:tc>
          <w:tcPr>
            <w:tcW w:type="dxa" w:w="7560"/>
            <w:tcMar>
              <w:top w:w="100" w:type="dxa"/>
              <w:start w:w="120" w:type="dxa"/>
              <w:bottom w:w="100" w:type="dxa"/>
              <w:end w:w="120" w:type="dxa"/>
            </w:tcMar>
          </w:tcPr>
          <w:p>
            <w:pPr>
              <w:spacing w:after="0"/>
            </w:pPr>
            <w:r>
              <w:rPr>
                <w:sz w:val="17"/>
              </w:rPr>
              <w:t>Which people, agencies, benefits, policies, eligibility rules, and access barriers are involved?</w:t>
            </w:r>
          </w:p>
        </w:tc>
      </w:tr>
      <w:tr>
        <w:trPr>
          <w:cantSplit/>
        </w:trPr>
        <w:tc>
          <w:tcPr>
            <w:tcW w:type="dxa" w:w="2376"/>
            <w:tcMar>
              <w:top w:w="100" w:type="dxa"/>
              <w:start w:w="120" w:type="dxa"/>
              <w:bottom w:w="100" w:type="dxa"/>
              <w:end w:w="120" w:type="dxa"/>
            </w:tcMar>
            <w:shd w:fill="F7F8FA"/>
          </w:tcPr>
          <w:p>
            <w:pPr>
              <w:spacing w:after="0"/>
            </w:pPr>
            <w:r>
              <w:rPr>
                <w:sz w:val="17"/>
              </w:rPr>
              <w:t>D — Define roles and disclosure</w:t>
            </w:r>
          </w:p>
        </w:tc>
        <w:tc>
          <w:tcPr>
            <w:tcW w:type="dxa" w:w="7560"/>
            <w:tcMar>
              <w:top w:w="100" w:type="dxa"/>
              <w:start w:w="120" w:type="dxa"/>
              <w:bottom w:w="100" w:type="dxa"/>
              <w:end w:w="120" w:type="dxa"/>
            </w:tcMar>
            <w:shd w:fill="F7F8FA"/>
          </w:tcPr>
          <w:p>
            <w:pPr>
              <w:spacing w:after="0"/>
            </w:pPr>
            <w:r>
              <w:rPr>
                <w:sz w:val="17"/>
              </w:rPr>
              <w:t>Who is responsible, what authority exists, and what information may be shared?</w:t>
            </w:r>
          </w:p>
        </w:tc>
      </w:tr>
      <w:tr>
        <w:trPr>
          <w:cantSplit/>
        </w:trPr>
        <w:tc>
          <w:tcPr>
            <w:tcW w:type="dxa" w:w="2376"/>
            <w:tcMar>
              <w:top w:w="100" w:type="dxa"/>
              <w:start w:w="120" w:type="dxa"/>
              <w:bottom w:w="100" w:type="dxa"/>
              <w:end w:w="120" w:type="dxa"/>
            </w:tcMar>
          </w:tcPr>
          <w:p>
            <w:pPr>
              <w:spacing w:after="0"/>
            </w:pPr>
            <w:r>
              <w:rPr>
                <w:sz w:val="17"/>
              </w:rPr>
              <w:t>G — Generate an accessible handoff</w:t>
            </w:r>
          </w:p>
        </w:tc>
        <w:tc>
          <w:tcPr>
            <w:tcW w:type="dxa" w:w="7560"/>
            <w:tcMar>
              <w:top w:w="100" w:type="dxa"/>
              <w:start w:w="120" w:type="dxa"/>
              <w:bottom w:w="100" w:type="dxa"/>
              <w:end w:w="120" w:type="dxa"/>
            </w:tcMar>
          </w:tcPr>
          <w:p>
            <w:pPr>
              <w:spacing w:after="0"/>
            </w:pPr>
            <w:r>
              <w:rPr>
                <w:sz w:val="17"/>
              </w:rPr>
              <w:t>How will contact, eligibility, language, disability access, cost, transportation, and scheduling be addressed?</w:t>
            </w:r>
          </w:p>
        </w:tc>
      </w:tr>
      <w:tr>
        <w:trPr>
          <w:cantSplit/>
        </w:trPr>
        <w:tc>
          <w:tcPr>
            <w:tcW w:type="dxa" w:w="2376"/>
            <w:tcMar>
              <w:top w:w="100" w:type="dxa"/>
              <w:start w:w="120" w:type="dxa"/>
              <w:bottom w:w="100" w:type="dxa"/>
              <w:end w:w="120" w:type="dxa"/>
            </w:tcMar>
            <w:shd w:fill="F7F8FA"/>
          </w:tcPr>
          <w:p>
            <w:pPr>
              <w:spacing w:after="0"/>
            </w:pPr>
            <w:r>
              <w:rPr>
                <w:sz w:val="17"/>
              </w:rPr>
              <w:t>E — Evaluate continuity</w:t>
            </w:r>
          </w:p>
        </w:tc>
        <w:tc>
          <w:tcPr>
            <w:tcW w:type="dxa" w:w="7560"/>
            <w:tcMar>
              <w:top w:w="100" w:type="dxa"/>
              <w:start w:w="120" w:type="dxa"/>
              <w:bottom w:w="100" w:type="dxa"/>
              <w:end w:w="120" w:type="dxa"/>
            </w:tcMar>
            <w:shd w:fill="F7F8FA"/>
          </w:tcPr>
          <w:p>
            <w:pPr>
              <w:spacing w:after="0"/>
            </w:pPr>
            <w:r>
              <w:rPr>
                <w:sz w:val="17"/>
              </w:rPr>
              <w:t>Did the client gain access, did the service help, and what must be revised?</w:t>
            </w:r>
          </w:p>
        </w:tc>
      </w:tr>
    </w:tbl>
    <w:p>
      <w:pPr>
        <w:spacing w:after="0"/>
      </w:pPr>
    </w:p>
    <w:tbl>
      <w:tblPr>
        <w:tblW w:type="auto" w:w="0"/>
        <w:jc w:val="center"/>
        <w:tblLayout w:type="fixed"/>
        <w:tblLook w:firstColumn="1" w:firstRow="1" w:lastColumn="0" w:lastRow="0" w:noHBand="0" w:noVBand="1" w:val="04A0"/>
      </w:tblPr>
      <w:tblGrid>
        <w:gridCol w:w="9936"/>
      </w:tblGrid>
      <w:tr>
        <w:trPr>
          <w:cantSplit/>
          <w:tblHeader/>
        </w:trPr>
        <w:tc>
          <w:tcPr>
            <w:tcW w:type="dxa" w:w="10080"/>
            <w:shd w:fill="FFF4D6"/>
            <w:tcMar>
              <w:top w:w="150" w:type="dxa"/>
              <w:start w:w="180" w:type="dxa"/>
              <w:bottom w:w="150" w:type="dxa"/>
              <w:end w:w="180" w:type="dxa"/>
            </w:tcMar>
          </w:tcPr>
          <w:p>
            <w:pPr>
              <w:spacing w:after="80"/>
            </w:pPr>
            <w:r>
              <w:rPr>
                <w:b/>
                <w:i w:val="0"/>
                <w:color w:val="C17C00"/>
              </w:rPr>
              <w:t>Memory Aid</w:t>
            </w:r>
          </w:p>
          <w:p>
            <w:pPr>
              <w:spacing w:after="0"/>
            </w:pPr>
            <w:r>
              <w:t>BRIDGE turns a referral into an accountable, client-centered coordination process.</w:t>
            </w:r>
          </w:p>
        </w:tc>
      </w:tr>
    </w:tbl>
    <w:p>
      <w:pPr>
        <w:spacing w:after="0"/>
      </w:pPr>
    </w:p>
    <w:p>
      <w:pPr>
        <w:pStyle w:val="Heading1"/>
      </w:pPr>
      <w:r>
        <w:t>2. Case Management as Integrated Clinical Practice</w:t>
      </w:r>
    </w:p>
    <w:p>
      <w:r>
        <w:rPr>
          <w:i w:val="0"/>
        </w:rPr>
        <w:t>Case management links assessment, planning, resource mobilization, counseling, advocacy, monitoring, and continuity. It is not separate from clinical work when environmental barriers, health conditions, caregiving, poverty, discrimination, or organizational systems maintain distress. The social worker continues to define the purpose of each action and how it supports the client’s goals and functioning.</w:t>
      </w:r>
    </w:p>
    <w:tbl>
      <w:tblPr>
        <w:tblStyle w:val="TableGrid"/>
        <w:tblW w:type="auto" w:w="0"/>
        <w:jc w:val="center"/>
        <w:tblLayout w:type="fixed"/>
        <w:tblLook w:firstColumn="1" w:firstRow="1" w:lastColumn="0" w:lastRow="0" w:noHBand="0" w:noVBand="1" w:val="04A0"/>
      </w:tblPr>
      <w:tblGrid>
        <w:gridCol w:w="2376"/>
        <w:gridCol w:w="7560"/>
      </w:tblGrid>
      <w:tr>
        <w:trPr>
          <w:tblHeader w:val="true"/>
          <w:cantSplit/>
        </w:trPr>
        <w:tc>
          <w:tcPr>
            <w:tcW w:type="dxa" w:w="5040"/>
            <w:shd w:fill="17365D"/>
            <w:tcMar>
              <w:top w:w="100" w:type="dxa"/>
              <w:start w:w="120" w:type="dxa"/>
              <w:bottom w:w="100" w:type="dxa"/>
              <w:end w:w="120" w:type="dxa"/>
            </w:tcMar>
          </w:tcPr>
          <w:p>
            <w:pPr>
              <w:spacing w:after="0"/>
            </w:pPr>
            <w:r>
              <w:rPr>
                <w:b/>
                <w:color w:val="FFFFFF"/>
                <w:sz w:val="17"/>
              </w:rPr>
              <w:t>Function</w:t>
            </w:r>
          </w:p>
        </w:tc>
        <w:tc>
          <w:tcPr>
            <w:tcW w:type="dxa" w:w="5040"/>
            <w:shd w:fill="17365D"/>
            <w:tcMar>
              <w:top w:w="100" w:type="dxa"/>
              <w:start w:w="120" w:type="dxa"/>
              <w:bottom w:w="100" w:type="dxa"/>
              <w:end w:w="120" w:type="dxa"/>
            </w:tcMar>
          </w:tcPr>
          <w:p>
            <w:pPr>
              <w:spacing w:after="0"/>
            </w:pPr>
            <w:r>
              <w:rPr>
                <w:b/>
                <w:color w:val="FFFFFF"/>
                <w:sz w:val="17"/>
              </w:rPr>
              <w:t>Examples</w:t>
            </w:r>
          </w:p>
        </w:tc>
      </w:tr>
      <w:tr>
        <w:trPr>
          <w:cantSplit/>
        </w:trPr>
        <w:tc>
          <w:tcPr>
            <w:tcW w:type="dxa" w:w="2376"/>
            <w:tcMar>
              <w:top w:w="100" w:type="dxa"/>
              <w:start w:w="120" w:type="dxa"/>
              <w:bottom w:w="100" w:type="dxa"/>
              <w:end w:w="120" w:type="dxa"/>
            </w:tcMar>
          </w:tcPr>
          <w:p>
            <w:pPr>
              <w:spacing w:after="0"/>
            </w:pPr>
            <w:r>
              <w:rPr>
                <w:sz w:val="17"/>
              </w:rPr>
              <w:t>Assessment</w:t>
            </w:r>
          </w:p>
        </w:tc>
        <w:tc>
          <w:tcPr>
            <w:tcW w:type="dxa" w:w="7560"/>
            <w:tcMar>
              <w:top w:w="100" w:type="dxa"/>
              <w:start w:w="120" w:type="dxa"/>
              <w:bottom w:w="100" w:type="dxa"/>
              <w:end w:w="120" w:type="dxa"/>
            </w:tcMar>
          </w:tcPr>
          <w:p>
            <w:pPr>
              <w:spacing w:after="0"/>
            </w:pPr>
            <w:r>
              <w:rPr>
                <w:sz w:val="17"/>
              </w:rPr>
              <w:t>Needs, strengths, risk, functioning, supports, eligibility, access, and client priorities.</w:t>
            </w:r>
          </w:p>
        </w:tc>
      </w:tr>
      <w:tr>
        <w:trPr>
          <w:cantSplit/>
        </w:trPr>
        <w:tc>
          <w:tcPr>
            <w:tcW w:type="dxa" w:w="2376"/>
            <w:tcMar>
              <w:top w:w="100" w:type="dxa"/>
              <w:start w:w="120" w:type="dxa"/>
              <w:bottom w:w="100" w:type="dxa"/>
              <w:end w:w="120" w:type="dxa"/>
            </w:tcMar>
            <w:shd w:fill="F7F8FA"/>
          </w:tcPr>
          <w:p>
            <w:pPr>
              <w:spacing w:after="0"/>
            </w:pPr>
            <w:r>
              <w:rPr>
                <w:sz w:val="17"/>
              </w:rPr>
              <w:t>Planning</w:t>
            </w:r>
          </w:p>
        </w:tc>
        <w:tc>
          <w:tcPr>
            <w:tcW w:type="dxa" w:w="7560"/>
            <w:tcMar>
              <w:top w:w="100" w:type="dxa"/>
              <w:start w:w="120" w:type="dxa"/>
              <w:bottom w:w="100" w:type="dxa"/>
              <w:end w:w="120" w:type="dxa"/>
            </w:tcMar>
            <w:shd w:fill="F7F8FA"/>
          </w:tcPr>
          <w:p>
            <w:pPr>
              <w:spacing w:after="0"/>
            </w:pPr>
            <w:r>
              <w:rPr>
                <w:sz w:val="17"/>
              </w:rPr>
              <w:t>Goals, sequencing, service intensity, responsible parties, consent, and review dates.</w:t>
            </w:r>
          </w:p>
        </w:tc>
      </w:tr>
      <w:tr>
        <w:trPr>
          <w:cantSplit/>
        </w:trPr>
        <w:tc>
          <w:tcPr>
            <w:tcW w:type="dxa" w:w="2376"/>
            <w:tcMar>
              <w:top w:w="100" w:type="dxa"/>
              <w:start w:w="120" w:type="dxa"/>
              <w:bottom w:w="100" w:type="dxa"/>
              <w:end w:w="120" w:type="dxa"/>
            </w:tcMar>
          </w:tcPr>
          <w:p>
            <w:pPr>
              <w:spacing w:after="0"/>
            </w:pPr>
            <w:r>
              <w:rPr>
                <w:sz w:val="17"/>
              </w:rPr>
              <w:t>Linkage and coordination</w:t>
            </w:r>
          </w:p>
        </w:tc>
        <w:tc>
          <w:tcPr>
            <w:tcW w:type="dxa" w:w="7560"/>
            <w:tcMar>
              <w:top w:w="100" w:type="dxa"/>
              <w:start w:w="120" w:type="dxa"/>
              <w:bottom w:w="100" w:type="dxa"/>
              <w:end w:w="120" w:type="dxa"/>
            </w:tcMar>
          </w:tcPr>
          <w:p>
            <w:pPr>
              <w:spacing w:after="0"/>
            </w:pPr>
            <w:r>
              <w:rPr>
                <w:sz w:val="17"/>
              </w:rPr>
              <w:t>Warm handoffs, records with authorization, meetings, navigation, and role clarification.</w:t>
            </w:r>
          </w:p>
        </w:tc>
      </w:tr>
      <w:tr>
        <w:trPr>
          <w:cantSplit/>
        </w:trPr>
        <w:tc>
          <w:tcPr>
            <w:tcW w:type="dxa" w:w="2376"/>
            <w:tcMar>
              <w:top w:w="100" w:type="dxa"/>
              <w:start w:w="120" w:type="dxa"/>
              <w:bottom w:w="100" w:type="dxa"/>
              <w:end w:w="120" w:type="dxa"/>
            </w:tcMar>
            <w:shd w:fill="F7F8FA"/>
          </w:tcPr>
          <w:p>
            <w:pPr>
              <w:spacing w:after="0"/>
            </w:pPr>
            <w:r>
              <w:rPr>
                <w:sz w:val="17"/>
              </w:rPr>
              <w:t>Monitoring and evaluation</w:t>
            </w:r>
          </w:p>
        </w:tc>
        <w:tc>
          <w:tcPr>
            <w:tcW w:type="dxa" w:w="7560"/>
            <w:tcMar>
              <w:top w:w="100" w:type="dxa"/>
              <w:start w:w="120" w:type="dxa"/>
              <w:bottom w:w="100" w:type="dxa"/>
              <w:end w:w="120" w:type="dxa"/>
            </w:tcMar>
            <w:shd w:fill="F7F8FA"/>
          </w:tcPr>
          <w:p>
            <w:pPr>
              <w:spacing w:after="0"/>
            </w:pPr>
            <w:r>
              <w:rPr>
                <w:sz w:val="17"/>
              </w:rPr>
              <w:t>Access, attendance, outcomes, barriers, satisfaction, continuity, and plan revision.</w:t>
            </w:r>
          </w:p>
        </w:tc>
      </w:tr>
    </w:tbl>
    <w:p>
      <w:pPr>
        <w:spacing w:after="0"/>
      </w:pPr>
    </w:p>
    <w:p>
      <w:pPr>
        <w:pStyle w:val="Heading1"/>
      </w:pPr>
      <w:r>
        <w:t>3. Prioritization and Triage Across Systems</w:t>
      </w:r>
    </w:p>
    <w:p>
      <w:r>
        <w:rPr>
          <w:i w:val="0"/>
        </w:rPr>
        <w:t>The social worker prioritizes immediate safety and medical needs, basic survival, time-sensitive rights or benefits, and conditions that block all other care. Prioritization does not mean that only one problem matters. It means sequencing the plan so urgent needs are stabilized while longer-term clinical and social goals remain visible.</w:t>
      </w:r>
    </w:p>
    <w:tbl>
      <w:tblPr>
        <w:tblStyle w:val="TableGrid"/>
        <w:tblW w:type="auto" w:w="0"/>
        <w:jc w:val="center"/>
        <w:tblLayout w:type="fixed"/>
        <w:tblLook w:firstColumn="1" w:firstRow="1" w:lastColumn="0" w:lastRow="0" w:noHBand="0" w:noVBand="1" w:val="04A0"/>
      </w:tblPr>
      <w:tblGrid>
        <w:gridCol w:w="3024"/>
        <w:gridCol w:w="6912"/>
      </w:tblGrid>
      <w:tr>
        <w:trPr>
          <w:tblHeader w:val="true"/>
          <w:cantSplit/>
        </w:trPr>
        <w:tc>
          <w:tcPr>
            <w:tcW w:type="dxa" w:w="5040"/>
            <w:shd w:fill="17365D"/>
            <w:tcMar>
              <w:top w:w="100" w:type="dxa"/>
              <w:start w:w="120" w:type="dxa"/>
              <w:bottom w:w="100" w:type="dxa"/>
              <w:end w:w="120" w:type="dxa"/>
            </w:tcMar>
          </w:tcPr>
          <w:p>
            <w:pPr>
              <w:spacing w:after="0"/>
            </w:pPr>
            <w:r>
              <w:rPr>
                <w:b/>
                <w:color w:val="FFFFFF"/>
                <w:sz w:val="16"/>
              </w:rPr>
              <w:t>Priority Question</w:t>
            </w:r>
          </w:p>
        </w:tc>
        <w:tc>
          <w:tcPr>
            <w:tcW w:type="dxa" w:w="5040"/>
            <w:shd w:fill="17365D"/>
            <w:tcMar>
              <w:top w:w="100" w:type="dxa"/>
              <w:start w:w="120" w:type="dxa"/>
              <w:bottom w:w="100" w:type="dxa"/>
              <w:end w:w="120" w:type="dxa"/>
            </w:tcMar>
          </w:tcPr>
          <w:p>
            <w:pPr>
              <w:spacing w:after="0"/>
            </w:pPr>
            <w:r>
              <w:rPr>
                <w:b/>
                <w:color w:val="FFFFFF"/>
                <w:sz w:val="16"/>
              </w:rPr>
              <w:t>Examples</w:t>
            </w:r>
          </w:p>
        </w:tc>
      </w:tr>
      <w:tr>
        <w:trPr>
          <w:cantSplit/>
        </w:trPr>
        <w:tc>
          <w:tcPr>
            <w:tcW w:type="dxa" w:w="3024"/>
            <w:tcMar>
              <w:top w:w="100" w:type="dxa"/>
              <w:start w:w="120" w:type="dxa"/>
              <w:bottom w:w="100" w:type="dxa"/>
              <w:end w:w="120" w:type="dxa"/>
            </w:tcMar>
          </w:tcPr>
          <w:p>
            <w:pPr>
              <w:spacing w:after="0"/>
            </w:pPr>
            <w:r>
              <w:rPr>
                <w:sz w:val="16"/>
              </w:rPr>
              <w:t>Immediate safety or medical urgency?</w:t>
            </w:r>
          </w:p>
        </w:tc>
        <w:tc>
          <w:tcPr>
            <w:tcW w:type="dxa" w:w="6912"/>
            <w:tcMar>
              <w:top w:w="100" w:type="dxa"/>
              <w:start w:w="120" w:type="dxa"/>
              <w:bottom w:w="100" w:type="dxa"/>
              <w:end w:w="120" w:type="dxa"/>
            </w:tcMar>
          </w:tcPr>
          <w:p>
            <w:pPr>
              <w:spacing w:after="0"/>
            </w:pPr>
            <w:r>
              <w:rPr>
                <w:sz w:val="16"/>
              </w:rPr>
              <w:t>Suicide risk, abuse, overdose, dangerous withdrawal, acute illness, unsafe shelter, or imminent violence.</w:t>
            </w:r>
          </w:p>
        </w:tc>
      </w:tr>
      <w:tr>
        <w:trPr>
          <w:cantSplit/>
        </w:trPr>
        <w:tc>
          <w:tcPr>
            <w:tcW w:type="dxa" w:w="3024"/>
            <w:tcMar>
              <w:top w:w="100" w:type="dxa"/>
              <w:start w:w="120" w:type="dxa"/>
              <w:bottom w:w="100" w:type="dxa"/>
              <w:end w:w="120" w:type="dxa"/>
            </w:tcMar>
            <w:shd w:fill="F7F8FA"/>
          </w:tcPr>
          <w:p>
            <w:pPr>
              <w:spacing w:after="0"/>
            </w:pPr>
            <w:r>
              <w:rPr>
                <w:sz w:val="16"/>
              </w:rPr>
              <w:t>Basic needs blocking care?</w:t>
            </w:r>
          </w:p>
        </w:tc>
        <w:tc>
          <w:tcPr>
            <w:tcW w:type="dxa" w:w="6912"/>
            <w:tcMar>
              <w:top w:w="100" w:type="dxa"/>
              <w:start w:w="120" w:type="dxa"/>
              <w:bottom w:w="100" w:type="dxa"/>
              <w:end w:w="120" w:type="dxa"/>
            </w:tcMar>
            <w:shd w:fill="F7F8FA"/>
          </w:tcPr>
          <w:p>
            <w:pPr>
              <w:spacing w:after="0"/>
            </w:pPr>
            <w:r>
              <w:rPr>
                <w:sz w:val="16"/>
              </w:rPr>
              <w:t>Housing, food, transportation, medication, identification, childcare, communication, or disability access.</w:t>
            </w:r>
          </w:p>
        </w:tc>
      </w:tr>
      <w:tr>
        <w:trPr>
          <w:cantSplit/>
        </w:trPr>
        <w:tc>
          <w:tcPr>
            <w:tcW w:type="dxa" w:w="3024"/>
            <w:tcMar>
              <w:top w:w="100" w:type="dxa"/>
              <w:start w:w="120" w:type="dxa"/>
              <w:bottom w:w="100" w:type="dxa"/>
              <w:end w:w="120" w:type="dxa"/>
            </w:tcMar>
          </w:tcPr>
          <w:p>
            <w:pPr>
              <w:spacing w:after="0"/>
            </w:pPr>
            <w:r>
              <w:rPr>
                <w:sz w:val="16"/>
              </w:rPr>
              <w:t>Time-sensitive system requirement?</w:t>
            </w:r>
          </w:p>
        </w:tc>
        <w:tc>
          <w:tcPr>
            <w:tcW w:type="dxa" w:w="6912"/>
            <w:tcMar>
              <w:top w:w="100" w:type="dxa"/>
              <w:start w:w="120" w:type="dxa"/>
              <w:bottom w:w="100" w:type="dxa"/>
              <w:end w:w="120" w:type="dxa"/>
            </w:tcMar>
          </w:tcPr>
          <w:p>
            <w:pPr>
              <w:spacing w:after="0"/>
            </w:pPr>
            <w:r>
              <w:rPr>
                <w:sz w:val="16"/>
              </w:rPr>
              <w:t>Benefit deadline, discharge, school meeting, court date, placement decision, or expiring authorization.</w:t>
            </w:r>
          </w:p>
        </w:tc>
      </w:tr>
      <w:tr>
        <w:trPr>
          <w:cantSplit/>
        </w:trPr>
        <w:tc>
          <w:tcPr>
            <w:tcW w:type="dxa" w:w="3024"/>
            <w:tcMar>
              <w:top w:w="100" w:type="dxa"/>
              <w:start w:w="120" w:type="dxa"/>
              <w:bottom w:w="100" w:type="dxa"/>
              <w:end w:w="120" w:type="dxa"/>
            </w:tcMar>
            <w:shd w:fill="F7F8FA"/>
          </w:tcPr>
          <w:p>
            <w:pPr>
              <w:spacing w:after="0"/>
            </w:pPr>
            <w:r>
              <w:rPr>
                <w:sz w:val="16"/>
              </w:rPr>
              <w:t>Longer-term recovery and functioning?</w:t>
            </w:r>
          </w:p>
        </w:tc>
        <w:tc>
          <w:tcPr>
            <w:tcW w:type="dxa" w:w="6912"/>
            <w:tcMar>
              <w:top w:w="100" w:type="dxa"/>
              <w:start w:w="120" w:type="dxa"/>
              <w:bottom w:w="100" w:type="dxa"/>
              <w:end w:w="120" w:type="dxa"/>
            </w:tcMar>
            <w:shd w:fill="F7F8FA"/>
          </w:tcPr>
          <w:p>
            <w:pPr>
              <w:spacing w:after="0"/>
            </w:pPr>
            <w:r>
              <w:rPr>
                <w:sz w:val="16"/>
              </w:rPr>
              <w:t>Therapy, employment, education, family support, community integration, and prevention.</w:t>
            </w:r>
          </w:p>
        </w:tc>
      </w:tr>
    </w:tbl>
    <w:p>
      <w:pPr>
        <w:spacing w:after="0"/>
      </w:pPr>
    </w:p>
    <w:p>
      <w:pPr>
        <w:pStyle w:val="Heading1"/>
      </w:pPr>
      <w:r>
        <w:t>4. Client-System and Service Mapping</w:t>
      </w:r>
    </w:p>
    <w:p>
      <w:r>
        <w:rPr>
          <w:i w:val="0"/>
        </w:rPr>
        <w:t>A service map identifies the client’s natural supports, family or caregivers, health and behavioral-health providers, schools, employers, benefit systems, housing, legal resources, community organizations, and informal supports. The social worker looks for gaps, duplication, conflicting plans, inaccessible requirements, and unclear responsibility. The map should remain understandable to the client.</w:t>
      </w:r>
    </w:p>
    <w:tbl>
      <w:tblPr>
        <w:tblW w:type="auto" w:w="0"/>
        <w:jc w:val="center"/>
        <w:tblLayout w:type="fixed"/>
        <w:tblLook w:firstColumn="1" w:firstRow="1" w:lastColumn="0" w:lastRow="0" w:noHBand="0" w:noVBand="1" w:val="04A0"/>
      </w:tblPr>
      <w:tblGrid>
        <w:gridCol w:w="9936"/>
      </w:tblGrid>
      <w:tr>
        <w:trPr>
          <w:cantSplit/>
          <w:tblHeader/>
        </w:trPr>
        <w:tc>
          <w:tcPr>
            <w:tcW w:type="dxa" w:w="10080"/>
            <w:shd w:fill="E7F5F4"/>
            <w:tcMar>
              <w:top w:w="150" w:type="dxa"/>
              <w:start w:w="180" w:type="dxa"/>
              <w:bottom w:w="150" w:type="dxa"/>
              <w:end w:w="180" w:type="dxa"/>
            </w:tcMar>
          </w:tcPr>
          <w:p>
            <w:pPr>
              <w:spacing w:after="80"/>
            </w:pPr>
            <w:r>
              <w:rPr>
                <w:b/>
                <w:i w:val="0"/>
                <w:color w:val="0F7C82"/>
              </w:rPr>
              <w:t>Mapping Check</w:t>
            </w:r>
          </w:p>
          <w:p>
            <w:pPr>
              <w:spacing w:after="0"/>
            </w:pPr>
            <w:r>
              <w:t>Who is involved, what is each person or agency responsible for, what barrier exists, and who owns the next step?</w:t>
            </w:r>
          </w:p>
        </w:tc>
      </w:tr>
    </w:tbl>
    <w:p>
      <w:pPr>
        <w:spacing w:after="0"/>
      </w:pPr>
    </w:p>
    <w:p>
      <w:pPr>
        <w:pStyle w:val="Heading1"/>
      </w:pPr>
      <w:r>
        <w:t>5. Resource Matching, Eligibility, and Accessibility</w:t>
      </w:r>
    </w:p>
    <w:p>
      <w:r>
        <w:rPr>
          <w:i w:val="0"/>
        </w:rPr>
        <w:t>A resource is useful only when it matches the need and the client can realistically access it. The social worker checks eligibility, documentation, language, disability access, cultural responsiveness, cost, transportation, technology, hours, waitlists, childcare, location, safety, and client preference. Missed appointments or incomplete applications are assessment data, not automatic evidence of poor motivation.</w:t>
      </w:r>
    </w:p>
    <w:tbl>
      <w:tblPr>
        <w:tblStyle w:val="TableGrid"/>
        <w:tblW w:type="auto" w:w="0"/>
        <w:jc w:val="center"/>
        <w:tblLayout w:type="fixed"/>
        <w:tblLook w:firstColumn="1" w:firstRow="1" w:lastColumn="0" w:lastRow="0" w:noHBand="0" w:noVBand="1" w:val="04A0"/>
      </w:tblPr>
      <w:tblGrid>
        <w:gridCol w:w="2592"/>
        <w:gridCol w:w="7344"/>
      </w:tblGrid>
      <w:tr>
        <w:trPr>
          <w:tblHeader w:val="true"/>
          <w:cantSplit/>
        </w:trPr>
        <w:tc>
          <w:tcPr>
            <w:tcW w:type="dxa" w:w="5040"/>
            <w:shd w:fill="17365D"/>
            <w:tcMar>
              <w:top w:w="100" w:type="dxa"/>
              <w:start w:w="120" w:type="dxa"/>
              <w:bottom w:w="100" w:type="dxa"/>
              <w:end w:w="120" w:type="dxa"/>
            </w:tcMar>
          </w:tcPr>
          <w:p>
            <w:pPr>
              <w:spacing w:after="0"/>
            </w:pPr>
            <w:r>
              <w:rPr>
                <w:b/>
                <w:color w:val="FFFFFF"/>
                <w:sz w:val="16"/>
              </w:rPr>
              <w:t>Resource Question</w:t>
            </w:r>
          </w:p>
        </w:tc>
        <w:tc>
          <w:tcPr>
            <w:tcW w:type="dxa" w:w="5040"/>
            <w:shd w:fill="17365D"/>
            <w:tcMar>
              <w:top w:w="100" w:type="dxa"/>
              <w:start w:w="120" w:type="dxa"/>
              <w:bottom w:w="100" w:type="dxa"/>
              <w:end w:w="120" w:type="dxa"/>
            </w:tcMar>
          </w:tcPr>
          <w:p>
            <w:pPr>
              <w:spacing w:after="0"/>
            </w:pPr>
            <w:r>
              <w:rPr>
                <w:b/>
                <w:color w:val="FFFFFF"/>
                <w:sz w:val="16"/>
              </w:rPr>
              <w:t>What to Verify</w:t>
            </w:r>
          </w:p>
        </w:tc>
      </w:tr>
      <w:tr>
        <w:trPr>
          <w:cantSplit/>
        </w:trPr>
        <w:tc>
          <w:tcPr>
            <w:tcW w:type="dxa" w:w="2592"/>
            <w:tcMar>
              <w:top w:w="100" w:type="dxa"/>
              <w:start w:w="120" w:type="dxa"/>
              <w:bottom w:w="100" w:type="dxa"/>
              <w:end w:w="120" w:type="dxa"/>
            </w:tcMar>
          </w:tcPr>
          <w:p>
            <w:pPr>
              <w:spacing w:after="0"/>
            </w:pPr>
            <w:r>
              <w:rPr>
                <w:sz w:val="16"/>
              </w:rPr>
              <w:t>Does it match the need?</w:t>
            </w:r>
          </w:p>
        </w:tc>
        <w:tc>
          <w:tcPr>
            <w:tcW w:type="dxa" w:w="7344"/>
            <w:tcMar>
              <w:top w:w="100" w:type="dxa"/>
              <w:start w:w="120" w:type="dxa"/>
              <w:bottom w:w="100" w:type="dxa"/>
              <w:end w:w="120" w:type="dxa"/>
            </w:tcMar>
          </w:tcPr>
          <w:p>
            <w:pPr>
              <w:spacing w:after="0"/>
            </w:pPr>
            <w:r>
              <w:rPr>
                <w:sz w:val="16"/>
              </w:rPr>
              <w:t>Function, specialty, intensity, population, urgency, and service quality.</w:t>
            </w:r>
          </w:p>
        </w:tc>
      </w:tr>
      <w:tr>
        <w:trPr>
          <w:cantSplit/>
        </w:trPr>
        <w:tc>
          <w:tcPr>
            <w:tcW w:type="dxa" w:w="2592"/>
            <w:tcMar>
              <w:top w:w="100" w:type="dxa"/>
              <w:start w:w="120" w:type="dxa"/>
              <w:bottom w:w="100" w:type="dxa"/>
              <w:end w:w="120" w:type="dxa"/>
            </w:tcMar>
            <w:shd w:fill="F7F8FA"/>
          </w:tcPr>
          <w:p>
            <w:pPr>
              <w:spacing w:after="0"/>
            </w:pPr>
            <w:r>
              <w:rPr>
                <w:sz w:val="16"/>
              </w:rPr>
              <w:t>Can the client qualify?</w:t>
            </w:r>
          </w:p>
        </w:tc>
        <w:tc>
          <w:tcPr>
            <w:tcW w:type="dxa" w:w="7344"/>
            <w:tcMar>
              <w:top w:w="100" w:type="dxa"/>
              <w:start w:w="120" w:type="dxa"/>
              <w:bottom w:w="100" w:type="dxa"/>
              <w:end w:w="120" w:type="dxa"/>
            </w:tcMar>
            <w:shd w:fill="F7F8FA"/>
          </w:tcPr>
          <w:p>
            <w:pPr>
              <w:spacing w:after="0"/>
            </w:pPr>
            <w:r>
              <w:rPr>
                <w:sz w:val="16"/>
              </w:rPr>
              <w:t>Eligibility, documentation, referral, insurance, location, age, income, and status requirements.</w:t>
            </w:r>
          </w:p>
        </w:tc>
      </w:tr>
      <w:tr>
        <w:trPr>
          <w:cantSplit/>
        </w:trPr>
        <w:tc>
          <w:tcPr>
            <w:tcW w:type="dxa" w:w="2592"/>
            <w:tcMar>
              <w:top w:w="100" w:type="dxa"/>
              <w:start w:w="120" w:type="dxa"/>
              <w:bottom w:w="100" w:type="dxa"/>
              <w:end w:w="120" w:type="dxa"/>
            </w:tcMar>
          </w:tcPr>
          <w:p>
            <w:pPr>
              <w:spacing w:after="0"/>
            </w:pPr>
            <w:r>
              <w:rPr>
                <w:sz w:val="16"/>
              </w:rPr>
              <w:t>Can the client use it?</w:t>
            </w:r>
          </w:p>
        </w:tc>
        <w:tc>
          <w:tcPr>
            <w:tcW w:type="dxa" w:w="7344"/>
            <w:tcMar>
              <w:top w:w="100" w:type="dxa"/>
              <w:start w:w="120" w:type="dxa"/>
              <w:bottom w:w="100" w:type="dxa"/>
              <w:end w:w="120" w:type="dxa"/>
            </w:tcMar>
          </w:tcPr>
          <w:p>
            <w:pPr>
              <w:spacing w:after="0"/>
            </w:pPr>
            <w:r>
              <w:rPr>
                <w:sz w:val="16"/>
              </w:rPr>
              <w:t>Language, literacy, disability access, transportation, technology, childcare, cost, hours, privacy, and safety.</w:t>
            </w:r>
          </w:p>
        </w:tc>
      </w:tr>
      <w:tr>
        <w:trPr>
          <w:cantSplit/>
        </w:trPr>
        <w:tc>
          <w:tcPr>
            <w:tcW w:type="dxa" w:w="2592"/>
            <w:tcMar>
              <w:top w:w="100" w:type="dxa"/>
              <w:start w:w="120" w:type="dxa"/>
              <w:bottom w:w="100" w:type="dxa"/>
              <w:end w:w="120" w:type="dxa"/>
            </w:tcMar>
            <w:shd w:fill="F7F8FA"/>
          </w:tcPr>
          <w:p>
            <w:pPr>
              <w:spacing w:after="0"/>
            </w:pPr>
            <w:r>
              <w:rPr>
                <w:sz w:val="16"/>
              </w:rPr>
              <w:t>Does the client choose it?</w:t>
            </w:r>
          </w:p>
        </w:tc>
        <w:tc>
          <w:tcPr>
            <w:tcW w:type="dxa" w:w="7344"/>
            <w:tcMar>
              <w:top w:w="100" w:type="dxa"/>
              <w:start w:w="120" w:type="dxa"/>
              <w:bottom w:w="100" w:type="dxa"/>
              <w:end w:w="120" w:type="dxa"/>
            </w:tcMar>
            <w:shd w:fill="F7F8FA"/>
          </w:tcPr>
          <w:p>
            <w:pPr>
              <w:spacing w:after="0"/>
            </w:pPr>
            <w:r>
              <w:rPr>
                <w:sz w:val="16"/>
              </w:rPr>
              <w:t>Understanding, preferences, risks, cultural fit, and alternatives.</w:t>
            </w:r>
          </w:p>
        </w:tc>
      </w:tr>
    </w:tbl>
    <w:p>
      <w:pPr>
        <w:spacing w:after="0"/>
      </w:pPr>
    </w:p>
    <w:p>
      <w:pPr>
        <w:pStyle w:val="Heading1"/>
      </w:pPr>
      <w:r>
        <w:t>6. Warm Handoffs and Navigation</w:t>
      </w:r>
    </w:p>
    <w:p>
      <w:r>
        <w:rPr>
          <w:i w:val="0"/>
        </w:rPr>
        <w:t>A warm handoff may include obtaining authorization, contacting the receiving provider with the client, sending limited relevant information, scheduling or confirming the first step, preparing the client for what to expect, and checking whether entry occurred. The intensity of the handoff should match the client’s need, urgency, capacity, and preference.</w:t>
      </w:r>
    </w:p>
    <w:p>
      <w:pPr>
        <w:pStyle w:val="ListNumber"/>
      </w:pPr>
      <w:r>
        <w:t>Clarify the need and why the referral is recommended.</w:t>
      </w:r>
    </w:p>
    <w:p>
      <w:pPr>
        <w:pStyle w:val="ListNumber"/>
      </w:pPr>
      <w:r>
        <w:t>Discuss options and obtain informed participation and necessary authorization.</w:t>
      </w:r>
    </w:p>
    <w:p>
      <w:pPr>
        <w:pStyle w:val="ListNumber"/>
      </w:pPr>
      <w:r>
        <w:t>Verify fit, eligibility, access, and expected wait time.</w:t>
      </w:r>
    </w:p>
    <w:p>
      <w:pPr>
        <w:pStyle w:val="ListNumber"/>
      </w:pPr>
      <w:r>
        <w:t>Connect the client with the receiving service and clarify responsibility.</w:t>
      </w:r>
    </w:p>
    <w:p>
      <w:pPr>
        <w:pStyle w:val="ListNumber"/>
      </w:pPr>
      <w:r>
        <w:t>Confirm whether contact and entry occurred.</w:t>
      </w:r>
    </w:p>
    <w:p>
      <w:pPr>
        <w:pStyle w:val="ListNumber"/>
      </w:pPr>
      <w:r>
        <w:t>Revise the plan if the service is unavailable, inaccessible, or ineffective.</w:t>
      </w:r>
    </w:p>
    <w:p>
      <w:pPr>
        <w:pStyle w:val="Heading1"/>
      </w:pPr>
      <w:r>
        <w:t>7. Advocacy at the Correct Level</w:t>
      </w:r>
    </w:p>
    <w:p>
      <w:r>
        <w:rPr>
          <w:i w:val="0"/>
        </w:rPr>
        <w:t>Advocacy may occur with a provider, agency, school, employer, insurer, benefit system, court-related service, community organization, or policy process. The social worker begins with the client’s goal and the barrier, assesses risk and power, and chooses the least intrusive effective strategy. Advocacy should expand client voice and access rather than substitute professional control for client participation.</w:t>
      </w:r>
    </w:p>
    <w:tbl>
      <w:tblPr>
        <w:tblStyle w:val="TableGrid"/>
        <w:tblW w:type="auto" w:w="0"/>
        <w:jc w:val="center"/>
        <w:tblLayout w:type="fixed"/>
        <w:tblLook w:firstColumn="1" w:firstRow="1" w:lastColumn="0" w:lastRow="0" w:noHBand="0" w:noVBand="1" w:val="04A0"/>
      </w:tblPr>
      <w:tblGrid>
        <w:gridCol w:w="2448"/>
        <w:gridCol w:w="7488"/>
      </w:tblGrid>
      <w:tr>
        <w:trPr>
          <w:tblHeader w:val="true"/>
          <w:cantSplit/>
        </w:trPr>
        <w:tc>
          <w:tcPr>
            <w:tcW w:type="dxa" w:w="5040"/>
            <w:shd w:fill="17365D"/>
            <w:tcMar>
              <w:top w:w="100" w:type="dxa"/>
              <w:start w:w="120" w:type="dxa"/>
              <w:bottom w:w="100" w:type="dxa"/>
              <w:end w:w="120" w:type="dxa"/>
            </w:tcMar>
          </w:tcPr>
          <w:p>
            <w:pPr>
              <w:spacing w:after="0"/>
            </w:pPr>
            <w:r>
              <w:rPr>
                <w:b/>
                <w:color w:val="FFFFFF"/>
                <w:sz w:val="16"/>
              </w:rPr>
              <w:t>Level</w:t>
            </w:r>
          </w:p>
        </w:tc>
        <w:tc>
          <w:tcPr>
            <w:tcW w:type="dxa" w:w="5040"/>
            <w:shd w:fill="17365D"/>
            <w:tcMar>
              <w:top w:w="100" w:type="dxa"/>
              <w:start w:w="120" w:type="dxa"/>
              <w:bottom w:w="100" w:type="dxa"/>
              <w:end w:w="120" w:type="dxa"/>
            </w:tcMar>
          </w:tcPr>
          <w:p>
            <w:pPr>
              <w:spacing w:after="0"/>
            </w:pPr>
            <w:r>
              <w:rPr>
                <w:b/>
                <w:color w:val="FFFFFF"/>
                <w:sz w:val="16"/>
              </w:rPr>
              <w:t>Possible Actions</w:t>
            </w:r>
          </w:p>
        </w:tc>
      </w:tr>
      <w:tr>
        <w:trPr>
          <w:cantSplit/>
        </w:trPr>
        <w:tc>
          <w:tcPr>
            <w:tcW w:type="dxa" w:w="2448"/>
            <w:tcMar>
              <w:top w:w="100" w:type="dxa"/>
              <w:start w:w="120" w:type="dxa"/>
              <w:bottom w:w="100" w:type="dxa"/>
              <w:end w:w="120" w:type="dxa"/>
            </w:tcMar>
          </w:tcPr>
          <w:p>
            <w:pPr>
              <w:spacing w:after="0"/>
            </w:pPr>
            <w:r>
              <w:rPr>
                <w:sz w:val="16"/>
              </w:rPr>
              <w:t>Case advocacy</w:t>
            </w:r>
          </w:p>
        </w:tc>
        <w:tc>
          <w:tcPr>
            <w:tcW w:type="dxa" w:w="7488"/>
            <w:tcMar>
              <w:top w:w="100" w:type="dxa"/>
              <w:start w:w="120" w:type="dxa"/>
              <w:bottom w:w="100" w:type="dxa"/>
              <w:end w:w="120" w:type="dxa"/>
            </w:tcMar>
          </w:tcPr>
          <w:p>
            <w:pPr>
              <w:spacing w:after="0"/>
            </w:pPr>
            <w:r>
              <w:rPr>
                <w:sz w:val="16"/>
              </w:rPr>
              <w:t>Clarify a decision, request accommodation, correct an error, support an appeal, prepare the client, or negotiate access.</w:t>
            </w:r>
          </w:p>
        </w:tc>
      </w:tr>
      <w:tr>
        <w:trPr>
          <w:cantSplit/>
        </w:trPr>
        <w:tc>
          <w:tcPr>
            <w:tcW w:type="dxa" w:w="2448"/>
            <w:tcMar>
              <w:top w:w="100" w:type="dxa"/>
              <w:start w:w="120" w:type="dxa"/>
              <w:bottom w:w="100" w:type="dxa"/>
              <w:end w:w="120" w:type="dxa"/>
            </w:tcMar>
            <w:shd w:fill="F7F8FA"/>
          </w:tcPr>
          <w:p>
            <w:pPr>
              <w:spacing w:after="0"/>
            </w:pPr>
            <w:r>
              <w:rPr>
                <w:sz w:val="16"/>
              </w:rPr>
              <w:t>Organizational advocacy</w:t>
            </w:r>
          </w:p>
        </w:tc>
        <w:tc>
          <w:tcPr>
            <w:tcW w:type="dxa" w:w="7488"/>
            <w:tcMar>
              <w:top w:w="100" w:type="dxa"/>
              <w:start w:w="120" w:type="dxa"/>
              <w:bottom w:w="100" w:type="dxa"/>
              <w:end w:w="120" w:type="dxa"/>
            </w:tcMar>
            <w:shd w:fill="F7F8FA"/>
          </w:tcPr>
          <w:p>
            <w:pPr>
              <w:spacing w:after="0"/>
            </w:pPr>
            <w:r>
              <w:rPr>
                <w:sz w:val="16"/>
              </w:rPr>
              <w:t>Address repeated barriers, inaccessible procedures, discriminatory practices, or coordination failures within an agency.</w:t>
            </w:r>
          </w:p>
        </w:tc>
      </w:tr>
      <w:tr>
        <w:trPr>
          <w:cantSplit/>
        </w:trPr>
        <w:tc>
          <w:tcPr>
            <w:tcW w:type="dxa" w:w="2448"/>
            <w:tcMar>
              <w:top w:w="100" w:type="dxa"/>
              <w:start w:w="120" w:type="dxa"/>
              <w:bottom w:w="100" w:type="dxa"/>
              <w:end w:w="120" w:type="dxa"/>
            </w:tcMar>
          </w:tcPr>
          <w:p>
            <w:pPr>
              <w:spacing w:after="0"/>
            </w:pPr>
            <w:r>
              <w:rPr>
                <w:sz w:val="16"/>
              </w:rPr>
              <w:t>Community or policy advocacy</w:t>
            </w:r>
          </w:p>
        </w:tc>
        <w:tc>
          <w:tcPr>
            <w:tcW w:type="dxa" w:w="7488"/>
            <w:tcMar>
              <w:top w:w="100" w:type="dxa"/>
              <w:start w:w="120" w:type="dxa"/>
              <w:bottom w:w="100" w:type="dxa"/>
              <w:end w:w="120" w:type="dxa"/>
            </w:tcMar>
          </w:tcPr>
          <w:p>
            <w:pPr>
              <w:spacing w:after="0"/>
            </w:pPr>
            <w:r>
              <w:rPr>
                <w:sz w:val="16"/>
              </w:rPr>
              <w:t>Support affected groups in identifying priorities, building leadership, gathering evidence, engaging decision makers, and evaluating change.</w:t>
            </w:r>
          </w:p>
        </w:tc>
      </w:tr>
    </w:tbl>
    <w:p>
      <w:pPr>
        <w:spacing w:after="0"/>
      </w:pPr>
    </w:p>
    <w:p>
      <w:pPr>
        <w:pStyle w:val="Heading1"/>
      </w:pPr>
      <w:r>
        <w:t>8. Interdisciplinary Collaboration and Role Clarity</w:t>
      </w:r>
    </w:p>
    <w:p>
      <w:r>
        <w:rPr>
          <w:i w:val="0"/>
        </w:rPr>
        <w:t>Interdisciplinary work requires clarity about professional roles, authority, scope, decision-making responsibility, and client participation. The social worker translates systems into understandable language, identifies disagreement, prevents tasks from being assumed or duplicated, and documents the plan. Collaboration does not authorize unlimited information sharing.</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cantSplit/>
        </w:trPr>
        <w:tc>
          <w:tcPr>
            <w:tcW w:type="dxa" w:w="3360"/>
            <w:shd w:fill="17365D"/>
            <w:tcMar>
              <w:top w:w="100" w:type="dxa"/>
              <w:start w:w="120" w:type="dxa"/>
              <w:bottom w:w="100" w:type="dxa"/>
              <w:end w:w="120" w:type="dxa"/>
            </w:tcMar>
          </w:tcPr>
          <w:p>
            <w:pPr>
              <w:spacing w:after="0"/>
            </w:pPr>
            <w:r>
              <w:rPr>
                <w:b/>
                <w:color w:val="FFFFFF"/>
                <w:sz w:val="16"/>
              </w:rPr>
              <w:t>Before</w:t>
            </w:r>
          </w:p>
        </w:tc>
        <w:tc>
          <w:tcPr>
            <w:tcW w:type="dxa" w:w="3360"/>
            <w:shd w:fill="17365D"/>
            <w:tcMar>
              <w:top w:w="100" w:type="dxa"/>
              <w:start w:w="120" w:type="dxa"/>
              <w:bottom w:w="100" w:type="dxa"/>
              <w:end w:w="120" w:type="dxa"/>
            </w:tcMar>
          </w:tcPr>
          <w:p>
            <w:pPr>
              <w:spacing w:after="0"/>
            </w:pPr>
            <w:r>
              <w:rPr>
                <w:b/>
                <w:color w:val="FFFFFF"/>
                <w:sz w:val="16"/>
              </w:rPr>
              <w:t>During</w:t>
            </w:r>
          </w:p>
        </w:tc>
        <w:tc>
          <w:tcPr>
            <w:tcW w:type="dxa" w:w="3360"/>
            <w:shd w:fill="17365D"/>
            <w:tcMar>
              <w:top w:w="100" w:type="dxa"/>
              <w:start w:w="120" w:type="dxa"/>
              <w:bottom w:w="100" w:type="dxa"/>
              <w:end w:w="120" w:type="dxa"/>
            </w:tcMar>
          </w:tcPr>
          <w:p>
            <w:pPr>
              <w:spacing w:after="0"/>
            </w:pPr>
            <w:r>
              <w:rPr>
                <w:b/>
                <w:color w:val="FFFFFF"/>
                <w:sz w:val="16"/>
              </w:rPr>
              <w:t>After</w:t>
            </w:r>
          </w:p>
        </w:tc>
      </w:tr>
      <w:tr>
        <w:trPr>
          <w:cantSplit/>
        </w:trPr>
        <w:tc>
          <w:tcPr>
            <w:tcW w:type="dxa" w:w="3312"/>
            <w:tcMar>
              <w:top w:w="100" w:type="dxa"/>
              <w:start w:w="120" w:type="dxa"/>
              <w:bottom w:w="100" w:type="dxa"/>
              <w:end w:w="120" w:type="dxa"/>
            </w:tcMar>
          </w:tcPr>
          <w:p>
            <w:pPr>
              <w:spacing w:after="0"/>
            </w:pPr>
            <w:r>
              <w:rPr>
                <w:sz w:val="16"/>
              </w:rPr>
              <w:t>Clarify the client’s goals, consent, concerns, preferred participants, and the social worker’s role.</w:t>
            </w:r>
          </w:p>
        </w:tc>
        <w:tc>
          <w:tcPr>
            <w:tcW w:type="dxa" w:w="3312"/>
            <w:tcMar>
              <w:top w:w="100" w:type="dxa"/>
              <w:start w:w="120" w:type="dxa"/>
              <w:bottom w:w="100" w:type="dxa"/>
              <w:end w:w="120" w:type="dxa"/>
            </w:tcMar>
          </w:tcPr>
          <w:p>
            <w:pPr>
              <w:spacing w:after="0"/>
            </w:pPr>
            <w:r>
              <w:rPr>
                <w:sz w:val="16"/>
              </w:rPr>
              <w:t>Use understandable language, name role or plan confusion, invite client participation, and assign responsibility.</w:t>
            </w:r>
          </w:p>
        </w:tc>
        <w:tc>
          <w:tcPr>
            <w:tcW w:type="dxa" w:w="3312"/>
            <w:tcMar>
              <w:top w:w="100" w:type="dxa"/>
              <w:start w:w="120" w:type="dxa"/>
              <w:bottom w:w="100" w:type="dxa"/>
              <w:end w:w="120" w:type="dxa"/>
            </w:tcMar>
          </w:tcPr>
          <w:p>
            <w:pPr>
              <w:spacing w:after="0"/>
            </w:pPr>
            <w:r>
              <w:rPr>
                <w:sz w:val="16"/>
              </w:rPr>
              <w:t>Document decisions, disclosures, tasks, deadlines, barriers, and the next review point.</w:t>
            </w:r>
          </w:p>
        </w:tc>
      </w:tr>
    </w:tbl>
    <w:p>
      <w:pPr>
        <w:spacing w:after="0"/>
      </w:pPr>
    </w:p>
    <w:p>
      <w:pPr>
        <w:pStyle w:val="Heading1"/>
      </w:pPr>
      <w:r>
        <w:t>9. Consent, Confidentiality, and Minimum Necessary Information</w:t>
      </w:r>
    </w:p>
    <w:p>
      <w:r>
        <w:rPr>
          <w:i w:val="0"/>
        </w:rPr>
        <w:t>The social worker clarifies the purpose of coordination, the client’s authorization, the recipient, the information needed, and the time period. When legal, safety, organizational, or capacity rules affect disclosure, the social worker applies the governing requirement and shares only what is necessary for the defined purpose. Clients should understand who is involved and what information will be exchanged whenever possible.</w:t>
      </w:r>
    </w:p>
    <w:tbl>
      <w:tblPr>
        <w:tblW w:type="auto" w:w="0"/>
        <w:jc w:val="center"/>
        <w:tblLayout w:type="fixed"/>
        <w:tblLook w:firstColumn="1" w:firstRow="1" w:lastColumn="0" w:lastRow="0" w:noHBand="0" w:noVBand="1" w:val="04A0"/>
      </w:tblPr>
      <w:tblGrid>
        <w:gridCol w:w="9936"/>
      </w:tblGrid>
      <w:tr>
        <w:trPr>
          <w:cantSplit/>
          <w:tblHeader/>
        </w:trPr>
        <w:tc>
          <w:tcPr>
            <w:tcW w:type="dxa" w:w="10080"/>
            <w:shd w:fill="FCE8E6"/>
            <w:tcMar>
              <w:top w:w="150" w:type="dxa"/>
              <w:start w:w="180" w:type="dxa"/>
              <w:bottom w:w="150" w:type="dxa"/>
              <w:end w:w="180" w:type="dxa"/>
            </w:tcMar>
          </w:tcPr>
          <w:p>
            <w:pPr>
              <w:spacing w:after="80"/>
            </w:pPr>
            <w:r>
              <w:rPr>
                <w:b/>
                <w:i w:val="0"/>
                <w:color w:val="9C2B2E"/>
              </w:rPr>
              <w:t>Disclosure Rule</w:t>
            </w:r>
          </w:p>
          <w:p>
            <w:pPr>
              <w:spacing w:after="0"/>
            </w:pPr>
            <w:r>
              <w:t>Collaboration is a purpose, not blanket permission. Define authority, recipient, relevance, and limits.</w:t>
            </w:r>
          </w:p>
        </w:tc>
      </w:tr>
    </w:tbl>
    <w:p>
      <w:pPr>
        <w:spacing w:after="0"/>
      </w:pPr>
    </w:p>
    <w:p>
      <w:pPr>
        <w:pStyle w:val="Heading1"/>
      </w:pPr>
      <w:r>
        <w:t>10. Documentation, Accountability, and Follow-Through</w:t>
      </w:r>
    </w:p>
    <w:p>
      <w:r>
        <w:rPr>
          <w:i w:val="0"/>
        </w:rPr>
        <w:t>Strong coordination documentation records the client’s goals and participation, assessed needs and barriers, consent and information-sharing limits, referrals and contacts, assigned responsibilities, deadlines, outcomes, and plan revisions. Phrases such as “resources provided” or “team consulted” are weak when the record does not show what occurred or who owns the next step.</w:t>
      </w:r>
    </w:p>
    <w:tbl>
      <w:tblPr>
        <w:tblStyle w:val="TableGrid"/>
        <w:tblW w:type="auto" w:w="0"/>
        <w:jc w:val="center"/>
        <w:tblLayout w:type="fixed"/>
        <w:tblLook w:firstColumn="1" w:firstRow="1" w:lastColumn="0" w:lastRow="0" w:noHBand="0" w:noVBand="1" w:val="04A0"/>
      </w:tblPr>
      <w:tblGrid>
        <w:gridCol w:w="2880"/>
        <w:gridCol w:w="7056"/>
      </w:tblGrid>
      <w:tr>
        <w:trPr>
          <w:tblHeader w:val="true"/>
          <w:cantSplit/>
        </w:trPr>
        <w:tc>
          <w:tcPr>
            <w:tcW w:type="dxa" w:w="5040"/>
            <w:shd w:fill="17365D"/>
            <w:tcMar>
              <w:top w:w="100" w:type="dxa"/>
              <w:start w:w="120" w:type="dxa"/>
              <w:bottom w:w="100" w:type="dxa"/>
              <w:end w:w="120" w:type="dxa"/>
            </w:tcMar>
          </w:tcPr>
          <w:p>
            <w:pPr>
              <w:spacing w:after="0"/>
            </w:pPr>
            <w:r>
              <w:rPr>
                <w:b/>
                <w:color w:val="FFFFFF"/>
                <w:sz w:val="16"/>
              </w:rPr>
              <w:t>Weak Entry</w:t>
            </w:r>
          </w:p>
        </w:tc>
        <w:tc>
          <w:tcPr>
            <w:tcW w:type="dxa" w:w="5040"/>
            <w:shd w:fill="17365D"/>
            <w:tcMar>
              <w:top w:w="100" w:type="dxa"/>
              <w:start w:w="120" w:type="dxa"/>
              <w:bottom w:w="100" w:type="dxa"/>
              <w:end w:w="120" w:type="dxa"/>
            </w:tcMar>
          </w:tcPr>
          <w:p>
            <w:pPr>
              <w:spacing w:after="0"/>
            </w:pPr>
            <w:r>
              <w:rPr>
                <w:b/>
                <w:color w:val="FFFFFF"/>
                <w:sz w:val="16"/>
              </w:rPr>
              <w:t>Stronger Entry</w:t>
            </w:r>
          </w:p>
        </w:tc>
      </w:tr>
      <w:tr>
        <w:trPr>
          <w:cantSplit/>
        </w:trPr>
        <w:tc>
          <w:tcPr>
            <w:tcW w:type="dxa" w:w="2880"/>
            <w:tcMar>
              <w:top w:w="100" w:type="dxa"/>
              <w:start w:w="120" w:type="dxa"/>
              <w:bottom w:w="100" w:type="dxa"/>
              <w:end w:w="120" w:type="dxa"/>
            </w:tcMar>
          </w:tcPr>
          <w:p>
            <w:pPr>
              <w:spacing w:after="0"/>
            </w:pPr>
            <w:r>
              <w:rPr>
                <w:sz w:val="16"/>
              </w:rPr>
              <w:t>“Housing resources provided.”</w:t>
            </w:r>
          </w:p>
        </w:tc>
        <w:tc>
          <w:tcPr>
            <w:tcW w:type="dxa" w:w="7056"/>
            <w:tcMar>
              <w:top w:w="100" w:type="dxa"/>
              <w:start w:w="120" w:type="dxa"/>
              <w:bottom w:w="100" w:type="dxa"/>
              <w:end w:w="120" w:type="dxa"/>
            </w:tcMar>
          </w:tcPr>
          <w:p>
            <w:pPr>
              <w:spacing w:after="0"/>
            </w:pPr>
            <w:r>
              <w:rPr>
                <w:sz w:val="16"/>
              </w:rPr>
              <w:t>Document the housing need, options discussed, eligibility and access barriers, client choice, contact made, and follow-up date.</w:t>
            </w:r>
          </w:p>
        </w:tc>
      </w:tr>
      <w:tr>
        <w:trPr>
          <w:cantSplit/>
        </w:trPr>
        <w:tc>
          <w:tcPr>
            <w:tcW w:type="dxa" w:w="2880"/>
            <w:tcMar>
              <w:top w:w="100" w:type="dxa"/>
              <w:start w:w="120" w:type="dxa"/>
              <w:bottom w:w="100" w:type="dxa"/>
              <w:end w:w="120" w:type="dxa"/>
            </w:tcMar>
            <w:shd w:fill="F7F8FA"/>
          </w:tcPr>
          <w:p>
            <w:pPr>
              <w:spacing w:after="0"/>
            </w:pPr>
            <w:r>
              <w:rPr>
                <w:sz w:val="16"/>
              </w:rPr>
              <w:t>“Team notified.”</w:t>
            </w:r>
          </w:p>
        </w:tc>
        <w:tc>
          <w:tcPr>
            <w:tcW w:type="dxa" w:w="7056"/>
            <w:tcMar>
              <w:top w:w="100" w:type="dxa"/>
              <w:start w:w="120" w:type="dxa"/>
              <w:bottom w:w="100" w:type="dxa"/>
              <w:end w:w="120" w:type="dxa"/>
            </w:tcMar>
            <w:shd w:fill="F7F8FA"/>
          </w:tcPr>
          <w:p>
            <w:pPr>
              <w:spacing w:after="0"/>
            </w:pPr>
            <w:r>
              <w:rPr>
                <w:sz w:val="16"/>
              </w:rPr>
              <w:t>Document who was contacted, the purpose and authority, relevant information shared, response, assigned task, and deadline.</w:t>
            </w:r>
          </w:p>
        </w:tc>
      </w:tr>
      <w:tr>
        <w:trPr>
          <w:cantSplit/>
        </w:trPr>
        <w:tc>
          <w:tcPr>
            <w:tcW w:type="dxa" w:w="2880"/>
            <w:tcMar>
              <w:top w:w="100" w:type="dxa"/>
              <w:start w:w="120" w:type="dxa"/>
              <w:bottom w:w="100" w:type="dxa"/>
              <w:end w:w="120" w:type="dxa"/>
            </w:tcMar>
          </w:tcPr>
          <w:p>
            <w:pPr>
              <w:spacing w:after="0"/>
            </w:pPr>
            <w:r>
              <w:rPr>
                <w:sz w:val="16"/>
              </w:rPr>
              <w:t>“Client noncompliant.”</w:t>
            </w:r>
          </w:p>
        </w:tc>
        <w:tc>
          <w:tcPr>
            <w:tcW w:type="dxa" w:w="7056"/>
            <w:tcMar>
              <w:top w:w="100" w:type="dxa"/>
              <w:start w:w="120" w:type="dxa"/>
              <w:bottom w:w="100" w:type="dxa"/>
              <w:end w:w="120" w:type="dxa"/>
            </w:tcMar>
          </w:tcPr>
          <w:p>
            <w:pPr>
              <w:spacing w:after="0"/>
            </w:pPr>
            <w:r>
              <w:rPr>
                <w:sz w:val="16"/>
              </w:rPr>
              <w:t>Describe the observable event, client explanation, barriers assessed, options offered, and revised plan.</w:t>
            </w:r>
          </w:p>
        </w:tc>
      </w:tr>
      <w:tr>
        <w:trPr>
          <w:cantSplit/>
        </w:trPr>
        <w:tc>
          <w:tcPr>
            <w:tcW w:type="dxa" w:w="2880"/>
            <w:tcMar>
              <w:top w:w="100" w:type="dxa"/>
              <w:start w:w="120" w:type="dxa"/>
              <w:bottom w:w="100" w:type="dxa"/>
              <w:end w:w="120" w:type="dxa"/>
            </w:tcMar>
            <w:shd w:fill="F7F8FA"/>
          </w:tcPr>
          <w:p>
            <w:pPr>
              <w:spacing w:after="0"/>
            </w:pPr>
            <w:r>
              <w:rPr>
                <w:sz w:val="16"/>
              </w:rPr>
              <w:t>“Referral complete.”</w:t>
            </w:r>
          </w:p>
        </w:tc>
        <w:tc>
          <w:tcPr>
            <w:tcW w:type="dxa" w:w="7056"/>
            <w:tcMar>
              <w:top w:w="100" w:type="dxa"/>
              <w:start w:w="120" w:type="dxa"/>
              <w:bottom w:w="100" w:type="dxa"/>
              <w:end w:w="120" w:type="dxa"/>
            </w:tcMar>
            <w:shd w:fill="F7F8FA"/>
          </w:tcPr>
          <w:p>
            <w:pPr>
              <w:spacing w:after="0"/>
            </w:pPr>
            <w:r>
              <w:rPr>
                <w:sz w:val="16"/>
              </w:rPr>
              <w:t>Confirm whether the receiving service accepted the referral and whether the client accessed the service.</w:t>
            </w:r>
          </w:p>
        </w:tc>
      </w:tr>
    </w:tbl>
    <w:p>
      <w:pPr>
        <w:spacing w:after="0"/>
      </w:pPr>
    </w:p>
    <w:p>
      <w:pPr>
        <w:pStyle w:val="Heading1"/>
      </w:pPr>
      <w:r>
        <w:t>11. High-Impact Resource Domains</w:t>
      </w:r>
    </w:p>
    <w:tbl>
      <w:tblPr>
        <w:tblStyle w:val="TableGrid"/>
        <w:tblW w:type="auto" w:w="0"/>
        <w:jc w:val="center"/>
        <w:tblLayout w:type="fixed"/>
        <w:tblLook w:firstColumn="1" w:firstRow="1" w:lastColumn="0" w:lastRow="0" w:noHBand="0" w:noVBand="1" w:val="04A0"/>
      </w:tblPr>
      <w:tblGrid>
        <w:gridCol w:w="2376"/>
        <w:gridCol w:w="7560"/>
      </w:tblGrid>
      <w:tr>
        <w:trPr>
          <w:tblHeader w:val="true"/>
          <w:cantSplit/>
        </w:trPr>
        <w:tc>
          <w:tcPr>
            <w:tcW w:type="dxa" w:w="5040"/>
            <w:shd w:fill="17365D"/>
            <w:tcMar>
              <w:top w:w="100" w:type="dxa"/>
              <w:start w:w="120" w:type="dxa"/>
              <w:bottom w:w="100" w:type="dxa"/>
              <w:end w:w="120" w:type="dxa"/>
            </w:tcMar>
          </w:tcPr>
          <w:p>
            <w:pPr>
              <w:spacing w:after="0"/>
            </w:pPr>
            <w:r>
              <w:rPr>
                <w:b/>
                <w:color w:val="FFFFFF"/>
                <w:sz w:val="16"/>
              </w:rPr>
              <w:t>Domain</w:t>
            </w:r>
          </w:p>
        </w:tc>
        <w:tc>
          <w:tcPr>
            <w:tcW w:type="dxa" w:w="5040"/>
            <w:shd w:fill="17365D"/>
            <w:tcMar>
              <w:top w:w="100" w:type="dxa"/>
              <w:start w:w="120" w:type="dxa"/>
              <w:bottom w:w="100" w:type="dxa"/>
              <w:end w:w="120" w:type="dxa"/>
            </w:tcMar>
          </w:tcPr>
          <w:p>
            <w:pPr>
              <w:spacing w:after="0"/>
            </w:pPr>
            <w:r>
              <w:rPr>
                <w:b/>
                <w:color w:val="FFFFFF"/>
                <w:sz w:val="16"/>
              </w:rPr>
              <w:t>Assessment and Coordination Considerations</w:t>
            </w:r>
          </w:p>
        </w:tc>
      </w:tr>
      <w:tr>
        <w:trPr>
          <w:cantSplit/>
        </w:trPr>
        <w:tc>
          <w:tcPr>
            <w:tcW w:type="dxa" w:w="2376"/>
            <w:tcMar>
              <w:top w:w="100" w:type="dxa"/>
              <w:start w:w="120" w:type="dxa"/>
              <w:bottom w:w="100" w:type="dxa"/>
              <w:end w:w="120" w:type="dxa"/>
            </w:tcMar>
          </w:tcPr>
          <w:p>
            <w:pPr>
              <w:spacing w:after="0"/>
            </w:pPr>
            <w:r>
              <w:rPr>
                <w:sz w:val="16"/>
              </w:rPr>
              <w:t>Housing and food</w:t>
            </w:r>
          </w:p>
        </w:tc>
        <w:tc>
          <w:tcPr>
            <w:tcW w:type="dxa" w:w="7560"/>
            <w:tcMar>
              <w:top w:w="100" w:type="dxa"/>
              <w:start w:w="120" w:type="dxa"/>
              <w:bottom w:w="100" w:type="dxa"/>
              <w:end w:w="120" w:type="dxa"/>
            </w:tcMar>
          </w:tcPr>
          <w:p>
            <w:pPr>
              <w:spacing w:after="0"/>
            </w:pPr>
            <w:r>
              <w:rPr>
                <w:sz w:val="16"/>
              </w:rPr>
              <w:t>Immediate safety, eligibility, documentation, waitlists, location, household needs, accessibility, and prevention of displacement.</w:t>
            </w:r>
          </w:p>
        </w:tc>
      </w:tr>
      <w:tr>
        <w:trPr>
          <w:cantSplit/>
        </w:trPr>
        <w:tc>
          <w:tcPr>
            <w:tcW w:type="dxa" w:w="2376"/>
            <w:tcMar>
              <w:top w:w="100" w:type="dxa"/>
              <w:start w:w="120" w:type="dxa"/>
              <w:bottom w:w="100" w:type="dxa"/>
              <w:end w:w="120" w:type="dxa"/>
            </w:tcMar>
            <w:shd w:fill="F7F8FA"/>
          </w:tcPr>
          <w:p>
            <w:pPr>
              <w:spacing w:after="0"/>
            </w:pPr>
            <w:r>
              <w:rPr>
                <w:sz w:val="16"/>
              </w:rPr>
              <w:t>Health and medication</w:t>
            </w:r>
          </w:p>
        </w:tc>
        <w:tc>
          <w:tcPr>
            <w:tcW w:type="dxa" w:w="7560"/>
            <w:tcMar>
              <w:top w:w="100" w:type="dxa"/>
              <w:start w:w="120" w:type="dxa"/>
              <w:bottom w:w="100" w:type="dxa"/>
              <w:end w:w="120" w:type="dxa"/>
            </w:tcMar>
            <w:shd w:fill="F7F8FA"/>
          </w:tcPr>
          <w:p>
            <w:pPr>
              <w:spacing w:after="0"/>
            </w:pPr>
            <w:r>
              <w:rPr>
                <w:sz w:val="16"/>
              </w:rPr>
              <w:t>Medical urgency, insurance, transportation, pharmacy access, communication, adherence barriers, and care coordination.</w:t>
            </w:r>
          </w:p>
        </w:tc>
      </w:tr>
      <w:tr>
        <w:trPr>
          <w:cantSplit/>
        </w:trPr>
        <w:tc>
          <w:tcPr>
            <w:tcW w:type="dxa" w:w="2376"/>
            <w:tcMar>
              <w:top w:w="100" w:type="dxa"/>
              <w:start w:w="120" w:type="dxa"/>
              <w:bottom w:w="100" w:type="dxa"/>
              <w:end w:w="120" w:type="dxa"/>
            </w:tcMar>
          </w:tcPr>
          <w:p>
            <w:pPr>
              <w:spacing w:after="0"/>
            </w:pPr>
            <w:r>
              <w:rPr>
                <w:sz w:val="16"/>
              </w:rPr>
              <w:t>Disability and aging</w:t>
            </w:r>
          </w:p>
        </w:tc>
        <w:tc>
          <w:tcPr>
            <w:tcW w:type="dxa" w:w="7560"/>
            <w:tcMar>
              <w:top w:w="100" w:type="dxa"/>
              <w:start w:w="120" w:type="dxa"/>
              <w:bottom w:w="100" w:type="dxa"/>
              <w:end w:w="120" w:type="dxa"/>
            </w:tcMar>
          </w:tcPr>
          <w:p>
            <w:pPr>
              <w:spacing w:after="0"/>
            </w:pPr>
            <w:r>
              <w:rPr>
                <w:sz w:val="16"/>
              </w:rPr>
              <w:t>Accommodation, home safety, caregiving, decision support, benefits, mobility, technology, respite, and accessible services.</w:t>
            </w:r>
          </w:p>
        </w:tc>
      </w:tr>
      <w:tr>
        <w:trPr>
          <w:cantSplit/>
        </w:trPr>
        <w:tc>
          <w:tcPr>
            <w:tcW w:type="dxa" w:w="2376"/>
            <w:tcMar>
              <w:top w:w="100" w:type="dxa"/>
              <w:start w:w="120" w:type="dxa"/>
              <w:bottom w:w="100" w:type="dxa"/>
              <w:end w:w="120" w:type="dxa"/>
            </w:tcMar>
            <w:shd w:fill="F7F8FA"/>
          </w:tcPr>
          <w:p>
            <w:pPr>
              <w:spacing w:after="0"/>
            </w:pPr>
            <w:r>
              <w:rPr>
                <w:sz w:val="16"/>
              </w:rPr>
              <w:t>Education and employment</w:t>
            </w:r>
          </w:p>
        </w:tc>
        <w:tc>
          <w:tcPr>
            <w:tcW w:type="dxa" w:w="7560"/>
            <w:tcMar>
              <w:top w:w="100" w:type="dxa"/>
              <w:start w:w="120" w:type="dxa"/>
              <w:bottom w:w="100" w:type="dxa"/>
              <w:end w:w="120" w:type="dxa"/>
            </w:tcMar>
            <w:shd w:fill="F7F8FA"/>
          </w:tcPr>
          <w:p>
            <w:pPr>
              <w:spacing w:after="0"/>
            </w:pPr>
            <w:r>
              <w:rPr>
                <w:sz w:val="16"/>
              </w:rPr>
              <w:t>School supports, IEP or accommodation processes, vocational goals, discrimination, scheduling, childcare, and transportation.</w:t>
            </w:r>
          </w:p>
        </w:tc>
      </w:tr>
      <w:tr>
        <w:trPr>
          <w:cantSplit/>
        </w:trPr>
        <w:tc>
          <w:tcPr>
            <w:tcW w:type="dxa" w:w="2376"/>
            <w:tcMar>
              <w:top w:w="100" w:type="dxa"/>
              <w:start w:w="120" w:type="dxa"/>
              <w:bottom w:w="100" w:type="dxa"/>
              <w:end w:w="120" w:type="dxa"/>
            </w:tcMar>
          </w:tcPr>
          <w:p>
            <w:pPr>
              <w:spacing w:after="0"/>
            </w:pPr>
            <w:r>
              <w:rPr>
                <w:sz w:val="16"/>
              </w:rPr>
              <w:t>Benefits and identification</w:t>
            </w:r>
          </w:p>
        </w:tc>
        <w:tc>
          <w:tcPr>
            <w:tcW w:type="dxa" w:w="7560"/>
            <w:tcMar>
              <w:top w:w="100" w:type="dxa"/>
              <w:start w:w="120" w:type="dxa"/>
              <w:bottom w:w="100" w:type="dxa"/>
              <w:end w:w="120" w:type="dxa"/>
            </w:tcMar>
          </w:tcPr>
          <w:p>
            <w:pPr>
              <w:spacing w:after="0"/>
            </w:pPr>
            <w:r>
              <w:rPr>
                <w:sz w:val="16"/>
              </w:rPr>
              <w:t>Eligibility, deadlines, documentation, appeals, literacy, language access, and qualified legal or benefits consultation.</w:t>
            </w:r>
          </w:p>
        </w:tc>
      </w:tr>
    </w:tbl>
    <w:p>
      <w:pPr>
        <w:spacing w:after="0"/>
      </w:pPr>
    </w:p>
    <w:p>
      <w:pPr>
        <w:pStyle w:val="Heading1"/>
      </w:pPr>
      <w:r>
        <w:t>12. Immigration, Refugee, Language, and Legal-Service Coordination</w:t>
      </w:r>
    </w:p>
    <w:p>
      <w:r>
        <w:rPr>
          <w:i w:val="0"/>
        </w:rPr>
        <w:t>Clients may face language barriers, fear of systems, legal uncertainty, documentation problems, family separation, exploitation, or trauma. The social worker provides accurate information within competence, arranges qualified language access, identifies reputable legal or benefits resources, assesses safety and practical barriers, and supports the client’s informed decisions. The social worker does not give legal advice outside training or make absolute promises about consequences.</w:t>
      </w:r>
    </w:p>
    <w:p>
      <w:pPr>
        <w:pStyle w:val="Heading1"/>
      </w:pPr>
      <w:r>
        <w:t>13. Practice Across Child Welfare, Schools, Health, Corrections, and Community Settings</w:t>
      </w:r>
    </w:p>
    <w:p>
      <w:r>
        <w:rPr>
          <w:i w:val="0"/>
        </w:rPr>
        <w:t>The same coordination principles apply across settings, but authority, rights, roles, and timelines differ. The social worker must clarify whether participation is voluntary or mandated, what decisions the social worker can influence, how the client or family can participate, and which jurisdiction-specific rules govern. The examination generally rewards role clarity, client understanding, and the least restrictive effective response.</w:t>
      </w:r>
    </w:p>
    <w:p>
      <w:pPr>
        <w:pStyle w:val="Heading1"/>
      </w:pPr>
      <w:r>
        <w:t>14. Community Participation and Systems Change</w:t>
      </w:r>
    </w:p>
    <w:p>
      <w:r>
        <w:rPr>
          <w:i w:val="0"/>
        </w:rPr>
        <w:t>Community practice begins with listening to affected people, identifying power and decision makers, assessing access and unintended risks, and supporting meaningful leadership. Social workers may facilitate meetings, gather data, build coalitions, support communication, or advocate for policy and environmental change. The process should not use community members only to endorse a plan professionals have already designed.</w:t>
      </w:r>
    </w:p>
    <w:p>
      <w:pPr>
        <w:pStyle w:val="Heading1"/>
      </w:pPr>
      <w:r>
        <w:t>15. When the Service Plan Is Not Working</w:t>
      </w:r>
    </w:p>
    <w:p>
      <w:pPr>
        <w:ind w:left="259" w:hanging="259"/>
      </w:pPr>
      <w:r>
        <w:t>1. Reassess immediate safety, medical urgency, basic needs, and level of care.</w:t>
      </w:r>
    </w:p>
    <w:p>
      <w:pPr>
        <w:ind w:left="259" w:hanging="259"/>
      </w:pPr>
      <w:r>
        <w:t>2. Ask the client what happened and whether the plan felt understandable, respectful, feasible, and useful.</w:t>
      </w:r>
    </w:p>
    <w:p>
      <w:pPr>
        <w:ind w:left="259" w:hanging="259"/>
      </w:pPr>
      <w:r>
        <w:t>3. Verify eligibility, waitlists, language, literacy, disability, transportation, cost, technology, childcare, documentation, and scheduling barriers.</w:t>
      </w:r>
    </w:p>
    <w:p>
      <w:pPr>
        <w:ind w:left="259" w:hanging="259"/>
      </w:pPr>
      <w:r>
        <w:t>4. Clarify roles, consent, information sharing, and responsibility across providers.</w:t>
      </w:r>
    </w:p>
    <w:p>
      <w:pPr>
        <w:ind w:left="259" w:hanging="259"/>
      </w:pPr>
      <w:r>
        <w:t>5. Modify the resource, advocacy strategy, service intensity, or handoff.</w:t>
      </w:r>
    </w:p>
    <w:p>
      <w:pPr>
        <w:ind w:left="259" w:hanging="259"/>
      </w:pPr>
      <w:r>
        <w:t>6. Set a new review point and document outcomes and client participation.</w:t>
      </w:r>
    </w:p>
    <w:p>
      <w:pPr>
        <w:pStyle w:val="Heading1"/>
      </w:pPr>
      <w:r>
        <w:t>Common Exam Traps</w:t>
      </w:r>
    </w:p>
    <w:tbl>
      <w:tblPr>
        <w:tblStyle w:val="TableGrid"/>
        <w:tblW w:type="auto" w:w="0"/>
        <w:jc w:val="center"/>
        <w:tblLayout w:type="fixed"/>
        <w:tblLook w:firstColumn="1" w:firstRow="1" w:lastColumn="0" w:lastRow="0" w:noHBand="0" w:noVBand="1" w:val="04A0"/>
      </w:tblPr>
      <w:tblGrid>
        <w:gridCol w:w="3960"/>
        <w:gridCol w:w="5976"/>
      </w:tblGrid>
      <w:tr>
        <w:trPr>
          <w:tblHeader w:val="true"/>
          <w:cantSplit/>
        </w:trPr>
        <w:tc>
          <w:tcPr>
            <w:tcW w:type="dxa" w:w="5040"/>
            <w:shd w:fill="17365D"/>
            <w:tcMar>
              <w:top w:w="100" w:type="dxa"/>
              <w:start w:w="120" w:type="dxa"/>
              <w:bottom w:w="100" w:type="dxa"/>
              <w:end w:w="120" w:type="dxa"/>
            </w:tcMar>
          </w:tcPr>
          <w:p>
            <w:pPr>
              <w:spacing w:after="0"/>
            </w:pPr>
            <w:r>
              <w:rPr>
                <w:b/>
                <w:color w:val="FFFFFF"/>
                <w:sz w:val="16"/>
              </w:rPr>
              <w:t>Trap</w:t>
            </w:r>
          </w:p>
        </w:tc>
        <w:tc>
          <w:tcPr>
            <w:tcW w:type="dxa" w:w="5040"/>
            <w:shd w:fill="17365D"/>
            <w:tcMar>
              <w:top w:w="100" w:type="dxa"/>
              <w:start w:w="120" w:type="dxa"/>
              <w:bottom w:w="100" w:type="dxa"/>
              <w:end w:w="120" w:type="dxa"/>
            </w:tcMar>
          </w:tcPr>
          <w:p>
            <w:pPr>
              <w:spacing w:after="0"/>
            </w:pPr>
            <w:r>
              <w:rPr>
                <w:b/>
                <w:color w:val="FFFFFF"/>
                <w:sz w:val="16"/>
              </w:rPr>
              <w:t>Correction</w:t>
            </w:r>
          </w:p>
        </w:tc>
      </w:tr>
      <w:tr>
        <w:trPr>
          <w:cantSplit/>
        </w:trPr>
        <w:tc>
          <w:tcPr>
            <w:tcW w:type="dxa" w:w="3960"/>
            <w:tcMar>
              <w:top w:w="100" w:type="dxa"/>
              <w:start w:w="120" w:type="dxa"/>
              <w:bottom w:w="100" w:type="dxa"/>
              <w:end w:w="120" w:type="dxa"/>
            </w:tcMar>
          </w:tcPr>
          <w:p>
            <w:pPr>
              <w:spacing w:after="0"/>
            </w:pPr>
            <w:r>
              <w:rPr>
                <w:sz w:val="16"/>
              </w:rPr>
              <w:t>Providing a referral list and ending the task</w:t>
            </w:r>
          </w:p>
        </w:tc>
        <w:tc>
          <w:tcPr>
            <w:tcW w:type="dxa" w:w="5976"/>
            <w:tcMar>
              <w:top w:w="100" w:type="dxa"/>
              <w:start w:w="120" w:type="dxa"/>
              <w:bottom w:w="100" w:type="dxa"/>
              <w:end w:w="120" w:type="dxa"/>
            </w:tcMar>
          </w:tcPr>
          <w:p>
            <w:pPr>
              <w:spacing w:after="0"/>
            </w:pPr>
            <w:r>
              <w:rPr>
                <w:sz w:val="16"/>
              </w:rPr>
              <w:t>Verify fit and access, use a warm handoff, and confirm follow-through.</w:t>
            </w:r>
          </w:p>
        </w:tc>
      </w:tr>
      <w:tr>
        <w:trPr>
          <w:cantSplit/>
        </w:trPr>
        <w:tc>
          <w:tcPr>
            <w:tcW w:type="dxa" w:w="3960"/>
            <w:tcMar>
              <w:top w:w="100" w:type="dxa"/>
              <w:start w:w="120" w:type="dxa"/>
              <w:bottom w:w="100" w:type="dxa"/>
              <w:end w:w="120" w:type="dxa"/>
            </w:tcMar>
            <w:shd w:fill="F7F8FA"/>
          </w:tcPr>
          <w:p>
            <w:pPr>
              <w:spacing w:after="0"/>
            </w:pPr>
            <w:r>
              <w:rPr>
                <w:sz w:val="16"/>
              </w:rPr>
              <w:t>Labeling missed services as noncompliance</w:t>
            </w:r>
          </w:p>
        </w:tc>
        <w:tc>
          <w:tcPr>
            <w:tcW w:type="dxa" w:w="5976"/>
            <w:tcMar>
              <w:top w:w="100" w:type="dxa"/>
              <w:start w:w="120" w:type="dxa"/>
              <w:bottom w:w="100" w:type="dxa"/>
              <w:end w:w="120" w:type="dxa"/>
            </w:tcMar>
            <w:shd w:fill="F7F8FA"/>
          </w:tcPr>
          <w:p>
            <w:pPr>
              <w:spacing w:after="0"/>
            </w:pPr>
            <w:r>
              <w:rPr>
                <w:sz w:val="16"/>
              </w:rPr>
              <w:t>Assess barriers, understanding, safety, and client choice.</w:t>
            </w:r>
          </w:p>
        </w:tc>
      </w:tr>
      <w:tr>
        <w:trPr>
          <w:cantSplit/>
        </w:trPr>
        <w:tc>
          <w:tcPr>
            <w:tcW w:type="dxa" w:w="3960"/>
            <w:tcMar>
              <w:top w:w="100" w:type="dxa"/>
              <w:start w:w="120" w:type="dxa"/>
              <w:bottom w:w="100" w:type="dxa"/>
              <w:end w:w="120" w:type="dxa"/>
            </w:tcMar>
          </w:tcPr>
          <w:p>
            <w:pPr>
              <w:spacing w:after="0"/>
            </w:pPr>
            <w:r>
              <w:rPr>
                <w:sz w:val="16"/>
              </w:rPr>
              <w:t>Allowing the team to plan without the client</w:t>
            </w:r>
          </w:p>
        </w:tc>
        <w:tc>
          <w:tcPr>
            <w:tcW w:type="dxa" w:w="5976"/>
            <w:tcMar>
              <w:top w:w="100" w:type="dxa"/>
              <w:start w:w="120" w:type="dxa"/>
              <w:bottom w:w="100" w:type="dxa"/>
              <w:end w:w="120" w:type="dxa"/>
            </w:tcMar>
          </w:tcPr>
          <w:p>
            <w:pPr>
              <w:spacing w:after="0"/>
            </w:pPr>
            <w:r>
              <w:rPr>
                <w:sz w:val="16"/>
              </w:rPr>
              <w:t>Support meaningful participation and understandable information.</w:t>
            </w:r>
          </w:p>
        </w:tc>
      </w:tr>
      <w:tr>
        <w:trPr>
          <w:cantSplit/>
        </w:trPr>
        <w:tc>
          <w:tcPr>
            <w:tcW w:type="dxa" w:w="3960"/>
            <w:tcMar>
              <w:top w:w="100" w:type="dxa"/>
              <w:start w:w="120" w:type="dxa"/>
              <w:bottom w:w="100" w:type="dxa"/>
              <w:end w:w="120" w:type="dxa"/>
            </w:tcMar>
            <w:shd w:fill="F7F8FA"/>
          </w:tcPr>
          <w:p>
            <w:pPr>
              <w:spacing w:after="0"/>
            </w:pPr>
            <w:r>
              <w:rPr>
                <w:sz w:val="16"/>
              </w:rPr>
              <w:t>Sharing broad records because providers collaborate</w:t>
            </w:r>
          </w:p>
        </w:tc>
        <w:tc>
          <w:tcPr>
            <w:tcW w:type="dxa" w:w="5976"/>
            <w:tcMar>
              <w:top w:w="100" w:type="dxa"/>
              <w:start w:w="120" w:type="dxa"/>
              <w:bottom w:w="100" w:type="dxa"/>
              <w:end w:w="120" w:type="dxa"/>
            </w:tcMar>
            <w:shd w:fill="F7F8FA"/>
          </w:tcPr>
          <w:p>
            <w:pPr>
              <w:spacing w:after="0"/>
            </w:pPr>
            <w:r>
              <w:rPr>
                <w:sz w:val="16"/>
              </w:rPr>
              <w:t>Use appropriate authority and disclose only relevant information.</w:t>
            </w:r>
          </w:p>
        </w:tc>
      </w:tr>
      <w:tr>
        <w:trPr>
          <w:cantSplit/>
        </w:trPr>
        <w:tc>
          <w:tcPr>
            <w:tcW w:type="dxa" w:w="3960"/>
            <w:tcMar>
              <w:top w:w="100" w:type="dxa"/>
              <w:start w:w="120" w:type="dxa"/>
              <w:bottom w:w="100" w:type="dxa"/>
              <w:end w:w="120" w:type="dxa"/>
            </w:tcMar>
          </w:tcPr>
          <w:p>
            <w:pPr>
              <w:spacing w:after="0"/>
            </w:pPr>
            <w:r>
              <w:rPr>
                <w:sz w:val="16"/>
              </w:rPr>
              <w:t>Advocating more aggressively than the client wants</w:t>
            </w:r>
          </w:p>
        </w:tc>
        <w:tc>
          <w:tcPr>
            <w:tcW w:type="dxa" w:w="5976"/>
            <w:tcMar>
              <w:top w:w="100" w:type="dxa"/>
              <w:start w:w="120" w:type="dxa"/>
              <w:bottom w:w="100" w:type="dxa"/>
              <w:end w:w="120" w:type="dxa"/>
            </w:tcMar>
          </w:tcPr>
          <w:p>
            <w:pPr>
              <w:spacing w:after="0"/>
            </w:pPr>
            <w:r>
              <w:rPr>
                <w:sz w:val="16"/>
              </w:rPr>
              <w:t>Clarify goals, risks, preferred participation, and the least intrusive effective strategy.</w:t>
            </w:r>
          </w:p>
        </w:tc>
      </w:tr>
      <w:tr>
        <w:trPr>
          <w:cantSplit/>
        </w:trPr>
        <w:tc>
          <w:tcPr>
            <w:tcW w:type="dxa" w:w="3960"/>
            <w:tcMar>
              <w:top w:w="100" w:type="dxa"/>
              <w:start w:w="120" w:type="dxa"/>
              <w:bottom w:w="100" w:type="dxa"/>
              <w:end w:w="120" w:type="dxa"/>
            </w:tcMar>
            <w:shd w:fill="F7F8FA"/>
          </w:tcPr>
          <w:p>
            <w:pPr>
              <w:spacing w:after="0"/>
            </w:pPr>
            <w:r>
              <w:rPr>
                <w:sz w:val="16"/>
              </w:rPr>
              <w:t>Assuming another agency owns the problem</w:t>
            </w:r>
          </w:p>
        </w:tc>
        <w:tc>
          <w:tcPr>
            <w:tcW w:type="dxa" w:w="5976"/>
            <w:tcMar>
              <w:top w:w="100" w:type="dxa"/>
              <w:start w:w="120" w:type="dxa"/>
              <w:bottom w:w="100" w:type="dxa"/>
              <w:end w:w="120" w:type="dxa"/>
            </w:tcMar>
            <w:shd w:fill="F7F8FA"/>
          </w:tcPr>
          <w:p>
            <w:pPr>
              <w:spacing w:after="0"/>
            </w:pPr>
            <w:r>
              <w:rPr>
                <w:sz w:val="16"/>
              </w:rPr>
              <w:t>Make responsibility and the next follow-up point explicit.</w:t>
            </w:r>
          </w:p>
        </w:tc>
      </w:tr>
    </w:tbl>
    <w:p>
      <w:pPr>
        <w:spacing w:after="0"/>
      </w:pPr>
    </w:p>
    <w:p>
      <w:pPr>
        <w:pStyle w:val="Heading1"/>
      </w:pPr>
      <w:r>
        <w:t>Worked Example 1: Medical and Housing Coordination</w:t>
      </w:r>
    </w:p>
    <w:p>
      <w:r>
        <w:rPr>
          <w:i w:val="0"/>
        </w:rPr>
        <w:t>A client with diabetes and depression is discharged to temporary housing without transportation or medication access. The strongest response is not simply a therapy appointment or a housing list. The social worker prioritizes medical and housing safety, clarifies the client’s goals and consent, maps responsible providers, addresses transportation and pharmacy barriers, completes accessible handoffs, and schedules follow-up.</w:t>
      </w:r>
    </w:p>
    <w:tbl>
      <w:tblPr>
        <w:tblW w:type="auto" w:w="0"/>
        <w:jc w:val="center"/>
        <w:tblLayout w:type="fixed"/>
        <w:tblLook w:firstColumn="1" w:firstRow="1" w:lastColumn="0" w:lastRow="0" w:noHBand="0" w:noVBand="1" w:val="04A0"/>
      </w:tblPr>
      <w:tblGrid>
        <w:gridCol w:w="9936"/>
      </w:tblGrid>
      <w:tr>
        <w:trPr>
          <w:cantSplit/>
          <w:tblHeader/>
        </w:trPr>
        <w:tc>
          <w:tcPr>
            <w:tcW w:type="dxa" w:w="10080"/>
            <w:shd w:fill="E7F5F4"/>
            <w:tcMar>
              <w:top w:w="150" w:type="dxa"/>
              <w:start w:w="180" w:type="dxa"/>
              <w:bottom w:w="150" w:type="dxa"/>
              <w:end w:w="180" w:type="dxa"/>
            </w:tcMar>
          </w:tcPr>
          <w:p>
            <w:pPr>
              <w:spacing w:after="80"/>
            </w:pPr>
            <w:r>
              <w:rPr>
                <w:b/>
                <w:i w:val="0"/>
                <w:color w:val="0F7C82"/>
              </w:rPr>
              <w:t>Best Reasoning</w:t>
            </w:r>
          </w:p>
          <w:p>
            <w:pPr>
              <w:spacing w:after="0"/>
            </w:pPr>
            <w:r>
              <w:t>Coordinate the barriers that prevent the clinical plan from working.</w:t>
            </w:r>
          </w:p>
        </w:tc>
      </w:tr>
    </w:tbl>
    <w:p>
      <w:pPr>
        <w:spacing w:after="0"/>
      </w:pPr>
    </w:p>
    <w:p>
      <w:pPr>
        <w:pStyle w:val="Heading1"/>
      </w:pPr>
      <w:r>
        <w:t>Worked Example 2: School Team and Parent Participation</w:t>
      </w:r>
    </w:p>
    <w:p>
      <w:r>
        <w:rPr>
          <w:i w:val="0"/>
        </w:rPr>
        <w:t>A caregiver is confused by an upcoming school meeting and believes decisions have already been made. The social worker helps clarify the meeting’s purpose, the caregiver’s goals and questions, the social worker’s role, available supports, and how the caregiver can participate. After the meeting, the social worker confirms responsibilities, timelines, and access to the agreed services.</w:t>
      </w:r>
    </w:p>
    <w:tbl>
      <w:tblPr>
        <w:tblW w:type="auto" w:w="0"/>
        <w:jc w:val="center"/>
        <w:tblLayout w:type="fixed"/>
        <w:tblLook w:firstColumn="1" w:firstRow="1" w:lastColumn="0" w:lastRow="0" w:noHBand="0" w:noVBand="1" w:val="04A0"/>
      </w:tblPr>
      <w:tblGrid>
        <w:gridCol w:w="9936"/>
      </w:tblGrid>
      <w:tr>
        <w:trPr>
          <w:cantSplit/>
          <w:tblHeader/>
        </w:trPr>
        <w:tc>
          <w:tcPr>
            <w:tcW w:type="dxa" w:w="10080"/>
            <w:shd w:fill="E7F5F4"/>
            <w:tcMar>
              <w:top w:w="150" w:type="dxa"/>
              <w:start w:w="180" w:type="dxa"/>
              <w:bottom w:w="150" w:type="dxa"/>
              <w:end w:w="180" w:type="dxa"/>
            </w:tcMar>
          </w:tcPr>
          <w:p>
            <w:pPr>
              <w:spacing w:after="80"/>
            </w:pPr>
            <w:r>
              <w:rPr>
                <w:b/>
                <w:i w:val="0"/>
                <w:color w:val="0F7C82"/>
              </w:rPr>
              <w:t>Best Reasoning</w:t>
            </w:r>
          </w:p>
          <w:p>
            <w:pPr>
              <w:spacing w:after="0"/>
            </w:pPr>
            <w:r>
              <w:t>Role clarity and understandable participation are intervention tasks, not administrative extras.</w:t>
            </w:r>
          </w:p>
        </w:tc>
      </w:tr>
    </w:tbl>
    <w:p>
      <w:pPr>
        <w:spacing w:after="0"/>
      </w:pPr>
    </w:p>
    <w:p>
      <w:pPr>
        <w:pStyle w:val="Heading1"/>
        <w:pageBreakBefore/>
      </w:pPr>
      <w:r>
        <w:t>Case Management and Advocacy Worksheet</w:t>
      </w:r>
    </w:p>
    <w:tbl>
      <w:tblPr>
        <w:tblStyle w:val="TableGrid"/>
        <w:tblW w:type="auto" w:w="0"/>
        <w:jc w:val="center"/>
        <w:tblLayout w:type="fixed"/>
        <w:tblLook w:firstColumn="1" w:firstRow="1" w:lastColumn="0" w:lastRow="0" w:noHBand="0" w:noVBand="1" w:val="04A0"/>
      </w:tblPr>
      <w:tblGrid>
        <w:gridCol w:w="5976"/>
        <w:gridCol w:w="3960"/>
      </w:tblGrid>
      <w:tr>
        <w:trPr>
          <w:tblHeader w:val="true"/>
          <w:cantSplit/>
        </w:trPr>
        <w:tc>
          <w:tcPr>
            <w:tcW w:type="dxa" w:w="5040"/>
            <w:shd w:fill="17365D"/>
            <w:tcMar>
              <w:top w:w="100" w:type="dxa"/>
              <w:start w:w="120" w:type="dxa"/>
              <w:bottom w:w="100" w:type="dxa"/>
              <w:end w:w="120" w:type="dxa"/>
            </w:tcMar>
          </w:tcPr>
          <w:p>
            <w:pPr>
              <w:spacing w:after="0"/>
            </w:pPr>
            <w:r>
              <w:rPr>
                <w:b/>
                <w:color w:val="FFFFFF"/>
                <w:sz w:val="16"/>
              </w:rPr>
              <w:t>Prompt</w:t>
            </w:r>
          </w:p>
        </w:tc>
        <w:tc>
          <w:tcPr>
            <w:tcW w:type="dxa" w:w="5040"/>
            <w:shd w:fill="17365D"/>
            <w:tcMar>
              <w:top w:w="100" w:type="dxa"/>
              <w:start w:w="120" w:type="dxa"/>
              <w:bottom w:w="100" w:type="dxa"/>
              <w:end w:w="120" w:type="dxa"/>
            </w:tcMar>
          </w:tcPr>
          <w:p>
            <w:pPr>
              <w:spacing w:after="0"/>
            </w:pPr>
            <w:r>
              <w:rPr>
                <w:b/>
                <w:color w:val="FFFFFF"/>
                <w:sz w:val="16"/>
              </w:rPr>
              <w:t>Notes</w:t>
            </w:r>
          </w:p>
        </w:tc>
      </w:tr>
      <w:tr>
        <w:trPr>
          <w:cantSplit/>
        </w:trPr>
        <w:tc>
          <w:tcPr>
            <w:tcW w:type="dxa" w:w="5976"/>
            <w:tcMar>
              <w:top w:w="100" w:type="dxa"/>
              <w:start w:w="120" w:type="dxa"/>
              <w:bottom w:w="100" w:type="dxa"/>
              <w:end w:w="120" w:type="dxa"/>
            </w:tcMar>
          </w:tcPr>
          <w:p>
            <w:pPr>
              <w:spacing w:after="0"/>
            </w:pPr>
            <w:r>
              <w:rPr>
                <w:sz w:val="16"/>
              </w:rPr>
              <w:t>Client-defined concern, goals, strengths, risks, and preferred participation</w:t>
            </w:r>
          </w:p>
        </w:tc>
        <w:tc>
          <w:tcPr>
            <w:tcW w:type="dxa" w:w="3960"/>
            <w:tcMar>
              <w:top w:w="100" w:type="dxa"/>
              <w:start w:w="120" w:type="dxa"/>
              <w:bottom w:w="100" w:type="dxa"/>
              <w:end w:w="120" w:type="dxa"/>
            </w:tcMar>
          </w:tcPr>
          <w:p>
            <w:pPr>
              <w:spacing w:after="0"/>
            </w:pPr>
            <w:r>
              <w:rPr>
                <w:sz w:val="16"/>
              </w:rPr>
            </w:r>
          </w:p>
        </w:tc>
      </w:tr>
      <w:tr>
        <w:trPr>
          <w:cantSplit/>
        </w:trPr>
        <w:tc>
          <w:tcPr>
            <w:tcW w:type="dxa" w:w="5976"/>
            <w:tcMar>
              <w:top w:w="100" w:type="dxa"/>
              <w:start w:w="120" w:type="dxa"/>
              <w:bottom w:w="100" w:type="dxa"/>
              <w:end w:w="120" w:type="dxa"/>
            </w:tcMar>
            <w:shd w:fill="F7F8FA"/>
          </w:tcPr>
          <w:p>
            <w:pPr>
              <w:spacing w:after="0"/>
            </w:pPr>
            <w:r>
              <w:rPr>
                <w:sz w:val="16"/>
              </w:rPr>
              <w:t>Immediate safety, medical, housing, food, caregiving, or legal priority</w:t>
            </w:r>
          </w:p>
        </w:tc>
        <w:tc>
          <w:tcPr>
            <w:tcW w:type="dxa" w:w="3960"/>
            <w:tcMar>
              <w:top w:w="100" w:type="dxa"/>
              <w:start w:w="120" w:type="dxa"/>
              <w:bottom w:w="100" w:type="dxa"/>
              <w:end w:w="120" w:type="dxa"/>
            </w:tcMar>
            <w:shd w:fill="F7F8FA"/>
          </w:tcPr>
          <w:p>
            <w:pPr>
              <w:spacing w:after="0"/>
            </w:pPr>
            <w:r>
              <w:rPr>
                <w:sz w:val="16"/>
              </w:rPr>
            </w:r>
          </w:p>
        </w:tc>
      </w:tr>
      <w:tr>
        <w:trPr>
          <w:cantSplit/>
        </w:trPr>
        <w:tc>
          <w:tcPr>
            <w:tcW w:type="dxa" w:w="5976"/>
            <w:tcMar>
              <w:top w:w="100" w:type="dxa"/>
              <w:start w:w="120" w:type="dxa"/>
              <w:bottom w:w="100" w:type="dxa"/>
              <w:end w:w="120" w:type="dxa"/>
            </w:tcMar>
          </w:tcPr>
          <w:p>
            <w:pPr>
              <w:spacing w:after="0"/>
            </w:pPr>
            <w:r>
              <w:rPr>
                <w:sz w:val="16"/>
              </w:rPr>
              <w:t>People, agencies, services, benefits, policies, and natural supports involved</w:t>
            </w:r>
          </w:p>
        </w:tc>
        <w:tc>
          <w:tcPr>
            <w:tcW w:type="dxa" w:w="3960"/>
            <w:tcMar>
              <w:top w:w="100" w:type="dxa"/>
              <w:start w:w="120" w:type="dxa"/>
              <w:bottom w:w="100" w:type="dxa"/>
              <w:end w:w="120" w:type="dxa"/>
            </w:tcMar>
          </w:tcPr>
          <w:p>
            <w:pPr>
              <w:spacing w:after="0"/>
            </w:pPr>
            <w:r>
              <w:rPr>
                <w:sz w:val="16"/>
              </w:rPr>
            </w:r>
          </w:p>
        </w:tc>
      </w:tr>
      <w:tr>
        <w:trPr>
          <w:cantSplit/>
        </w:trPr>
        <w:tc>
          <w:tcPr>
            <w:tcW w:type="dxa" w:w="5976"/>
            <w:tcMar>
              <w:top w:w="100" w:type="dxa"/>
              <w:start w:w="120" w:type="dxa"/>
              <w:bottom w:w="100" w:type="dxa"/>
              <w:end w:w="120" w:type="dxa"/>
            </w:tcMar>
            <w:shd w:fill="F7F8FA"/>
          </w:tcPr>
          <w:p>
            <w:pPr>
              <w:spacing w:after="0"/>
            </w:pPr>
            <w:r>
              <w:rPr>
                <w:sz w:val="16"/>
              </w:rPr>
              <w:t>Eligibility, language, literacy, disability, cost, transportation, technology, childcare, and scheduling barriers</w:t>
            </w:r>
          </w:p>
        </w:tc>
        <w:tc>
          <w:tcPr>
            <w:tcW w:type="dxa" w:w="3960"/>
            <w:tcMar>
              <w:top w:w="100" w:type="dxa"/>
              <w:start w:w="120" w:type="dxa"/>
              <w:bottom w:w="100" w:type="dxa"/>
              <w:end w:w="120" w:type="dxa"/>
            </w:tcMar>
            <w:shd w:fill="F7F8FA"/>
          </w:tcPr>
          <w:p>
            <w:pPr>
              <w:spacing w:after="0"/>
            </w:pPr>
            <w:r>
              <w:rPr>
                <w:sz w:val="16"/>
              </w:rPr>
            </w:r>
          </w:p>
        </w:tc>
      </w:tr>
      <w:tr>
        <w:trPr>
          <w:cantSplit/>
        </w:trPr>
        <w:tc>
          <w:tcPr>
            <w:tcW w:type="dxa" w:w="5976"/>
            <w:tcMar>
              <w:top w:w="100" w:type="dxa"/>
              <w:start w:w="120" w:type="dxa"/>
              <w:bottom w:w="100" w:type="dxa"/>
              <w:end w:w="120" w:type="dxa"/>
            </w:tcMar>
          </w:tcPr>
          <w:p>
            <w:pPr>
              <w:spacing w:after="0"/>
            </w:pPr>
            <w:r>
              <w:rPr>
                <w:sz w:val="16"/>
              </w:rPr>
              <w:t>Consent, privacy, authority, role, and minimum necessary information</w:t>
            </w:r>
          </w:p>
        </w:tc>
        <w:tc>
          <w:tcPr>
            <w:tcW w:type="dxa" w:w="3960"/>
            <w:tcMar>
              <w:top w:w="100" w:type="dxa"/>
              <w:start w:w="120" w:type="dxa"/>
              <w:bottom w:w="100" w:type="dxa"/>
              <w:end w:w="120" w:type="dxa"/>
            </w:tcMar>
          </w:tcPr>
          <w:p>
            <w:pPr>
              <w:spacing w:after="0"/>
            </w:pPr>
            <w:r>
              <w:rPr>
                <w:sz w:val="16"/>
              </w:rPr>
            </w:r>
          </w:p>
        </w:tc>
      </w:tr>
      <w:tr>
        <w:trPr>
          <w:cantSplit/>
        </w:trPr>
        <w:tc>
          <w:tcPr>
            <w:tcW w:type="dxa" w:w="5976"/>
            <w:tcMar>
              <w:top w:w="100" w:type="dxa"/>
              <w:start w:w="120" w:type="dxa"/>
              <w:bottom w:w="100" w:type="dxa"/>
              <w:end w:w="120" w:type="dxa"/>
            </w:tcMar>
            <w:shd w:fill="F7F8FA"/>
          </w:tcPr>
          <w:p>
            <w:pPr>
              <w:spacing w:after="0"/>
            </w:pPr>
            <w:r>
              <w:rPr>
                <w:sz w:val="16"/>
              </w:rPr>
              <w:t>Advocacy level and client-led strategy</w:t>
            </w:r>
          </w:p>
        </w:tc>
        <w:tc>
          <w:tcPr>
            <w:tcW w:type="dxa" w:w="3960"/>
            <w:tcMar>
              <w:top w:w="100" w:type="dxa"/>
              <w:start w:w="120" w:type="dxa"/>
              <w:bottom w:w="100" w:type="dxa"/>
              <w:end w:w="120" w:type="dxa"/>
            </w:tcMar>
            <w:shd w:fill="F7F8FA"/>
          </w:tcPr>
          <w:p>
            <w:pPr>
              <w:spacing w:after="0"/>
            </w:pPr>
            <w:r>
              <w:rPr>
                <w:sz w:val="16"/>
              </w:rPr>
            </w:r>
          </w:p>
        </w:tc>
      </w:tr>
      <w:tr>
        <w:trPr>
          <w:cantSplit/>
        </w:trPr>
        <w:tc>
          <w:tcPr>
            <w:tcW w:type="dxa" w:w="5976"/>
            <w:tcMar>
              <w:top w:w="100" w:type="dxa"/>
              <w:start w:w="120" w:type="dxa"/>
              <w:bottom w:w="100" w:type="dxa"/>
              <w:end w:w="120" w:type="dxa"/>
            </w:tcMar>
          </w:tcPr>
          <w:p>
            <w:pPr>
              <w:spacing w:after="0"/>
            </w:pPr>
            <w:r>
              <w:rPr>
                <w:sz w:val="16"/>
              </w:rPr>
              <w:t>Warm-handoff steps, responsible person, and deadline</w:t>
            </w:r>
          </w:p>
        </w:tc>
        <w:tc>
          <w:tcPr>
            <w:tcW w:type="dxa" w:w="3960"/>
            <w:tcMar>
              <w:top w:w="100" w:type="dxa"/>
              <w:start w:w="120" w:type="dxa"/>
              <w:bottom w:w="100" w:type="dxa"/>
              <w:end w:w="120" w:type="dxa"/>
            </w:tcMar>
          </w:tcPr>
          <w:p>
            <w:pPr>
              <w:spacing w:after="0"/>
            </w:pPr>
            <w:r>
              <w:rPr>
                <w:sz w:val="16"/>
              </w:rPr>
            </w:r>
          </w:p>
        </w:tc>
      </w:tr>
      <w:tr>
        <w:trPr>
          <w:cantSplit/>
        </w:trPr>
        <w:tc>
          <w:tcPr>
            <w:tcW w:type="dxa" w:w="5976"/>
            <w:tcMar>
              <w:top w:w="100" w:type="dxa"/>
              <w:start w:w="120" w:type="dxa"/>
              <w:bottom w:w="100" w:type="dxa"/>
              <w:end w:w="120" w:type="dxa"/>
            </w:tcMar>
            <w:shd w:fill="F7F8FA"/>
          </w:tcPr>
          <w:p>
            <w:pPr>
              <w:spacing w:after="0"/>
            </w:pPr>
            <w:r>
              <w:rPr>
                <w:sz w:val="16"/>
              </w:rPr>
              <w:t>Outcome indicators and review date</w:t>
            </w:r>
          </w:p>
        </w:tc>
        <w:tc>
          <w:tcPr>
            <w:tcW w:type="dxa" w:w="3960"/>
            <w:tcMar>
              <w:top w:w="100" w:type="dxa"/>
              <w:start w:w="120" w:type="dxa"/>
              <w:bottom w:w="100" w:type="dxa"/>
              <w:end w:w="120" w:type="dxa"/>
            </w:tcMar>
            <w:shd w:fill="F7F8FA"/>
          </w:tcPr>
          <w:p>
            <w:pPr>
              <w:spacing w:after="0"/>
            </w:pPr>
            <w:r>
              <w:rPr>
                <w:sz w:val="16"/>
              </w:rPr>
            </w:r>
          </w:p>
        </w:tc>
      </w:tr>
    </w:tbl>
    <w:p>
      <w:pPr>
        <w:spacing w:after="0"/>
      </w:pPr>
    </w:p>
    <w:p>
      <w:pPr>
        <w:pStyle w:val="Heading1"/>
      </w:pPr>
      <w:r>
        <w:t>Chapter Summary</w:t>
      </w:r>
    </w:p>
    <w:p>
      <w:pPr>
        <w:pStyle w:val="ListBullet"/>
      </w:pPr>
      <w:r>
        <w:t>Case management links assessment, planning, resources, coordination, monitoring, and continuity across time and systems; it is more than giving a referral list.</w:t>
      </w:r>
    </w:p>
    <w:p>
      <w:pPr>
        <w:pStyle w:val="ListBullet"/>
      </w:pPr>
      <w:r>
        <w:t>Use BRIDGE: identify the barrier, resource fit, informed participation, defined responsibility, guided handoff, and evaluation of access and outcomes.</w:t>
      </w:r>
    </w:p>
    <w:p>
      <w:pPr>
        <w:pStyle w:val="ListBullet"/>
      </w:pPr>
      <w:r>
        <w:t>Advocacy begins by clarifying the client’s goal, the barrier, power and risk, desired participation, and the least intrusive effective level of action.</w:t>
      </w:r>
    </w:p>
    <w:p>
      <w:pPr>
        <w:pStyle w:val="ListBullet"/>
      </w:pPr>
      <w:r>
        <w:t>Collaboration requires explicit roles, authority, consent, relevant information limits, deadlines, and ownership of the next step so responsibility does not disappear between systems.</w:t>
      </w:r>
    </w:p>
    <w:p>
      <w:pPr>
        <w:pStyle w:val="ListBullet"/>
      </w:pPr>
      <w:r>
        <w:t>When a service is not used, assess accessibility, eligibility, literacy, language, transportation, childcare, technology, discrimination, and other barriers before labeling the client unmotivated.</w:t>
      </w:r>
    </w:p>
    <w:p>
      <w:pPr>
        <w:pStyle w:val="Heading1"/>
        <w:pageBreakBefore/>
      </w:pPr>
      <w:r>
        <w:t>Knowledge Check</w:t>
      </w:r>
    </w:p>
    <w:p>
      <w:r>
        <w:rPr>
          <w:i w:val="0"/>
        </w:rPr>
        <w:t>Complete all 10 original CTA practice questions before reviewing the answer key. Record your answer and confidence level. The set emphasizes case-management functions, advocacy, warm handoffs, access barriers, role clarity, documentation, self-determination, immigration and benefits coordination, community advocacy, and integrated service planning.</w:t>
      </w:r>
    </w:p>
    <w:tbl>
      <w:tblPr>
        <w:tblStyle w:val="TableGrid"/>
        <w:tblW w:type="auto" w:w="0"/>
        <w:jc w:val="center"/>
        <w:tblLayout w:type="fixed"/>
        <w:tblLook w:firstColumn="1" w:firstRow="1" w:lastColumn="0" w:lastRow="0" w:noHBand="0" w:noVBand="1" w:val="04A0"/>
      </w:tblPr>
      <w:tblGrid>
        <w:gridCol w:w="1728"/>
        <w:gridCol w:w="2736"/>
        <w:gridCol w:w="2736"/>
        <w:gridCol w:w="2736"/>
      </w:tblGrid>
      <w:tr>
        <w:trPr>
          <w:tblHeader w:val="true"/>
          <w:cantSplit/>
        </w:trPr>
        <w:tc>
          <w:tcPr>
            <w:tcW w:type="dxa" w:w="2520"/>
            <w:shd w:fill="17365D"/>
            <w:tcMar>
              <w:top w:w="100" w:type="dxa"/>
              <w:start w:w="120" w:type="dxa"/>
              <w:bottom w:w="100" w:type="dxa"/>
              <w:end w:w="120" w:type="dxa"/>
            </w:tcMar>
          </w:tcPr>
          <w:p>
            <w:pPr>
              <w:spacing w:after="0"/>
            </w:pPr>
            <w:r>
              <w:rPr>
                <w:b/>
                <w:color w:val="FFFFFF"/>
                <w:sz w:val="18"/>
              </w:rPr>
              <w:t>Question</w:t>
            </w:r>
          </w:p>
        </w:tc>
        <w:tc>
          <w:tcPr>
            <w:tcW w:type="dxa" w:w="2520"/>
            <w:shd w:fill="17365D"/>
            <w:tcMar>
              <w:top w:w="100" w:type="dxa"/>
              <w:start w:w="120" w:type="dxa"/>
              <w:bottom w:w="100" w:type="dxa"/>
              <w:end w:w="120" w:type="dxa"/>
            </w:tcMar>
          </w:tcPr>
          <w:p>
            <w:pPr>
              <w:spacing w:after="0"/>
            </w:pPr>
            <w:r>
              <w:rPr>
                <w:b/>
                <w:color w:val="FFFFFF"/>
                <w:sz w:val="18"/>
              </w:rPr>
              <w:t>Your Answer</w:t>
            </w:r>
          </w:p>
        </w:tc>
        <w:tc>
          <w:tcPr>
            <w:tcW w:type="dxa" w:w="2520"/>
            <w:shd w:fill="17365D"/>
            <w:tcMar>
              <w:top w:w="100" w:type="dxa"/>
              <w:start w:w="120" w:type="dxa"/>
              <w:bottom w:w="100" w:type="dxa"/>
              <w:end w:w="120" w:type="dxa"/>
            </w:tcMar>
          </w:tcPr>
          <w:p>
            <w:pPr>
              <w:spacing w:after="0"/>
            </w:pPr>
            <w:r>
              <w:rPr>
                <w:b/>
                <w:color w:val="FFFFFF"/>
                <w:sz w:val="18"/>
              </w:rPr>
              <w:t>Confidence (1-3)</w:t>
            </w:r>
          </w:p>
        </w:tc>
        <w:tc>
          <w:tcPr>
            <w:tcW w:type="dxa" w:w="2520"/>
            <w:shd w:fill="17365D"/>
            <w:tcMar>
              <w:top w:w="100" w:type="dxa"/>
              <w:start w:w="120" w:type="dxa"/>
              <w:bottom w:w="100" w:type="dxa"/>
              <w:end w:w="120" w:type="dxa"/>
            </w:tcMar>
          </w:tcPr>
          <w:p>
            <w:pPr>
              <w:spacing w:after="0"/>
            </w:pPr>
            <w:r>
              <w:rPr>
                <w:b/>
                <w:color w:val="FFFFFF"/>
                <w:sz w:val="18"/>
              </w:rPr>
              <w:t>Review?</w:t>
            </w:r>
          </w:p>
        </w:tc>
      </w:tr>
      <w:tr>
        <w:trPr>
          <w:cantSplit/>
        </w:trPr>
        <w:tc>
          <w:tcPr>
            <w:tcW w:type="dxa" w:w="1728"/>
            <w:tcMar>
              <w:top w:w="100" w:type="dxa"/>
              <w:start w:w="120" w:type="dxa"/>
              <w:bottom w:w="100" w:type="dxa"/>
              <w:end w:w="120" w:type="dxa"/>
            </w:tcMar>
          </w:tcPr>
          <w:p>
            <w:pPr>
              <w:spacing w:after="0"/>
            </w:pPr>
            <w:r>
              <w:rPr>
                <w:sz w:val="18"/>
              </w:rPr>
              <w:t>1</w:t>
            </w:r>
          </w:p>
        </w:tc>
        <w:tc>
          <w:tcPr>
            <w:tcW w:type="dxa" w:w="2736"/>
            <w:tcMar>
              <w:top w:w="100" w:type="dxa"/>
              <w:start w:w="120" w:type="dxa"/>
              <w:bottom w:w="100" w:type="dxa"/>
              <w:end w:w="120" w:type="dxa"/>
            </w:tcMar>
          </w:tcPr>
          <w:p>
            <w:pPr>
              <w:spacing w:after="0"/>
            </w:pPr>
            <w:r>
              <w:rPr>
                <w:sz w:val="18"/>
              </w:rPr>
            </w:r>
          </w:p>
        </w:tc>
        <w:tc>
          <w:tcPr>
            <w:tcW w:type="dxa" w:w="2736"/>
            <w:tcMar>
              <w:top w:w="100" w:type="dxa"/>
              <w:start w:w="120" w:type="dxa"/>
              <w:bottom w:w="100" w:type="dxa"/>
              <w:end w:w="120" w:type="dxa"/>
            </w:tcMar>
          </w:tcPr>
          <w:p>
            <w:pPr>
              <w:spacing w:after="0"/>
            </w:pPr>
            <w:r>
              <w:rPr>
                <w:sz w:val="18"/>
              </w:rPr>
            </w:r>
          </w:p>
        </w:tc>
        <w:tc>
          <w:tcPr>
            <w:tcW w:type="dxa" w:w="2736"/>
            <w:tcMar>
              <w:top w:w="100" w:type="dxa"/>
              <w:start w:w="120" w:type="dxa"/>
              <w:bottom w:w="100" w:type="dxa"/>
              <w:end w:w="120" w:type="dxa"/>
            </w:tcMar>
          </w:tcPr>
          <w:p>
            <w:pPr>
              <w:spacing w:after="0"/>
            </w:pPr>
            <w:r>
              <w:rPr>
                <w:sz w:val="18"/>
              </w:rPr>
            </w:r>
          </w:p>
        </w:tc>
      </w:tr>
      <w:tr>
        <w:trPr>
          <w:cantSplit/>
        </w:trPr>
        <w:tc>
          <w:tcPr>
            <w:tcW w:type="dxa" w:w="1728"/>
            <w:tcMar>
              <w:top w:w="100" w:type="dxa"/>
              <w:start w:w="120" w:type="dxa"/>
              <w:bottom w:w="100" w:type="dxa"/>
              <w:end w:w="120" w:type="dxa"/>
            </w:tcMar>
            <w:shd w:fill="F7F8FA"/>
          </w:tcPr>
          <w:p>
            <w:pPr>
              <w:spacing w:after="0"/>
            </w:pPr>
            <w:r>
              <w:rPr>
                <w:sz w:val="18"/>
              </w:rPr>
              <w:t>2</w:t>
            </w:r>
          </w:p>
        </w:tc>
        <w:tc>
          <w:tcPr>
            <w:tcW w:type="dxa" w:w="2736"/>
            <w:tcMar>
              <w:top w:w="100" w:type="dxa"/>
              <w:start w:w="120" w:type="dxa"/>
              <w:bottom w:w="100" w:type="dxa"/>
              <w:end w:w="120" w:type="dxa"/>
            </w:tcMar>
            <w:shd w:fill="F7F8FA"/>
          </w:tcPr>
          <w:p>
            <w:pPr>
              <w:spacing w:after="0"/>
            </w:pPr>
            <w:r>
              <w:rPr>
                <w:sz w:val="18"/>
              </w:rPr>
            </w:r>
          </w:p>
        </w:tc>
        <w:tc>
          <w:tcPr>
            <w:tcW w:type="dxa" w:w="2736"/>
            <w:tcMar>
              <w:top w:w="100" w:type="dxa"/>
              <w:start w:w="120" w:type="dxa"/>
              <w:bottom w:w="100" w:type="dxa"/>
              <w:end w:w="120" w:type="dxa"/>
            </w:tcMar>
            <w:shd w:fill="F7F8FA"/>
          </w:tcPr>
          <w:p>
            <w:pPr>
              <w:spacing w:after="0"/>
            </w:pPr>
            <w:r>
              <w:rPr>
                <w:sz w:val="18"/>
              </w:rPr>
            </w:r>
          </w:p>
        </w:tc>
        <w:tc>
          <w:tcPr>
            <w:tcW w:type="dxa" w:w="2736"/>
            <w:tcMar>
              <w:top w:w="100" w:type="dxa"/>
              <w:start w:w="120" w:type="dxa"/>
              <w:bottom w:w="100" w:type="dxa"/>
              <w:end w:w="120" w:type="dxa"/>
            </w:tcMar>
            <w:shd w:fill="F7F8FA"/>
          </w:tcPr>
          <w:p>
            <w:pPr>
              <w:spacing w:after="0"/>
            </w:pPr>
            <w:r>
              <w:rPr>
                <w:sz w:val="18"/>
              </w:rPr>
            </w:r>
          </w:p>
        </w:tc>
      </w:tr>
      <w:tr>
        <w:trPr>
          <w:cantSplit/>
        </w:trPr>
        <w:tc>
          <w:tcPr>
            <w:tcW w:type="dxa" w:w="1728"/>
            <w:tcMar>
              <w:top w:w="100" w:type="dxa"/>
              <w:start w:w="120" w:type="dxa"/>
              <w:bottom w:w="100" w:type="dxa"/>
              <w:end w:w="120" w:type="dxa"/>
            </w:tcMar>
          </w:tcPr>
          <w:p>
            <w:pPr>
              <w:spacing w:after="0"/>
            </w:pPr>
            <w:r>
              <w:rPr>
                <w:sz w:val="18"/>
              </w:rPr>
              <w:t>3</w:t>
            </w:r>
          </w:p>
        </w:tc>
        <w:tc>
          <w:tcPr>
            <w:tcW w:type="dxa" w:w="2736"/>
            <w:tcMar>
              <w:top w:w="100" w:type="dxa"/>
              <w:start w:w="120" w:type="dxa"/>
              <w:bottom w:w="100" w:type="dxa"/>
              <w:end w:w="120" w:type="dxa"/>
            </w:tcMar>
          </w:tcPr>
          <w:p>
            <w:pPr>
              <w:spacing w:after="0"/>
            </w:pPr>
            <w:r>
              <w:rPr>
                <w:sz w:val="18"/>
              </w:rPr>
            </w:r>
          </w:p>
        </w:tc>
        <w:tc>
          <w:tcPr>
            <w:tcW w:type="dxa" w:w="2736"/>
            <w:tcMar>
              <w:top w:w="100" w:type="dxa"/>
              <w:start w:w="120" w:type="dxa"/>
              <w:bottom w:w="100" w:type="dxa"/>
              <w:end w:w="120" w:type="dxa"/>
            </w:tcMar>
          </w:tcPr>
          <w:p>
            <w:pPr>
              <w:spacing w:after="0"/>
            </w:pPr>
            <w:r>
              <w:rPr>
                <w:sz w:val="18"/>
              </w:rPr>
            </w:r>
          </w:p>
        </w:tc>
        <w:tc>
          <w:tcPr>
            <w:tcW w:type="dxa" w:w="2736"/>
            <w:tcMar>
              <w:top w:w="100" w:type="dxa"/>
              <w:start w:w="120" w:type="dxa"/>
              <w:bottom w:w="100" w:type="dxa"/>
              <w:end w:w="120" w:type="dxa"/>
            </w:tcMar>
          </w:tcPr>
          <w:p>
            <w:pPr>
              <w:spacing w:after="0"/>
            </w:pPr>
            <w:r>
              <w:rPr>
                <w:sz w:val="18"/>
              </w:rPr>
            </w:r>
          </w:p>
        </w:tc>
      </w:tr>
      <w:tr>
        <w:trPr>
          <w:cantSplit/>
        </w:trPr>
        <w:tc>
          <w:tcPr>
            <w:tcW w:type="dxa" w:w="1728"/>
            <w:tcMar>
              <w:top w:w="100" w:type="dxa"/>
              <w:start w:w="120" w:type="dxa"/>
              <w:bottom w:w="100" w:type="dxa"/>
              <w:end w:w="120" w:type="dxa"/>
            </w:tcMar>
            <w:shd w:fill="F7F8FA"/>
          </w:tcPr>
          <w:p>
            <w:pPr>
              <w:spacing w:after="0"/>
            </w:pPr>
            <w:r>
              <w:rPr>
                <w:sz w:val="18"/>
              </w:rPr>
              <w:t>4</w:t>
            </w:r>
          </w:p>
        </w:tc>
        <w:tc>
          <w:tcPr>
            <w:tcW w:type="dxa" w:w="2736"/>
            <w:tcMar>
              <w:top w:w="100" w:type="dxa"/>
              <w:start w:w="120" w:type="dxa"/>
              <w:bottom w:w="100" w:type="dxa"/>
              <w:end w:w="120" w:type="dxa"/>
            </w:tcMar>
            <w:shd w:fill="F7F8FA"/>
          </w:tcPr>
          <w:p>
            <w:pPr>
              <w:spacing w:after="0"/>
            </w:pPr>
            <w:r>
              <w:rPr>
                <w:sz w:val="18"/>
              </w:rPr>
            </w:r>
          </w:p>
        </w:tc>
        <w:tc>
          <w:tcPr>
            <w:tcW w:type="dxa" w:w="2736"/>
            <w:tcMar>
              <w:top w:w="100" w:type="dxa"/>
              <w:start w:w="120" w:type="dxa"/>
              <w:bottom w:w="100" w:type="dxa"/>
              <w:end w:w="120" w:type="dxa"/>
            </w:tcMar>
            <w:shd w:fill="F7F8FA"/>
          </w:tcPr>
          <w:p>
            <w:pPr>
              <w:spacing w:after="0"/>
            </w:pPr>
            <w:r>
              <w:rPr>
                <w:sz w:val="18"/>
              </w:rPr>
            </w:r>
          </w:p>
        </w:tc>
        <w:tc>
          <w:tcPr>
            <w:tcW w:type="dxa" w:w="2736"/>
            <w:tcMar>
              <w:top w:w="100" w:type="dxa"/>
              <w:start w:w="120" w:type="dxa"/>
              <w:bottom w:w="100" w:type="dxa"/>
              <w:end w:w="120" w:type="dxa"/>
            </w:tcMar>
            <w:shd w:fill="F7F8FA"/>
          </w:tcPr>
          <w:p>
            <w:pPr>
              <w:spacing w:after="0"/>
            </w:pPr>
            <w:r>
              <w:rPr>
                <w:sz w:val="18"/>
              </w:rPr>
            </w:r>
          </w:p>
        </w:tc>
      </w:tr>
      <w:tr>
        <w:trPr>
          <w:cantSplit/>
        </w:trPr>
        <w:tc>
          <w:tcPr>
            <w:tcW w:type="dxa" w:w="1728"/>
            <w:tcMar>
              <w:top w:w="100" w:type="dxa"/>
              <w:start w:w="120" w:type="dxa"/>
              <w:bottom w:w="100" w:type="dxa"/>
              <w:end w:w="120" w:type="dxa"/>
            </w:tcMar>
          </w:tcPr>
          <w:p>
            <w:pPr>
              <w:spacing w:after="0"/>
            </w:pPr>
            <w:r>
              <w:rPr>
                <w:sz w:val="18"/>
              </w:rPr>
              <w:t>5</w:t>
            </w:r>
          </w:p>
        </w:tc>
        <w:tc>
          <w:tcPr>
            <w:tcW w:type="dxa" w:w="2736"/>
            <w:tcMar>
              <w:top w:w="100" w:type="dxa"/>
              <w:start w:w="120" w:type="dxa"/>
              <w:bottom w:w="100" w:type="dxa"/>
              <w:end w:w="120" w:type="dxa"/>
            </w:tcMar>
          </w:tcPr>
          <w:p>
            <w:pPr>
              <w:spacing w:after="0"/>
            </w:pPr>
            <w:r>
              <w:rPr>
                <w:sz w:val="18"/>
              </w:rPr>
            </w:r>
          </w:p>
        </w:tc>
        <w:tc>
          <w:tcPr>
            <w:tcW w:type="dxa" w:w="2736"/>
            <w:tcMar>
              <w:top w:w="100" w:type="dxa"/>
              <w:start w:w="120" w:type="dxa"/>
              <w:bottom w:w="100" w:type="dxa"/>
              <w:end w:w="120" w:type="dxa"/>
            </w:tcMar>
          </w:tcPr>
          <w:p>
            <w:pPr>
              <w:spacing w:after="0"/>
            </w:pPr>
            <w:r>
              <w:rPr>
                <w:sz w:val="18"/>
              </w:rPr>
            </w:r>
          </w:p>
        </w:tc>
        <w:tc>
          <w:tcPr>
            <w:tcW w:type="dxa" w:w="2736"/>
            <w:tcMar>
              <w:top w:w="100" w:type="dxa"/>
              <w:start w:w="120" w:type="dxa"/>
              <w:bottom w:w="100" w:type="dxa"/>
              <w:end w:w="120" w:type="dxa"/>
            </w:tcMar>
          </w:tcPr>
          <w:p>
            <w:pPr>
              <w:spacing w:after="0"/>
            </w:pPr>
            <w:r>
              <w:rPr>
                <w:sz w:val="18"/>
              </w:rPr>
            </w:r>
          </w:p>
        </w:tc>
      </w:tr>
      <w:tr>
        <w:trPr>
          <w:cantSplit/>
        </w:trPr>
        <w:tc>
          <w:tcPr>
            <w:tcW w:type="dxa" w:w="1728"/>
            <w:tcMar>
              <w:top w:w="100" w:type="dxa"/>
              <w:start w:w="120" w:type="dxa"/>
              <w:bottom w:w="100" w:type="dxa"/>
              <w:end w:w="120" w:type="dxa"/>
            </w:tcMar>
            <w:shd w:fill="F7F8FA"/>
          </w:tcPr>
          <w:p>
            <w:pPr>
              <w:spacing w:after="0"/>
            </w:pPr>
            <w:r>
              <w:rPr>
                <w:sz w:val="18"/>
              </w:rPr>
              <w:t>6</w:t>
            </w:r>
          </w:p>
        </w:tc>
        <w:tc>
          <w:tcPr>
            <w:tcW w:type="dxa" w:w="2736"/>
            <w:tcMar>
              <w:top w:w="100" w:type="dxa"/>
              <w:start w:w="120" w:type="dxa"/>
              <w:bottom w:w="100" w:type="dxa"/>
              <w:end w:w="120" w:type="dxa"/>
            </w:tcMar>
            <w:shd w:fill="F7F8FA"/>
          </w:tcPr>
          <w:p>
            <w:pPr>
              <w:spacing w:after="0"/>
            </w:pPr>
            <w:r>
              <w:rPr>
                <w:sz w:val="18"/>
              </w:rPr>
            </w:r>
          </w:p>
        </w:tc>
        <w:tc>
          <w:tcPr>
            <w:tcW w:type="dxa" w:w="2736"/>
            <w:tcMar>
              <w:top w:w="100" w:type="dxa"/>
              <w:start w:w="120" w:type="dxa"/>
              <w:bottom w:w="100" w:type="dxa"/>
              <w:end w:w="120" w:type="dxa"/>
            </w:tcMar>
            <w:shd w:fill="F7F8FA"/>
          </w:tcPr>
          <w:p>
            <w:pPr>
              <w:spacing w:after="0"/>
            </w:pPr>
            <w:r>
              <w:rPr>
                <w:sz w:val="18"/>
              </w:rPr>
            </w:r>
          </w:p>
        </w:tc>
        <w:tc>
          <w:tcPr>
            <w:tcW w:type="dxa" w:w="2736"/>
            <w:tcMar>
              <w:top w:w="100" w:type="dxa"/>
              <w:start w:w="120" w:type="dxa"/>
              <w:bottom w:w="100" w:type="dxa"/>
              <w:end w:w="120" w:type="dxa"/>
            </w:tcMar>
            <w:shd w:fill="F7F8FA"/>
          </w:tcPr>
          <w:p>
            <w:pPr>
              <w:spacing w:after="0"/>
            </w:pPr>
            <w:r>
              <w:rPr>
                <w:sz w:val="18"/>
              </w:rPr>
            </w:r>
          </w:p>
        </w:tc>
      </w:tr>
      <w:tr>
        <w:trPr>
          <w:cantSplit/>
        </w:trPr>
        <w:tc>
          <w:tcPr>
            <w:tcW w:type="dxa" w:w="1728"/>
            <w:tcMar>
              <w:top w:w="100" w:type="dxa"/>
              <w:start w:w="120" w:type="dxa"/>
              <w:bottom w:w="100" w:type="dxa"/>
              <w:end w:w="120" w:type="dxa"/>
            </w:tcMar>
          </w:tcPr>
          <w:p>
            <w:pPr>
              <w:spacing w:after="0"/>
            </w:pPr>
            <w:r>
              <w:rPr>
                <w:sz w:val="18"/>
              </w:rPr>
              <w:t>7</w:t>
            </w:r>
          </w:p>
        </w:tc>
        <w:tc>
          <w:tcPr>
            <w:tcW w:type="dxa" w:w="2736"/>
            <w:tcMar>
              <w:top w:w="100" w:type="dxa"/>
              <w:start w:w="120" w:type="dxa"/>
              <w:bottom w:w="100" w:type="dxa"/>
              <w:end w:w="120" w:type="dxa"/>
            </w:tcMar>
          </w:tcPr>
          <w:p>
            <w:pPr>
              <w:spacing w:after="0"/>
            </w:pPr>
            <w:r>
              <w:rPr>
                <w:sz w:val="18"/>
              </w:rPr>
            </w:r>
          </w:p>
        </w:tc>
        <w:tc>
          <w:tcPr>
            <w:tcW w:type="dxa" w:w="2736"/>
            <w:tcMar>
              <w:top w:w="100" w:type="dxa"/>
              <w:start w:w="120" w:type="dxa"/>
              <w:bottom w:w="100" w:type="dxa"/>
              <w:end w:w="120" w:type="dxa"/>
            </w:tcMar>
          </w:tcPr>
          <w:p>
            <w:pPr>
              <w:spacing w:after="0"/>
            </w:pPr>
            <w:r>
              <w:rPr>
                <w:sz w:val="18"/>
              </w:rPr>
            </w:r>
          </w:p>
        </w:tc>
        <w:tc>
          <w:tcPr>
            <w:tcW w:type="dxa" w:w="2736"/>
            <w:tcMar>
              <w:top w:w="100" w:type="dxa"/>
              <w:start w:w="120" w:type="dxa"/>
              <w:bottom w:w="100" w:type="dxa"/>
              <w:end w:w="120" w:type="dxa"/>
            </w:tcMar>
          </w:tcPr>
          <w:p>
            <w:pPr>
              <w:spacing w:after="0"/>
            </w:pPr>
            <w:r>
              <w:rPr>
                <w:sz w:val="18"/>
              </w:rPr>
            </w:r>
          </w:p>
        </w:tc>
      </w:tr>
      <w:tr>
        <w:trPr>
          <w:cantSplit/>
        </w:trPr>
        <w:tc>
          <w:tcPr>
            <w:tcW w:type="dxa" w:w="1728"/>
            <w:tcMar>
              <w:top w:w="100" w:type="dxa"/>
              <w:start w:w="120" w:type="dxa"/>
              <w:bottom w:w="100" w:type="dxa"/>
              <w:end w:w="120" w:type="dxa"/>
            </w:tcMar>
            <w:shd w:fill="F7F8FA"/>
          </w:tcPr>
          <w:p>
            <w:pPr>
              <w:spacing w:after="0"/>
            </w:pPr>
            <w:r>
              <w:rPr>
                <w:sz w:val="18"/>
              </w:rPr>
              <w:t>8</w:t>
            </w:r>
          </w:p>
        </w:tc>
        <w:tc>
          <w:tcPr>
            <w:tcW w:type="dxa" w:w="2736"/>
            <w:tcMar>
              <w:top w:w="100" w:type="dxa"/>
              <w:start w:w="120" w:type="dxa"/>
              <w:bottom w:w="100" w:type="dxa"/>
              <w:end w:w="120" w:type="dxa"/>
            </w:tcMar>
            <w:shd w:fill="F7F8FA"/>
          </w:tcPr>
          <w:p>
            <w:pPr>
              <w:spacing w:after="0"/>
            </w:pPr>
            <w:r>
              <w:rPr>
                <w:sz w:val="18"/>
              </w:rPr>
            </w:r>
          </w:p>
        </w:tc>
        <w:tc>
          <w:tcPr>
            <w:tcW w:type="dxa" w:w="2736"/>
            <w:tcMar>
              <w:top w:w="100" w:type="dxa"/>
              <w:start w:w="120" w:type="dxa"/>
              <w:bottom w:w="100" w:type="dxa"/>
              <w:end w:w="120" w:type="dxa"/>
            </w:tcMar>
            <w:shd w:fill="F7F8FA"/>
          </w:tcPr>
          <w:p>
            <w:pPr>
              <w:spacing w:after="0"/>
            </w:pPr>
            <w:r>
              <w:rPr>
                <w:sz w:val="18"/>
              </w:rPr>
            </w:r>
          </w:p>
        </w:tc>
        <w:tc>
          <w:tcPr>
            <w:tcW w:type="dxa" w:w="2736"/>
            <w:tcMar>
              <w:top w:w="100" w:type="dxa"/>
              <w:start w:w="120" w:type="dxa"/>
              <w:bottom w:w="100" w:type="dxa"/>
              <w:end w:w="120" w:type="dxa"/>
            </w:tcMar>
            <w:shd w:fill="F7F8FA"/>
          </w:tcPr>
          <w:p>
            <w:pPr>
              <w:spacing w:after="0"/>
            </w:pPr>
            <w:r>
              <w:rPr>
                <w:sz w:val="18"/>
              </w:rPr>
            </w:r>
          </w:p>
        </w:tc>
      </w:tr>
      <w:tr>
        <w:trPr>
          <w:cantSplit/>
        </w:trPr>
        <w:tc>
          <w:tcPr>
            <w:tcW w:type="dxa" w:w="1728"/>
            <w:tcMar>
              <w:top w:w="100" w:type="dxa"/>
              <w:start w:w="120" w:type="dxa"/>
              <w:bottom w:w="100" w:type="dxa"/>
              <w:end w:w="120" w:type="dxa"/>
            </w:tcMar>
          </w:tcPr>
          <w:p>
            <w:pPr>
              <w:spacing w:after="0"/>
            </w:pPr>
            <w:r>
              <w:rPr>
                <w:sz w:val="18"/>
              </w:rPr>
              <w:t>9</w:t>
            </w:r>
          </w:p>
        </w:tc>
        <w:tc>
          <w:tcPr>
            <w:tcW w:type="dxa" w:w="2736"/>
            <w:tcMar>
              <w:top w:w="100" w:type="dxa"/>
              <w:start w:w="120" w:type="dxa"/>
              <w:bottom w:w="100" w:type="dxa"/>
              <w:end w:w="120" w:type="dxa"/>
            </w:tcMar>
          </w:tcPr>
          <w:p>
            <w:pPr>
              <w:spacing w:after="0"/>
            </w:pPr>
            <w:r>
              <w:rPr>
                <w:sz w:val="18"/>
              </w:rPr>
            </w:r>
          </w:p>
        </w:tc>
        <w:tc>
          <w:tcPr>
            <w:tcW w:type="dxa" w:w="2736"/>
            <w:tcMar>
              <w:top w:w="100" w:type="dxa"/>
              <w:start w:w="120" w:type="dxa"/>
              <w:bottom w:w="100" w:type="dxa"/>
              <w:end w:w="120" w:type="dxa"/>
            </w:tcMar>
          </w:tcPr>
          <w:p>
            <w:pPr>
              <w:spacing w:after="0"/>
            </w:pPr>
            <w:r>
              <w:rPr>
                <w:sz w:val="18"/>
              </w:rPr>
            </w:r>
          </w:p>
        </w:tc>
        <w:tc>
          <w:tcPr>
            <w:tcW w:type="dxa" w:w="2736"/>
            <w:tcMar>
              <w:top w:w="100" w:type="dxa"/>
              <w:start w:w="120" w:type="dxa"/>
              <w:bottom w:w="100" w:type="dxa"/>
              <w:end w:w="120" w:type="dxa"/>
            </w:tcMar>
          </w:tcPr>
          <w:p>
            <w:pPr>
              <w:spacing w:after="0"/>
            </w:pPr>
            <w:r>
              <w:rPr>
                <w:sz w:val="18"/>
              </w:rPr>
            </w:r>
          </w:p>
        </w:tc>
      </w:tr>
      <w:tr>
        <w:trPr>
          <w:cantSplit/>
        </w:trPr>
        <w:tc>
          <w:tcPr>
            <w:tcW w:type="dxa" w:w="1728"/>
            <w:tcMar>
              <w:top w:w="100" w:type="dxa"/>
              <w:start w:w="120" w:type="dxa"/>
              <w:bottom w:w="100" w:type="dxa"/>
              <w:end w:w="120" w:type="dxa"/>
            </w:tcMar>
            <w:shd w:fill="F7F8FA"/>
          </w:tcPr>
          <w:p>
            <w:pPr>
              <w:spacing w:after="0"/>
            </w:pPr>
            <w:r>
              <w:rPr>
                <w:sz w:val="18"/>
              </w:rPr>
              <w:t>10</w:t>
            </w:r>
          </w:p>
        </w:tc>
        <w:tc>
          <w:tcPr>
            <w:tcW w:type="dxa" w:w="2736"/>
            <w:tcMar>
              <w:top w:w="100" w:type="dxa"/>
              <w:start w:w="120" w:type="dxa"/>
              <w:bottom w:w="100" w:type="dxa"/>
              <w:end w:w="120" w:type="dxa"/>
            </w:tcMar>
            <w:shd w:fill="F7F8FA"/>
          </w:tcPr>
          <w:p>
            <w:pPr>
              <w:spacing w:after="0"/>
            </w:pPr>
            <w:r>
              <w:rPr>
                <w:sz w:val="18"/>
              </w:rPr>
            </w:r>
          </w:p>
        </w:tc>
        <w:tc>
          <w:tcPr>
            <w:tcW w:type="dxa" w:w="2736"/>
            <w:tcMar>
              <w:top w:w="100" w:type="dxa"/>
              <w:start w:w="120" w:type="dxa"/>
              <w:bottom w:w="100" w:type="dxa"/>
              <w:end w:w="120" w:type="dxa"/>
            </w:tcMar>
            <w:shd w:fill="F7F8FA"/>
          </w:tcPr>
          <w:p>
            <w:pPr>
              <w:spacing w:after="0"/>
            </w:pPr>
            <w:r>
              <w:rPr>
                <w:sz w:val="18"/>
              </w:rPr>
            </w:r>
          </w:p>
        </w:tc>
        <w:tc>
          <w:tcPr>
            <w:tcW w:type="dxa" w:w="2736"/>
            <w:tcMar>
              <w:top w:w="100" w:type="dxa"/>
              <w:start w:w="120" w:type="dxa"/>
              <w:bottom w:w="100" w:type="dxa"/>
              <w:end w:w="120" w:type="dxa"/>
            </w:tcMar>
            <w:shd w:fill="F7F8FA"/>
          </w:tcPr>
          <w:p>
            <w:pPr>
              <w:spacing w:after="0"/>
            </w:pPr>
            <w:r>
              <w:rPr>
                <w:sz w:val="18"/>
              </w:rPr>
            </w:r>
          </w:p>
        </w:tc>
      </w:tr>
    </w:tbl>
    <w:p>
      <w:pPr>
        <w:spacing w:after="0"/>
      </w:pPr>
    </w:p>
    <w:p>
      <w:pPr>
        <w:keepNext/>
        <w:spacing w:before="120" w:after="40" w:line="240" w:lineRule="auto"/>
      </w:pPr>
      <w:r>
        <w:t>LCSW-WB10-Q001 | Recall | Easy | Primary concept: Clinical case-management function</w:t>
      </w:r>
    </w:p>
    <w:p>
      <w:pPr>
        <w:keepNext/>
        <w:keepLines/>
        <w:spacing w:before="60"/>
      </w:pPr>
      <w:r>
        <w:rPr>
          <w:b/>
          <w:i w:val="0"/>
        </w:rPr>
        <w:t>1. Which description BEST defines clinical case management?</w:t>
      </w:r>
    </w:p>
    <w:p>
      <w:pPr>
        <w:keepNext/>
        <w:keepLines/>
        <w:spacing w:after="20"/>
        <w:ind w:left="259"/>
      </w:pPr>
      <w:r>
        <w:t>A. Providing clients with a list of community agencies.</w:t>
      </w:r>
    </w:p>
    <w:p>
      <w:pPr>
        <w:keepNext/>
        <w:keepLines/>
        <w:spacing w:after="20"/>
        <w:ind w:left="259"/>
      </w:pPr>
      <w:r>
        <w:t>B. Integrating assessment, planning, resources, coordination, monitoring, advocacy, and continuity.</w:t>
      </w:r>
    </w:p>
    <w:p>
      <w:pPr>
        <w:keepNext/>
        <w:keepLines/>
        <w:spacing w:after="20"/>
        <w:ind w:left="259"/>
      </w:pPr>
      <w:r>
        <w:t>C. Coordinating only services funded by the social worker’s organization.</w:t>
      </w:r>
    </w:p>
    <w:p>
      <w:pPr>
        <w:keepNext/>
        <w:keepLines/>
        <w:spacing w:after="20"/>
        <w:ind w:left="259"/>
      </w:pPr>
      <w:r>
        <w:t>D. Transferring all responsibility to a specialized case manager.</w:t>
      </w:r>
    </w:p>
    <w:p>
      <w:pPr>
        <w:keepNext w:val="0"/>
        <w:spacing w:before="0" w:after="120" w:line="240" w:lineRule="auto"/>
      </w:pPr>
      <w:r>
        <w:t>My answer: ______  Confidence: 1  2  3</w:t>
      </w:r>
    </w:p>
    <w:p>
      <w:pPr>
        <w:keepNext/>
        <w:spacing w:before="120" w:after="40" w:line="240" w:lineRule="auto"/>
      </w:pPr>
      <w:r>
        <w:t>LCSW-WB10-Q002 | Application | Moderate | Primary concept: Client-centered advocacy sequence</w:t>
      </w:r>
    </w:p>
    <w:p>
      <w:pPr>
        <w:keepNext/>
        <w:keepLines/>
        <w:spacing w:before="60"/>
      </w:pPr>
      <w:r>
        <w:rPr>
          <w:b/>
          <w:i w:val="0"/>
        </w:rPr>
        <w:t>2. What is the MOST appropriate first step in advocacy?</w:t>
      </w:r>
    </w:p>
    <w:p>
      <w:pPr>
        <w:keepNext/>
        <w:keepLines/>
        <w:spacing w:after="20"/>
        <w:ind w:left="259"/>
      </w:pPr>
      <w:r>
        <w:t>A. File a formal complaint immediately.</w:t>
      </w:r>
    </w:p>
    <w:p>
      <w:pPr>
        <w:keepNext/>
        <w:keepLines/>
        <w:spacing w:after="20"/>
        <w:ind w:left="259"/>
      </w:pPr>
      <w:r>
        <w:t>B. Contact the media to create public pressure.</w:t>
      </w:r>
    </w:p>
    <w:p>
      <w:pPr>
        <w:keepNext/>
        <w:keepLines/>
        <w:spacing w:after="20"/>
        <w:ind w:left="259"/>
      </w:pPr>
      <w:r>
        <w:t>C. Decide what outcome is best and persuade the client to accept it.</w:t>
      </w:r>
    </w:p>
    <w:p>
      <w:pPr>
        <w:keepNext/>
        <w:keepLines/>
        <w:spacing w:after="20"/>
        <w:ind w:left="259"/>
      </w:pPr>
      <w:r>
        <w:t>D. Clarify the client-defined goal, the barrier, relevant power or policy, and the client’s preferred level of participation.</w:t>
      </w:r>
    </w:p>
    <w:p>
      <w:pPr>
        <w:keepNext w:val="0"/>
        <w:spacing w:before="0" w:after="120" w:line="240" w:lineRule="auto"/>
      </w:pPr>
      <w:r>
        <w:t>My answer: ______  Confidence: 1  2  3</w:t>
      </w:r>
    </w:p>
    <w:p>
      <w:pPr>
        <w:keepNext/>
        <w:spacing w:before="120" w:after="40" w:line="240" w:lineRule="auto"/>
      </w:pPr>
      <w:r>
        <w:t>LCSW-WB10-Q003 | Recall | Easy | Primary concept: Warm handoff and continuity</w:t>
      </w:r>
    </w:p>
    <w:p>
      <w:pPr>
        <w:keepNext/>
        <w:keepLines/>
        <w:spacing w:before="60"/>
      </w:pPr>
      <w:r>
        <w:rPr>
          <w:b/>
          <w:i w:val="0"/>
        </w:rPr>
        <w:t>3. Which action BEST represents a warm handoff?</w:t>
      </w:r>
    </w:p>
    <w:p>
      <w:pPr>
        <w:keepNext/>
        <w:keepLines/>
        <w:spacing w:after="20"/>
        <w:ind w:left="259"/>
      </w:pPr>
      <w:r>
        <w:t>A. Confirming fit and access, obtaining appropriate authorization, connecting the client with the receiving service, and checking whether entry occurred.</w:t>
      </w:r>
    </w:p>
    <w:p>
      <w:pPr>
        <w:keepNext/>
        <w:keepLines/>
        <w:spacing w:after="20"/>
        <w:ind w:left="259"/>
      </w:pPr>
      <w:r>
        <w:t>B. Giving the client three telephone numbers and asking the client to call.</w:t>
      </w:r>
    </w:p>
    <w:p>
      <w:pPr>
        <w:keepNext/>
        <w:keepLines/>
        <w:spacing w:after="20"/>
        <w:ind w:left="259"/>
      </w:pPr>
      <w:r>
        <w:t>C. Sending a referral without discussing it with the client.</w:t>
      </w:r>
    </w:p>
    <w:p>
      <w:pPr>
        <w:keepNext/>
        <w:keepLines/>
        <w:spacing w:after="20"/>
        <w:ind w:left="259"/>
      </w:pPr>
      <w:r>
        <w:t>D. Telling the receiving agency everything in the record to prevent duplication.</w:t>
      </w:r>
    </w:p>
    <w:p>
      <w:pPr>
        <w:keepNext w:val="0"/>
        <w:spacing w:before="0" w:after="120" w:line="240" w:lineRule="auto"/>
      </w:pPr>
      <w:r>
        <w:t>My answer: ______  Confidence: 1  2  3</w:t>
      </w:r>
    </w:p>
    <w:p>
      <w:pPr>
        <w:keepNext/>
        <w:spacing w:before="120" w:after="40" w:line="240" w:lineRule="auto"/>
      </w:pPr>
      <w:r>
        <w:t>LCSW-WB10-Q004 | Scenario | Moderate | Primary concept: Resource accessibility and participation</w:t>
      </w:r>
    </w:p>
    <w:p>
      <w:pPr>
        <w:keepNext/>
        <w:keepLines/>
        <w:spacing w:before="60"/>
      </w:pPr>
      <w:r>
        <w:rPr>
          <w:b/>
          <w:i w:val="0"/>
        </w:rPr>
        <w:t>4. A client misses two appointments at a food-assistance office and is described by staff as unmotivated. The client reports rotating work shifts, no childcare, and difficulty reading the application. What should the social worker do FIRST?</w:t>
      </w:r>
    </w:p>
    <w:p>
      <w:pPr>
        <w:keepNext/>
        <w:keepLines/>
        <w:spacing w:after="20"/>
        <w:ind w:left="259"/>
      </w:pPr>
      <w:r>
        <w:t>A. Explain the importance of responsibility and require the client to reschedule independently.</w:t>
      </w:r>
    </w:p>
    <w:p>
      <w:pPr>
        <w:keepNext/>
        <w:keepLines/>
        <w:spacing w:after="20"/>
        <w:ind w:left="259"/>
      </w:pPr>
      <w:r>
        <w:t>B. Close the referral because the client did not follow through.</w:t>
      </w:r>
    </w:p>
    <w:p>
      <w:pPr>
        <w:keepNext/>
        <w:keepLines/>
        <w:spacing w:after="20"/>
        <w:ind w:left="259"/>
      </w:pPr>
      <w:r>
        <w:t>C. Reassess scheduling, childcare, literacy, language, and application barriers, then modify the access plan with the client.</w:t>
      </w:r>
    </w:p>
    <w:p>
      <w:pPr>
        <w:keepNext/>
        <w:keepLines/>
        <w:spacing w:after="20"/>
        <w:ind w:left="259"/>
      </w:pPr>
      <w:r>
        <w:t>D. Refer the client to psychotherapy for resistance.</w:t>
      </w:r>
    </w:p>
    <w:p>
      <w:pPr>
        <w:keepNext w:val="0"/>
        <w:spacing w:before="0" w:after="120" w:line="240" w:lineRule="auto"/>
      </w:pPr>
      <w:r>
        <w:t>My answer: ______  Confidence: 1  2  3</w:t>
      </w:r>
    </w:p>
    <w:p>
      <w:pPr>
        <w:keepNext/>
        <w:spacing w:before="120" w:after="40" w:line="240" w:lineRule="auto"/>
      </w:pPr>
      <w:r>
        <w:t>LCSW-WB10-Q005 | Scenario | Moderate | Primary concept: Interdisciplinary role clarity</w:t>
      </w:r>
    </w:p>
    <w:p>
      <w:pPr>
        <w:keepNext/>
        <w:keepLines/>
        <w:spacing w:before="60"/>
      </w:pPr>
      <w:r>
        <w:rPr>
          <w:b/>
          <w:i w:val="0"/>
        </w:rPr>
        <w:t>5. A hospital team assumes the social worker will decide whether a patient should return home, while the family believes the physician will arrange all home services. What should the social worker do FIRST?</w:t>
      </w:r>
    </w:p>
    <w:p>
      <w:pPr>
        <w:keepNext/>
        <w:keepLines/>
        <w:spacing w:after="20"/>
        <w:ind w:left="259"/>
      </w:pPr>
      <w:r>
        <w:t>A. Make the discharge decision to prevent delay.</w:t>
      </w:r>
    </w:p>
    <w:p>
      <w:pPr>
        <w:keepNext/>
        <w:keepLines/>
        <w:spacing w:after="20"/>
        <w:ind w:left="259"/>
      </w:pPr>
      <w:r>
        <w:t>B. Clarify each professional’s role and authority, the patient’s goals and participation, required assessments, and who is responsible for each next step.</w:t>
      </w:r>
    </w:p>
    <w:p>
      <w:pPr>
        <w:keepNext/>
        <w:keepLines/>
        <w:spacing w:after="20"/>
        <w:ind w:left="259"/>
      </w:pPr>
      <w:r>
        <w:t>C. Ask the family to choose a team member to lead.</w:t>
      </w:r>
    </w:p>
    <w:p>
      <w:pPr>
        <w:keepNext/>
        <w:keepLines/>
        <w:spacing w:after="20"/>
        <w:ind w:left="259"/>
      </w:pPr>
      <w:r>
        <w:t>D. Document the confusion and wait for the physician to act.</w:t>
      </w:r>
    </w:p>
    <w:p>
      <w:pPr>
        <w:keepNext w:val="0"/>
        <w:spacing w:before="0" w:after="120" w:line="240" w:lineRule="auto"/>
      </w:pPr>
      <w:r>
        <w:t>My answer: ______  Confidence: 1  2  3</w:t>
      </w:r>
    </w:p>
    <w:p>
      <w:pPr>
        <w:keepNext/>
        <w:spacing w:before="120" w:after="40" w:line="240" w:lineRule="auto"/>
      </w:pPr>
      <w:r>
        <w:t>LCSW-WB10-Q006 | Application | Moderate | Primary concept: Coordination documentation</w:t>
      </w:r>
    </w:p>
    <w:p>
      <w:pPr>
        <w:keepNext/>
        <w:keepLines/>
        <w:spacing w:before="60"/>
      </w:pPr>
      <w:r>
        <w:rPr>
          <w:b/>
          <w:i w:val="0"/>
        </w:rPr>
        <w:t>6. After a care conference, several agencies agree to complete different tasks. Which documentation is MOST important for continuity?</w:t>
      </w:r>
    </w:p>
    <w:p>
      <w:pPr>
        <w:keepNext/>
        <w:keepLines/>
        <w:spacing w:after="20"/>
        <w:ind w:left="259"/>
      </w:pPr>
      <w:r>
        <w:t>A. The client’s goals, consent and information-sharing limits, assigned responsibilities, deadlines, barriers, and follow-up plan.</w:t>
      </w:r>
    </w:p>
    <w:p>
      <w:pPr>
        <w:keepNext/>
        <w:keepLines/>
        <w:spacing w:after="20"/>
        <w:ind w:left="259"/>
      </w:pPr>
      <w:r>
        <w:t>B. A general statement that the team collaborated.</w:t>
      </w:r>
    </w:p>
    <w:p>
      <w:pPr>
        <w:keepNext/>
        <w:keepLines/>
        <w:spacing w:after="20"/>
        <w:ind w:left="259"/>
      </w:pPr>
      <w:r>
        <w:t>C. The social worker’s opinion about which agency is most reliable.</w:t>
      </w:r>
    </w:p>
    <w:p>
      <w:pPr>
        <w:keepNext/>
        <w:keepLines/>
        <w:spacing w:after="20"/>
        <w:ind w:left="259"/>
      </w:pPr>
      <w:r>
        <w:t>D. A complete copy of every participant’s case record.</w:t>
      </w:r>
    </w:p>
    <w:p>
      <w:pPr>
        <w:keepNext w:val="0"/>
        <w:spacing w:before="0" w:after="120" w:line="240" w:lineRule="auto"/>
      </w:pPr>
      <w:r>
        <w:t>My answer: ______  Confidence: 1  2  3</w:t>
      </w:r>
    </w:p>
    <w:p>
      <w:pPr>
        <w:keepNext/>
        <w:spacing w:before="120" w:after="40" w:line="240" w:lineRule="auto"/>
      </w:pPr>
      <w:r>
        <w:t>LCSW-WB10-Q007 | Scenario | Moderate | Primary concept: Self-determination and family requests</w:t>
      </w:r>
    </w:p>
    <w:p>
      <w:pPr>
        <w:keepNext/>
        <w:keepLines/>
        <w:spacing w:before="60"/>
      </w:pPr>
      <w:r>
        <w:rPr>
          <w:b/>
          <w:i w:val="0"/>
        </w:rPr>
        <w:t>7. A competent adult client receiving home-based services does not want an adult child invited to the service-planning meeting. The adult child calls repeatedly and insists on participating. What should the social worker do FIRST?</w:t>
      </w:r>
    </w:p>
    <w:p>
      <w:pPr>
        <w:keepNext/>
        <w:keepLines/>
        <w:spacing w:after="20"/>
        <w:ind w:left="259"/>
      </w:pPr>
      <w:r>
        <w:t>A. Invite the adult child because family involvement usually improves outcomes.</w:t>
      </w:r>
    </w:p>
    <w:p>
      <w:pPr>
        <w:keepNext/>
        <w:keepLines/>
        <w:spacing w:after="20"/>
        <w:ind w:left="259"/>
      </w:pPr>
      <w:r>
        <w:t>B. End services until the family reaches agreement.</w:t>
      </w:r>
    </w:p>
    <w:p>
      <w:pPr>
        <w:keepNext/>
        <w:keepLines/>
        <w:spacing w:after="20"/>
        <w:ind w:left="259"/>
      </w:pPr>
      <w:r>
        <w:t>C. Tell the adult child that no further communication is permitted under any circumstances.</w:t>
      </w:r>
    </w:p>
    <w:p>
      <w:pPr>
        <w:keepNext/>
        <w:keepLines/>
        <w:spacing w:after="20"/>
        <w:ind w:left="259"/>
      </w:pPr>
      <w:r>
        <w:t>D. Respect the client’s preference, clarify what information may be shared, explore the client’s reasons and support needs, and assess for any safety or capacity issue.</w:t>
      </w:r>
    </w:p>
    <w:p>
      <w:pPr>
        <w:keepNext w:val="0"/>
        <w:spacing w:before="0" w:after="120" w:line="240" w:lineRule="auto"/>
      </w:pPr>
      <w:r>
        <w:t>My answer: ______  Confidence: 1  2  3</w:t>
      </w:r>
    </w:p>
    <w:p>
      <w:pPr>
        <w:keepNext/>
        <w:spacing w:before="120" w:after="40" w:line="240" w:lineRule="auto"/>
      </w:pPr>
      <w:r>
        <w:t>LCSW-WB10-Q008 | Scenario | Moderate | Primary concept: Immigration concerns and competence</w:t>
      </w:r>
    </w:p>
    <w:p>
      <w:pPr>
        <w:keepNext/>
        <w:keepLines/>
        <w:spacing w:before="60"/>
      </w:pPr>
      <w:r>
        <w:rPr>
          <w:b/>
          <w:i w:val="0"/>
        </w:rPr>
        <w:t>8. A client is afraid that applying for a benefit may affect immigration status. The social worker is not trained in immigration law. What is the BEST response?</w:t>
      </w:r>
    </w:p>
    <w:p>
      <w:pPr>
        <w:keepNext/>
        <w:keepLines/>
        <w:spacing w:after="20"/>
        <w:ind w:left="259"/>
      </w:pPr>
      <w:r>
        <w:t>A. Reassure the client that benefit use never affects immigration matters.</w:t>
      </w:r>
    </w:p>
    <w:p>
      <w:pPr>
        <w:keepNext/>
        <w:keepLines/>
        <w:spacing w:after="20"/>
        <w:ind w:left="259"/>
      </w:pPr>
      <w:r>
        <w:t>B. Advise the client not to apply so there is no risk.</w:t>
      </w:r>
    </w:p>
    <w:p>
      <w:pPr>
        <w:keepNext/>
        <w:keepLines/>
        <w:spacing w:after="20"/>
        <w:ind w:left="259"/>
      </w:pPr>
      <w:r>
        <w:t>C. Acknowledge the concern, avoid legal advice outside competence, arrange language-accessible consultation with a qualified immigration or benefits resource, and support the client’s informed decision.</w:t>
      </w:r>
    </w:p>
    <w:p>
      <w:pPr>
        <w:keepNext/>
        <w:keepLines/>
        <w:spacing w:after="20"/>
        <w:ind w:left="259"/>
      </w:pPr>
      <w:r>
        <w:t>D. Complete the application without discussing the concern because the benefit is urgently needed.</w:t>
      </w:r>
    </w:p>
    <w:p>
      <w:pPr>
        <w:keepNext w:val="0"/>
        <w:spacing w:before="0" w:after="120" w:line="240" w:lineRule="auto"/>
      </w:pPr>
      <w:r>
        <w:t>My answer: ______  Confidence: 1  2  3</w:t>
      </w:r>
    </w:p>
    <w:p>
      <w:pPr>
        <w:keepNext/>
        <w:spacing w:before="120" w:after="40" w:line="240" w:lineRule="auto"/>
      </w:pPr>
      <w:r>
        <w:t>LCSW-WB10-Q009 | Scenario | Moderate | Primary concept: Community advocacy and disability access</w:t>
      </w:r>
    </w:p>
    <w:p>
      <w:pPr>
        <w:keepNext/>
        <w:keepLines/>
        <w:spacing w:before="60"/>
      </w:pPr>
      <w:r>
        <w:rPr>
          <w:b/>
          <w:i w:val="0"/>
        </w:rPr>
        <w:t>9. Residents of an apartment complex report repeated elevator failures that isolate older adults and residents with mobility disabilities. Which social-work response is BEST?</w:t>
      </w:r>
    </w:p>
    <w:p>
      <w:pPr>
        <w:keepNext/>
        <w:keepLines/>
        <w:spacing w:after="20"/>
        <w:ind w:left="259"/>
      </w:pPr>
      <w:r>
        <w:t>A. Meet with affected residents to define priorities and risks, identify decision makers and regulations, support resident leadership, and develop an accessible advocacy and evaluation plan.</w:t>
      </w:r>
    </w:p>
    <w:p>
      <w:pPr>
        <w:keepNext/>
        <w:keepLines/>
        <w:spacing w:after="20"/>
        <w:ind w:left="259"/>
      </w:pPr>
      <w:r>
        <w:t>B. Design a complaint campaign and ask residents to sign it after it is completed.</w:t>
      </w:r>
    </w:p>
    <w:p>
      <w:pPr>
        <w:keepNext/>
        <w:keepLines/>
        <w:spacing w:after="20"/>
        <w:ind w:left="259"/>
      </w:pPr>
      <w:r>
        <w:t>C. Encourage each resident to complain separately so the issue remains confidential.</w:t>
      </w:r>
    </w:p>
    <w:p>
      <w:pPr>
        <w:keepNext/>
        <w:keepLines/>
        <w:spacing w:after="20"/>
        <w:ind w:left="259"/>
      </w:pPr>
      <w:r>
        <w:t>D. Refer residents to individual therapy for stress while the property manager handles the building problem.</w:t>
      </w:r>
    </w:p>
    <w:p>
      <w:pPr>
        <w:keepNext w:val="0"/>
        <w:spacing w:before="0" w:after="120" w:line="240" w:lineRule="auto"/>
      </w:pPr>
      <w:r>
        <w:t>My answer: ______  Confidence: 1  2  3</w:t>
      </w:r>
    </w:p>
    <w:p>
      <w:pPr>
        <w:keepNext/>
        <w:spacing w:before="120" w:after="40" w:line="240" w:lineRule="auto"/>
      </w:pPr>
      <w:r>
        <w:t>LCSW-WB10-Q010 | Integrated | Challenge | Primary concept: Complex service coordination and basic needs</w:t>
      </w:r>
    </w:p>
    <w:p>
      <w:pPr>
        <w:keepNext/>
        <w:keepLines/>
        <w:spacing w:before="60"/>
      </w:pPr>
      <w:r>
        <w:rPr>
          <w:b/>
          <w:i w:val="0"/>
        </w:rPr>
        <w:t>10. A client with poorly controlled diabetes, depression, and recent eviction is staying temporarily with friends. The client has missed medical visits because of transportation problems and lost identification documents needed for benefits. Several agencies are involved, but no one is sure who is handling housing. What should the social worker do FIRST?</w:t>
      </w:r>
    </w:p>
    <w:p>
      <w:pPr>
        <w:keepNext/>
        <w:keepLines/>
        <w:spacing w:after="20"/>
        <w:ind w:left="259"/>
      </w:pPr>
      <w:r>
        <w:t>A. Focus on depression treatment before addressing housing because psychotherapy is the social worker’s primary role.</w:t>
      </w:r>
    </w:p>
    <w:p>
      <w:pPr>
        <w:keepNext/>
        <w:keepLines/>
        <w:spacing w:after="20"/>
        <w:ind w:left="259"/>
      </w:pPr>
      <w:r>
        <w:t>B. Ask the client to contact each agency and report back after all appointments are scheduled.</w:t>
      </w:r>
    </w:p>
    <w:p>
      <w:pPr>
        <w:keepNext/>
        <w:keepLines/>
        <w:spacing w:after="20"/>
        <w:ind w:left="259"/>
      </w:pPr>
      <w:r>
        <w:t>C. Coordinate an immediate client-centered plan that prioritizes medical and housing safety, maps agencies and barriers, clarifies consent and responsibility, begins accessible warm handoffs, and sets a follow-up point.</w:t>
      </w:r>
    </w:p>
    <w:p>
      <w:pPr>
        <w:keepNext/>
        <w:keepLines/>
        <w:spacing w:after="20"/>
        <w:ind w:left="259"/>
      </w:pPr>
      <w:r>
        <w:t>D. Refer the client to a new case-management agency and close the current case.</w:t>
      </w:r>
    </w:p>
    <w:p>
      <w:pPr>
        <w:keepNext w:val="0"/>
        <w:spacing w:before="0" w:after="120" w:line="240" w:lineRule="auto"/>
      </w:pPr>
      <w:r>
        <w:t>My answer: ______  Confidence: 1  2  3</w:t>
      </w:r>
    </w:p>
    <w:p>
      <w:r>
        <w:br w:type="page"/>
      </w:r>
    </w:p>
    <w:p>
      <w:pPr>
        <w:pStyle w:val="Heading1"/>
      </w:pPr>
      <w:r>
        <w:t>Answer Key and Detailed Rationales</w:t>
      </w:r>
    </w:p>
    <w:tbl>
      <w:tblPr>
        <w:tblW w:type="auto" w:w="0"/>
        <w:jc w:val="center"/>
        <w:tblLayout w:type="fixed"/>
        <w:tblLook w:firstColumn="1" w:firstRow="1" w:lastColumn="0" w:lastRow="0" w:noHBand="0" w:noVBand="1" w:val="04A0"/>
      </w:tblPr>
      <w:tblGrid>
        <w:gridCol w:w="9936"/>
      </w:tblGrid>
      <w:tr>
        <w:trPr>
          <w:cantSplit/>
          <w:tblHeader/>
        </w:trPr>
        <w:tc>
          <w:tcPr>
            <w:tcW w:type="dxa" w:w="10080"/>
            <w:shd w:fill="E7F5F4"/>
            <w:tcMar>
              <w:top w:w="150" w:type="dxa"/>
              <w:start w:w="180" w:type="dxa"/>
              <w:bottom w:w="150" w:type="dxa"/>
              <w:end w:w="180" w:type="dxa"/>
            </w:tcMar>
          </w:tcPr>
          <w:p>
            <w:pPr>
              <w:spacing w:after="80"/>
            </w:pPr>
            <w:r>
              <w:rPr>
                <w:b/>
                <w:i w:val="0"/>
                <w:color w:val="0F7C82"/>
              </w:rPr>
              <w:t>How to Review</w:t>
            </w:r>
          </w:p>
          <w:p>
            <w:pPr>
              <w:spacing w:after="0"/>
            </w:pPr>
            <w:r>
              <w:t>For each missed item, identify whether the error involved prioritization, access, client participation, role confusion, incomplete follow-through, or an advocacy level that did not match the barrier. Write one sentence explaining why the correct response is better timed and better matched than the strongest distractor.</w:t>
            </w:r>
          </w:p>
        </w:tc>
      </w:tr>
    </w:tbl>
    <w:p>
      <w:pPr>
        <w:spacing w:after="0"/>
      </w:pPr>
    </w:p>
    <w:p>
      <w:pPr>
        <w:pStyle w:val="Heading2"/>
        <w:keepNext/>
        <w:keepLines/>
        <w:spacing w:before="100" w:after="40"/>
      </w:pPr>
      <w:r>
        <w:rPr>
          <w:b/>
          <w:i w:val="0"/>
          <w:sz w:val="20"/>
        </w:rPr>
        <w:t>Question 1 (LCSW-WB10-Q001)</w:t>
      </w:r>
    </w:p>
    <w:p>
      <w:pPr>
        <w:keepNext/>
        <w:keepLines/>
      </w:pPr>
      <w:r>
        <w:rPr>
          <w:b/>
          <w:i w:val="0"/>
          <w:color w:val="0F7C82"/>
        </w:rPr>
        <w:t>Correct Answer: B</w:t>
      </w:r>
    </w:p>
    <w:p>
      <w:pPr>
        <w:keepNext/>
        <w:keepLines/>
        <w:spacing w:after="40"/>
        <w:ind w:left="173"/>
      </w:pPr>
      <w:r>
        <w:rPr>
          <w:b/>
          <w:i w:val="0"/>
        </w:rPr>
        <w:t>A. A referral list is only one possible component and does not include coordination or follow-through.</w:t>
      </w:r>
    </w:p>
    <w:p>
      <w:pPr>
        <w:keepNext/>
        <w:keepLines/>
        <w:spacing w:after="40"/>
        <w:ind w:left="173"/>
      </w:pPr>
      <w:r>
        <w:rPr>
          <w:b/>
          <w:i w:val="0"/>
        </w:rPr>
        <w:t>B. Correct. Case management connects clinical and practical needs across time and systems.</w:t>
      </w:r>
    </w:p>
    <w:p>
      <w:pPr>
        <w:keepNext/>
        <w:keepLines/>
        <w:spacing w:after="40"/>
        <w:ind w:left="173"/>
      </w:pPr>
      <w:r>
        <w:rPr>
          <w:b/>
          <w:i w:val="0"/>
        </w:rPr>
        <w:t>C. Case management is based on client need and the service system, not only the organization’s funding relationships.</w:t>
      </w:r>
    </w:p>
    <w:p>
      <w:pPr>
        <w:keepNext/>
        <w:keepLines/>
        <w:spacing w:after="40"/>
        <w:ind w:left="173"/>
      </w:pPr>
      <w:r>
        <w:rPr>
          <w:b/>
          <w:i w:val="0"/>
        </w:rPr>
        <w:t>D. Another professional may participate, but the social worker must still clarify roles and continuity rather than assume all responsibility has disappeared.</w:t>
      </w:r>
    </w:p>
    <w:p>
      <w:pPr>
        <w:keepLines/>
        <w:spacing w:after="120"/>
        <w:ind w:left="173"/>
      </w:pPr>
      <w:r>
        <w:rPr>
          <w:b/>
          <w:i w:val="0"/>
          <w:color w:val="1F4E78"/>
        </w:rPr>
        <w:t xml:space="preserve">Exam Strategy: </w:t>
      </w:r>
      <w:r>
        <w:rPr>
          <w:b w:val="0"/>
          <w:i/>
        </w:rPr>
        <w:t>Case management links assessment, planning, resources, coordination, monitoring, and continuity; it is more than referral.</w:t>
      </w:r>
    </w:p>
    <w:p>
      <w:pPr>
        <w:pStyle w:val="Heading2"/>
        <w:keepNext/>
        <w:keepLines/>
        <w:spacing w:before="100" w:after="40"/>
      </w:pPr>
      <w:r>
        <w:rPr>
          <w:b/>
          <w:i w:val="0"/>
          <w:sz w:val="20"/>
        </w:rPr>
        <w:t>Question 2 (LCSW-WB10-Q002)</w:t>
      </w:r>
    </w:p>
    <w:p>
      <w:pPr>
        <w:keepNext/>
        <w:keepLines/>
      </w:pPr>
      <w:r>
        <w:rPr>
          <w:b/>
          <w:i w:val="0"/>
          <w:color w:val="0F7C82"/>
        </w:rPr>
        <w:t>Correct Answer: D</w:t>
      </w:r>
    </w:p>
    <w:p>
      <w:pPr>
        <w:keepNext/>
        <w:keepLines/>
        <w:spacing w:after="40"/>
        <w:ind w:left="173"/>
      </w:pPr>
      <w:r>
        <w:rPr>
          <w:b/>
          <w:i w:val="0"/>
        </w:rPr>
        <w:t>A. A complaint may be appropriate later, but it is not automatically the first or least intrusive effective step.</w:t>
      </w:r>
    </w:p>
    <w:p>
      <w:pPr>
        <w:keepNext/>
        <w:keepLines/>
        <w:spacing w:after="40"/>
        <w:ind w:left="173"/>
      </w:pPr>
      <w:r>
        <w:rPr>
          <w:b/>
          <w:i w:val="0"/>
        </w:rPr>
        <w:t>B. Media involvement carries significant privacy and risk concerns and requires careful client-led decision-making.</w:t>
      </w:r>
    </w:p>
    <w:p>
      <w:pPr>
        <w:keepNext/>
        <w:keepLines/>
        <w:spacing w:after="40"/>
        <w:ind w:left="173"/>
      </w:pPr>
      <w:r>
        <w:rPr>
          <w:b/>
          <w:i w:val="0"/>
        </w:rPr>
        <w:t>C. Advocacy should not replace self-determination with professional control.</w:t>
      </w:r>
    </w:p>
    <w:p>
      <w:pPr>
        <w:keepNext/>
        <w:keepLines/>
        <w:spacing w:after="40"/>
        <w:ind w:left="173"/>
      </w:pPr>
      <w:r>
        <w:rPr>
          <w:b/>
          <w:i w:val="0"/>
        </w:rPr>
        <w:t>D. Correct. Effective advocacy begins with understanding the client’s goal, the barrier, context, risks, and desired participation.</w:t>
      </w:r>
    </w:p>
    <w:p>
      <w:pPr>
        <w:keepLines/>
        <w:spacing w:after="120"/>
        <w:ind w:left="173"/>
      </w:pPr>
      <w:r>
        <w:rPr>
          <w:b/>
          <w:i w:val="0"/>
          <w:color w:val="1F4E78"/>
        </w:rPr>
        <w:t xml:space="preserve">Exam Strategy: </w:t>
      </w:r>
      <w:r>
        <w:rPr>
          <w:b w:val="0"/>
          <w:i/>
        </w:rPr>
        <w:t>Clarify the barrier and the client’s goals, then choose the least intrusive effective level of advocacy with the client’s participation.</w:t>
      </w:r>
    </w:p>
    <w:p>
      <w:pPr>
        <w:pStyle w:val="Heading2"/>
        <w:keepNext/>
        <w:keepLines/>
        <w:spacing w:before="100" w:after="40"/>
      </w:pPr>
      <w:r>
        <w:rPr>
          <w:b/>
          <w:i w:val="0"/>
          <w:sz w:val="20"/>
        </w:rPr>
        <w:t>Question 3 (LCSW-WB10-Q003)</w:t>
      </w:r>
    </w:p>
    <w:p>
      <w:pPr>
        <w:keepNext/>
        <w:keepLines/>
      </w:pPr>
      <w:r>
        <w:rPr>
          <w:b/>
          <w:i w:val="0"/>
          <w:color w:val="0F7C82"/>
        </w:rPr>
        <w:t>Correct Answer: A</w:t>
      </w:r>
    </w:p>
    <w:p>
      <w:pPr>
        <w:keepNext/>
        <w:keepLines/>
        <w:spacing w:after="40"/>
        <w:ind w:left="173"/>
      </w:pPr>
      <w:r>
        <w:rPr>
          <w:b/>
          <w:i w:val="0"/>
        </w:rPr>
        <w:t>A. Correct. A warm handoff makes responsibility and follow-through explicit while preserving client participation.</w:t>
      </w:r>
    </w:p>
    <w:p>
      <w:pPr>
        <w:keepNext/>
        <w:keepLines/>
        <w:spacing w:after="40"/>
        <w:ind w:left="173"/>
      </w:pPr>
      <w:r>
        <w:rPr>
          <w:b/>
          <w:i w:val="0"/>
        </w:rPr>
        <w:t>B. A list does not address fit, access, responsibility, or follow-through.</w:t>
      </w:r>
    </w:p>
    <w:p>
      <w:pPr>
        <w:keepNext/>
        <w:keepLines/>
        <w:spacing w:after="40"/>
        <w:ind w:left="173"/>
      </w:pPr>
      <w:r>
        <w:rPr>
          <w:b/>
          <w:i w:val="0"/>
        </w:rPr>
        <w:t>C. Excluding the client weakens informed participation and may reduce engagement.</w:t>
      </w:r>
    </w:p>
    <w:p>
      <w:pPr>
        <w:keepNext/>
        <w:keepLines/>
        <w:spacing w:after="40"/>
        <w:ind w:left="173"/>
      </w:pPr>
      <w:r>
        <w:rPr>
          <w:b/>
          <w:i w:val="0"/>
        </w:rPr>
        <w:t>D. Information sharing should be relevant, authorized, and limited rather than unrestricted.</w:t>
      </w:r>
    </w:p>
    <w:p>
      <w:pPr>
        <w:keepLines/>
        <w:spacing w:after="120"/>
        <w:ind w:left="173"/>
      </w:pPr>
      <w:r>
        <w:rPr>
          <w:b/>
          <w:i w:val="0"/>
          <w:color w:val="1F4E78"/>
        </w:rPr>
        <w:t xml:space="preserve">Exam Strategy: </w:t>
      </w:r>
      <w:r>
        <w:rPr>
          <w:b w:val="0"/>
          <w:i/>
        </w:rPr>
        <w:t>Confirm fit, access, responsibility, information sharing, and follow-through rather than stopping at a referral list.</w:t>
      </w:r>
    </w:p>
    <w:p>
      <w:pPr>
        <w:pStyle w:val="Heading2"/>
        <w:keepNext/>
        <w:keepLines/>
        <w:spacing w:before="100" w:after="40"/>
      </w:pPr>
      <w:r>
        <w:rPr>
          <w:b/>
          <w:i w:val="0"/>
          <w:sz w:val="20"/>
        </w:rPr>
        <w:t>Question 4 (LCSW-WB10-Q004)</w:t>
      </w:r>
    </w:p>
    <w:p>
      <w:pPr>
        <w:keepNext/>
        <w:keepLines/>
      </w:pPr>
      <w:r>
        <w:rPr>
          <w:b/>
          <w:i w:val="0"/>
          <w:color w:val="0F7C82"/>
        </w:rPr>
        <w:t>Correct Answer: C</w:t>
      </w:r>
    </w:p>
    <w:p>
      <w:pPr>
        <w:keepNext/>
        <w:keepLines/>
        <w:spacing w:after="40"/>
        <w:ind w:left="173"/>
      </w:pPr>
      <w:r>
        <w:rPr>
          <w:b/>
          <w:i w:val="0"/>
        </w:rPr>
        <w:t>A. This response moralizes an access problem and does not address the barriers described.</w:t>
      </w:r>
    </w:p>
    <w:p>
      <w:pPr>
        <w:keepNext/>
        <w:keepLines/>
        <w:spacing w:after="40"/>
        <w:ind w:left="173"/>
      </w:pPr>
      <w:r>
        <w:rPr>
          <w:b/>
          <w:i w:val="0"/>
        </w:rPr>
        <w:t>B. Closing the referral would worsen the unmet need without testing an accessible alternative.</w:t>
      </w:r>
    </w:p>
    <w:p>
      <w:pPr>
        <w:keepNext/>
        <w:keepLines/>
        <w:spacing w:after="40"/>
        <w:ind w:left="173"/>
      </w:pPr>
      <w:r>
        <w:rPr>
          <w:b/>
          <w:i w:val="0"/>
        </w:rPr>
        <w:t>C. Correct. The social worker should assess and address practical access barriers before interpreting motivation.</w:t>
      </w:r>
    </w:p>
    <w:p>
      <w:pPr>
        <w:keepNext/>
        <w:keepLines/>
        <w:spacing w:after="40"/>
        <w:ind w:left="173"/>
      </w:pPr>
      <w:r>
        <w:rPr>
          <w:b/>
          <w:i w:val="0"/>
        </w:rPr>
        <w:t>D. Psychotherapy may be useful for other goals, but the immediate problem is service accessibility.</w:t>
      </w:r>
    </w:p>
    <w:p>
      <w:pPr>
        <w:keepLines/>
        <w:spacing w:after="120"/>
        <w:ind w:left="173"/>
      </w:pPr>
      <w:r>
        <w:rPr>
          <w:b/>
          <w:i w:val="0"/>
          <w:color w:val="1F4E78"/>
        </w:rPr>
        <w:t xml:space="preserve">Exam Strategy: </w:t>
      </w:r>
      <w:r>
        <w:rPr>
          <w:b w:val="0"/>
          <w:i/>
        </w:rPr>
        <w:t>Assess practical and systemic barriers before labeling nonuse as resistance or noncompliance.</w:t>
      </w:r>
    </w:p>
    <w:p>
      <w:pPr>
        <w:pStyle w:val="Heading2"/>
        <w:keepNext/>
        <w:keepLines/>
        <w:spacing w:before="100" w:after="40"/>
      </w:pPr>
      <w:r>
        <w:rPr>
          <w:b/>
          <w:i w:val="0"/>
          <w:sz w:val="20"/>
        </w:rPr>
        <w:t>Question 5 (LCSW-WB10-Q005)</w:t>
      </w:r>
    </w:p>
    <w:p>
      <w:pPr>
        <w:keepNext/>
        <w:keepLines/>
      </w:pPr>
      <w:r>
        <w:rPr>
          <w:b/>
          <w:i w:val="0"/>
          <w:color w:val="0F7C82"/>
        </w:rPr>
        <w:t>Correct Answer: B</w:t>
      </w:r>
    </w:p>
    <w:p>
      <w:pPr>
        <w:keepNext/>
        <w:keepLines/>
        <w:spacing w:after="40"/>
        <w:ind w:left="173"/>
      </w:pPr>
      <w:r>
        <w:rPr>
          <w:b/>
          <w:i w:val="0"/>
        </w:rPr>
        <w:t>A. The social worker should not assume authority that belongs to an interdisciplinary process or another role.</w:t>
      </w:r>
    </w:p>
    <w:p>
      <w:pPr>
        <w:keepNext/>
        <w:keepLines/>
        <w:spacing w:after="40"/>
        <w:ind w:left="173"/>
      </w:pPr>
      <w:r>
        <w:rPr>
          <w:b/>
          <w:i w:val="0"/>
        </w:rPr>
        <w:t>B. Correct. Role, authority, responsibility, client participation, and next steps must be made explicit.</w:t>
      </w:r>
    </w:p>
    <w:p>
      <w:pPr>
        <w:keepNext/>
        <w:keepLines/>
        <w:spacing w:after="40"/>
        <w:ind w:left="173"/>
      </w:pPr>
      <w:r>
        <w:rPr>
          <w:b/>
          <w:i w:val="0"/>
        </w:rPr>
        <w:t>C. The family should participate, but assigning professional responsibilities is not the family’s burden.</w:t>
      </w:r>
    </w:p>
    <w:p>
      <w:pPr>
        <w:keepNext/>
        <w:keepLines/>
        <w:spacing w:after="40"/>
        <w:ind w:left="173"/>
      </w:pPr>
      <w:r>
        <w:rPr>
          <w:b/>
          <w:i w:val="0"/>
        </w:rPr>
        <w:t>D. Documentation alone does not resolve the coordination failure or protect continuity.</w:t>
      </w:r>
    </w:p>
    <w:p>
      <w:pPr>
        <w:keepLines/>
        <w:spacing w:after="120"/>
        <w:ind w:left="173"/>
      </w:pPr>
      <w:r>
        <w:rPr>
          <w:b/>
          <w:i w:val="0"/>
          <w:color w:val="1F4E78"/>
        </w:rPr>
        <w:t xml:space="preserve">Exam Strategy: </w:t>
      </w:r>
      <w:r>
        <w:rPr>
          <w:b w:val="0"/>
          <w:i/>
        </w:rPr>
        <w:t>Clarify each person’s role, authority, responsibilities, and information needs while preserving client participation.</w:t>
      </w:r>
    </w:p>
    <w:p>
      <w:pPr>
        <w:pStyle w:val="Heading2"/>
        <w:keepNext/>
        <w:keepLines/>
        <w:spacing w:before="100" w:after="40"/>
      </w:pPr>
      <w:r>
        <w:rPr>
          <w:b/>
          <w:i w:val="0"/>
          <w:sz w:val="20"/>
        </w:rPr>
        <w:t>Question 6 (LCSW-WB10-Q006)</w:t>
      </w:r>
    </w:p>
    <w:p>
      <w:pPr>
        <w:keepNext/>
        <w:keepLines/>
      </w:pPr>
      <w:r>
        <w:rPr>
          <w:b/>
          <w:i w:val="0"/>
          <w:color w:val="0F7C82"/>
        </w:rPr>
        <w:t>Correct Answer: A</w:t>
      </w:r>
    </w:p>
    <w:p>
      <w:pPr>
        <w:keepNext/>
        <w:keepLines/>
        <w:spacing w:after="40"/>
        <w:ind w:left="173"/>
      </w:pPr>
      <w:r>
        <w:rPr>
          <w:b/>
          <w:i w:val="0"/>
        </w:rPr>
        <w:t>A. Correct. Specific responsibilities, consent, barriers, and follow-up create accountability and continuity.</w:t>
      </w:r>
    </w:p>
    <w:p>
      <w:pPr>
        <w:keepNext/>
        <w:keepLines/>
        <w:spacing w:after="40"/>
        <w:ind w:left="173"/>
      </w:pPr>
      <w:r>
        <w:rPr>
          <w:b/>
          <w:i w:val="0"/>
        </w:rPr>
        <w:t>B. A general statement does not show who will do what or when progress will be reviewed.</w:t>
      </w:r>
    </w:p>
    <w:p>
      <w:pPr>
        <w:keepNext/>
        <w:keepLines/>
        <w:spacing w:after="40"/>
        <w:ind w:left="173"/>
      </w:pPr>
      <w:r>
        <w:rPr>
          <w:b/>
          <w:i w:val="0"/>
        </w:rPr>
        <w:t>C. Personal judgments are less useful than observable responsibilities and actions.</w:t>
      </w:r>
    </w:p>
    <w:p>
      <w:pPr>
        <w:keepNext/>
        <w:keepLines/>
        <w:spacing w:after="40"/>
        <w:ind w:left="173"/>
      </w:pPr>
      <w:r>
        <w:rPr>
          <w:b/>
          <w:i w:val="0"/>
        </w:rPr>
        <w:t>D. Broad record sharing is generally unnecessary and may violate privacy expectations or rules.</w:t>
      </w:r>
    </w:p>
    <w:p>
      <w:pPr>
        <w:keepLines/>
        <w:spacing w:after="120"/>
        <w:ind w:left="173"/>
      </w:pPr>
      <w:r>
        <w:rPr>
          <w:b/>
          <w:i w:val="0"/>
          <w:color w:val="1F4E78"/>
        </w:rPr>
        <w:t xml:space="preserve">Exam Strategy: </w:t>
      </w:r>
      <w:r>
        <w:rPr>
          <w:b w:val="0"/>
          <w:i/>
        </w:rPr>
        <w:t>Document the plan, consent, responsibilities, barriers, actions, and follow-up point so continuity does not depend on memory.</w:t>
      </w:r>
    </w:p>
    <w:p>
      <w:pPr>
        <w:pStyle w:val="Heading2"/>
        <w:keepNext/>
        <w:keepLines/>
        <w:spacing w:before="100" w:after="40"/>
      </w:pPr>
      <w:r>
        <w:rPr>
          <w:b/>
          <w:i w:val="0"/>
          <w:sz w:val="20"/>
        </w:rPr>
        <w:t>Question 7 (LCSW-WB10-Q007)</w:t>
      </w:r>
    </w:p>
    <w:p>
      <w:pPr>
        <w:keepNext/>
        <w:keepLines/>
      </w:pPr>
      <w:r>
        <w:rPr>
          <w:b/>
          <w:i w:val="0"/>
          <w:color w:val="0F7C82"/>
        </w:rPr>
        <w:t>Correct Answer: D</w:t>
      </w:r>
    </w:p>
    <w:p>
      <w:pPr>
        <w:keepNext/>
        <w:keepLines/>
        <w:spacing w:after="40"/>
        <w:ind w:left="173"/>
      </w:pPr>
      <w:r>
        <w:rPr>
          <w:b/>
          <w:i w:val="0"/>
        </w:rPr>
        <w:t>A. Family participation is not automatically appropriate when a competent client declines it.</w:t>
      </w:r>
    </w:p>
    <w:p>
      <w:pPr>
        <w:keepNext/>
        <w:keepLines/>
        <w:spacing w:after="40"/>
        <w:ind w:left="173"/>
      </w:pPr>
      <w:r>
        <w:rPr>
          <w:b/>
          <w:i w:val="0"/>
        </w:rPr>
        <w:t>B. Ending services punishes the client for a family disagreement and threatens continuity.</w:t>
      </w:r>
    </w:p>
    <w:p>
      <w:pPr>
        <w:keepNext/>
        <w:keepLines/>
        <w:spacing w:after="40"/>
        <w:ind w:left="173"/>
      </w:pPr>
      <w:r>
        <w:rPr>
          <w:b/>
          <w:i w:val="0"/>
        </w:rPr>
        <w:t>C. The social worker can set boundaries without making an unnecessarily absolute statement; some limited communication may be appropriate with consent or under applicable requirements.</w:t>
      </w:r>
    </w:p>
    <w:p>
      <w:pPr>
        <w:keepNext/>
        <w:keepLines/>
        <w:spacing w:after="40"/>
        <w:ind w:left="173"/>
      </w:pPr>
      <w:r>
        <w:rPr>
          <w:b/>
          <w:i w:val="0"/>
        </w:rPr>
        <w:t>D. Correct. The social worker preserves self-determination while assessing safety, capacity, support needs, and information-sharing limits.</w:t>
      </w:r>
    </w:p>
    <w:p>
      <w:pPr>
        <w:keepLines/>
        <w:spacing w:after="120"/>
        <w:ind w:left="173"/>
      </w:pPr>
      <w:r>
        <w:rPr>
          <w:b/>
          <w:i w:val="0"/>
          <w:color w:val="1F4E78"/>
        </w:rPr>
        <w:t xml:space="preserve">Exam Strategy: </w:t>
      </w:r>
      <w:r>
        <w:rPr>
          <w:b w:val="0"/>
          <w:i/>
        </w:rPr>
        <w:t>Center the client’s goals and informed choices unless an immediate safety, legal, or capacity issue requires a different response.</w:t>
      </w:r>
    </w:p>
    <w:p>
      <w:pPr>
        <w:pStyle w:val="Heading2"/>
        <w:keepNext/>
        <w:keepLines/>
        <w:spacing w:before="100" w:after="40"/>
      </w:pPr>
      <w:r>
        <w:rPr>
          <w:b/>
          <w:i w:val="0"/>
          <w:sz w:val="20"/>
        </w:rPr>
        <w:t>Question 8 (LCSW-WB10-Q008)</w:t>
      </w:r>
    </w:p>
    <w:p>
      <w:pPr>
        <w:keepNext/>
        <w:keepLines/>
      </w:pPr>
      <w:r>
        <w:rPr>
          <w:b/>
          <w:i w:val="0"/>
          <w:color w:val="0F7C82"/>
        </w:rPr>
        <w:t>Correct Answer: C</w:t>
      </w:r>
    </w:p>
    <w:p>
      <w:pPr>
        <w:keepNext/>
        <w:keepLines/>
        <w:spacing w:after="40"/>
        <w:ind w:left="173"/>
      </w:pPr>
      <w:r>
        <w:rPr>
          <w:b/>
          <w:i w:val="0"/>
        </w:rPr>
        <w:t>A. Absolute legal reassurance exceeds competence and may be inaccurate.</w:t>
      </w:r>
    </w:p>
    <w:p>
      <w:pPr>
        <w:keepNext/>
        <w:keepLines/>
        <w:spacing w:after="40"/>
        <w:ind w:left="173"/>
      </w:pPr>
      <w:r>
        <w:rPr>
          <w:b/>
          <w:i w:val="0"/>
        </w:rPr>
        <w:t>B. Advising against application also functions as legal advice and may deprive the client of needed support.</w:t>
      </w:r>
    </w:p>
    <w:p>
      <w:pPr>
        <w:keepNext/>
        <w:keepLines/>
        <w:spacing w:after="40"/>
        <w:ind w:left="173"/>
      </w:pPr>
      <w:r>
        <w:rPr>
          <w:b/>
          <w:i w:val="0"/>
        </w:rPr>
        <w:t>C. Correct. The social worker addresses access, competence, informed choice, and qualified consultation.</w:t>
      </w:r>
    </w:p>
    <w:p>
      <w:pPr>
        <w:keepNext/>
        <w:keepLines/>
        <w:spacing w:after="40"/>
        <w:ind w:left="173"/>
      </w:pPr>
      <w:r>
        <w:rPr>
          <w:b/>
          <w:i w:val="0"/>
        </w:rPr>
        <w:t>D. Urgency does not justify bypassing the client’s stated risk concern or informed participation.</w:t>
      </w:r>
    </w:p>
    <w:p>
      <w:pPr>
        <w:keepLines/>
        <w:spacing w:after="120"/>
        <w:ind w:left="173"/>
      </w:pPr>
      <w:r>
        <w:rPr>
          <w:b/>
          <w:i w:val="0"/>
          <w:color w:val="1F4E78"/>
        </w:rPr>
        <w:t xml:space="preserve">Exam Strategy: </w:t>
      </w:r>
      <w:r>
        <w:rPr>
          <w:b w:val="0"/>
          <w:i/>
        </w:rPr>
        <w:t>Avoid legal advice outside competence; identify qualified resources, language access, eligibility concerns, and the client’s risk preferences.</w:t>
      </w:r>
    </w:p>
    <w:p>
      <w:pPr>
        <w:pStyle w:val="Heading2"/>
        <w:keepNext/>
        <w:keepLines/>
        <w:spacing w:before="100" w:after="40"/>
      </w:pPr>
      <w:r>
        <w:rPr>
          <w:b/>
          <w:i w:val="0"/>
          <w:sz w:val="20"/>
        </w:rPr>
        <w:t>Question 9 (LCSW-WB10-Q009)</w:t>
      </w:r>
    </w:p>
    <w:p>
      <w:pPr>
        <w:keepNext/>
        <w:keepLines/>
      </w:pPr>
      <w:r>
        <w:rPr>
          <w:b/>
          <w:i w:val="0"/>
          <w:color w:val="0F7C82"/>
        </w:rPr>
        <w:t>Correct Answer: A</w:t>
      </w:r>
    </w:p>
    <w:p>
      <w:pPr>
        <w:keepNext/>
        <w:keepLines/>
        <w:spacing w:after="40"/>
        <w:ind w:left="173"/>
      </w:pPr>
      <w:r>
        <w:rPr>
          <w:b/>
          <w:i w:val="0"/>
        </w:rPr>
        <w:t>A. Correct. This approach combines community participation, power analysis, accessibility, strategy, and evaluation.</w:t>
      </w:r>
    </w:p>
    <w:p>
      <w:pPr>
        <w:keepNext/>
        <w:keepLines/>
        <w:spacing w:after="40"/>
        <w:ind w:left="173"/>
      </w:pPr>
      <w:r>
        <w:rPr>
          <w:b/>
          <w:i w:val="0"/>
        </w:rPr>
        <w:t>B. Advocacy designed without affected residents limits participation and may miss their priorities and risk concerns.</w:t>
      </w:r>
    </w:p>
    <w:p>
      <w:pPr>
        <w:keepNext/>
        <w:keepLines/>
        <w:spacing w:after="40"/>
        <w:ind w:left="173"/>
      </w:pPr>
      <w:r>
        <w:rPr>
          <w:b/>
          <w:i w:val="0"/>
        </w:rPr>
        <w:t>C. Individual complaints may be less effective and do not address collective barriers or resident choice about joint action.</w:t>
      </w:r>
    </w:p>
    <w:p>
      <w:pPr>
        <w:keepNext/>
        <w:keepLines/>
        <w:spacing w:after="40"/>
        <w:ind w:left="173"/>
      </w:pPr>
      <w:r>
        <w:rPr>
          <w:b/>
          <w:i w:val="0"/>
        </w:rPr>
        <w:t>D. Emotional support may help, but it does not address the environmental and rights-related barrier.</w:t>
      </w:r>
    </w:p>
    <w:p>
      <w:pPr>
        <w:keepLines/>
        <w:spacing w:after="120"/>
        <w:ind w:left="173"/>
      </w:pPr>
      <w:r>
        <w:rPr>
          <w:b/>
          <w:i w:val="0"/>
          <w:color w:val="1F4E78"/>
        </w:rPr>
        <w:t xml:space="preserve">Exam Strategy: </w:t>
      </w:r>
      <w:r>
        <w:rPr>
          <w:b w:val="0"/>
          <w:i/>
        </w:rPr>
        <w:t>Clarify the barrier and the client’s goals, then choose the least intrusive effective level of advocacy with the client’s participation.</w:t>
      </w:r>
    </w:p>
    <w:p>
      <w:pPr>
        <w:pStyle w:val="Heading2"/>
        <w:keepNext/>
        <w:keepLines/>
        <w:spacing w:before="100" w:after="40"/>
      </w:pPr>
      <w:r>
        <w:rPr>
          <w:b/>
          <w:i w:val="0"/>
          <w:sz w:val="20"/>
        </w:rPr>
        <w:t>Question 10 (LCSW-WB10-Q010)</w:t>
      </w:r>
    </w:p>
    <w:p>
      <w:pPr>
        <w:keepNext/>
        <w:keepLines/>
      </w:pPr>
      <w:r>
        <w:rPr>
          <w:b/>
          <w:i w:val="0"/>
          <w:color w:val="0F7C82"/>
        </w:rPr>
        <w:t>Correct Answer: C</w:t>
      </w:r>
    </w:p>
    <w:p>
      <w:pPr>
        <w:keepNext/>
        <w:keepLines/>
        <w:spacing w:after="40"/>
        <w:ind w:left="173"/>
      </w:pPr>
      <w:r>
        <w:rPr>
          <w:b/>
          <w:i w:val="0"/>
        </w:rPr>
        <w:t>A. Depression care matters, but housing instability, medical risk, and access barriers require integrated prioritization.</w:t>
      </w:r>
    </w:p>
    <w:p>
      <w:pPr>
        <w:keepNext/>
        <w:keepLines/>
        <w:spacing w:after="40"/>
        <w:ind w:left="173"/>
      </w:pPr>
      <w:r>
        <w:rPr>
          <w:b/>
          <w:i w:val="0"/>
        </w:rPr>
        <w:t>B. This transfers a complex coordination burden to a client already facing multiple barriers and leaves responsibility unclear.</w:t>
      </w:r>
    </w:p>
    <w:p>
      <w:pPr>
        <w:keepNext/>
        <w:keepLines/>
        <w:spacing w:after="40"/>
        <w:ind w:left="173"/>
      </w:pPr>
      <w:r>
        <w:rPr>
          <w:b/>
          <w:i w:val="0"/>
        </w:rPr>
        <w:t>C. Correct. This response integrates acuity, person-in-environment assessment, role clarity, access, coordination, and follow-through.</w:t>
      </w:r>
    </w:p>
    <w:p>
      <w:pPr>
        <w:keepNext/>
        <w:keepLines/>
        <w:spacing w:after="40"/>
        <w:ind w:left="173"/>
      </w:pPr>
      <w:r>
        <w:rPr>
          <w:b/>
          <w:i w:val="0"/>
        </w:rPr>
        <w:t>D. Another agency may help, but an unsupported transfer and closure would threaten continuity and does not resolve the immediate gaps.</w:t>
      </w:r>
    </w:p>
    <w:p>
      <w:pPr>
        <w:keepLines/>
        <w:spacing w:after="120"/>
        <w:ind w:left="173"/>
      </w:pPr>
      <w:r>
        <w:rPr>
          <w:b/>
          <w:i w:val="0"/>
          <w:color w:val="1F4E78"/>
        </w:rPr>
        <w:t xml:space="preserve">Exam Strategy: </w:t>
      </w:r>
      <w:r>
        <w:rPr>
          <w:b w:val="0"/>
          <w:i/>
        </w:rPr>
        <w:t>Prioritize safety and basic needs, map systems and barriers, assign responsibility, use warm handoffs, and evaluate access and outcomes.</w:t>
      </w:r>
    </w:p>
    <w:p>
      <w:pPr>
        <w:pStyle w:val="Heading1"/>
      </w:pPr>
      <w:r>
        <w:t>Score and Study Plan</w:t>
      </w:r>
    </w:p>
    <w:tbl>
      <w:tblPr>
        <w:tblStyle w:val="TableGrid"/>
        <w:tblW w:type="auto" w:w="0"/>
        <w:jc w:val="center"/>
        <w:tblLayout w:type="fixed"/>
        <w:tblLook w:firstColumn="1" w:firstRow="1" w:lastColumn="0" w:lastRow="0" w:noHBand="0" w:noVBand="1" w:val="04A0"/>
      </w:tblPr>
      <w:tblGrid>
        <w:gridCol w:w="1728"/>
        <w:gridCol w:w="2880"/>
        <w:gridCol w:w="5328"/>
      </w:tblGrid>
      <w:tr>
        <w:trPr>
          <w:tblHeader w:val="true"/>
          <w:cantSplit/>
        </w:trPr>
        <w:tc>
          <w:tcPr>
            <w:tcW w:type="dxa" w:w="3360"/>
            <w:shd w:fill="17365D"/>
            <w:tcMar>
              <w:top w:w="100" w:type="dxa"/>
              <w:start w:w="120" w:type="dxa"/>
              <w:bottom w:w="100" w:type="dxa"/>
              <w:end w:w="120" w:type="dxa"/>
            </w:tcMar>
          </w:tcPr>
          <w:p>
            <w:pPr>
              <w:spacing w:after="0"/>
            </w:pPr>
            <w:r>
              <w:rPr>
                <w:b/>
                <w:color w:val="FFFFFF"/>
                <w:sz w:val="18"/>
              </w:rPr>
              <w:t>Score Range</w:t>
            </w:r>
          </w:p>
        </w:tc>
        <w:tc>
          <w:tcPr>
            <w:tcW w:type="dxa" w:w="3360"/>
            <w:shd w:fill="17365D"/>
            <w:tcMar>
              <w:top w:w="100" w:type="dxa"/>
              <w:start w:w="120" w:type="dxa"/>
              <w:bottom w:w="100" w:type="dxa"/>
              <w:end w:w="120" w:type="dxa"/>
            </w:tcMar>
          </w:tcPr>
          <w:p>
            <w:pPr>
              <w:spacing w:after="0"/>
            </w:pPr>
            <w:r>
              <w:rPr>
                <w:b/>
                <w:color w:val="FFFFFF"/>
                <w:sz w:val="18"/>
              </w:rPr>
              <w:t>Meaning</w:t>
            </w:r>
          </w:p>
        </w:tc>
        <w:tc>
          <w:tcPr>
            <w:tcW w:type="dxa" w:w="3360"/>
            <w:shd w:fill="17365D"/>
            <w:tcMar>
              <w:top w:w="100" w:type="dxa"/>
              <w:start w:w="120" w:type="dxa"/>
              <w:bottom w:w="100" w:type="dxa"/>
              <w:end w:w="120" w:type="dxa"/>
            </w:tcMar>
          </w:tcPr>
          <w:p>
            <w:pPr>
              <w:spacing w:after="0"/>
            </w:pPr>
            <w:r>
              <w:rPr>
                <w:b/>
                <w:color w:val="FFFFFF"/>
                <w:sz w:val="18"/>
              </w:rPr>
              <w:t>Recommended Next Step</w:t>
            </w:r>
          </w:p>
        </w:tc>
      </w:tr>
      <w:tr>
        <w:trPr>
          <w:cantSplit/>
        </w:trPr>
        <w:tc>
          <w:tcPr>
            <w:tcW w:type="dxa" w:w="1728"/>
            <w:tcMar>
              <w:top w:w="100" w:type="dxa"/>
              <w:start w:w="120" w:type="dxa"/>
              <w:bottom w:w="100" w:type="dxa"/>
              <w:end w:w="120" w:type="dxa"/>
            </w:tcMar>
          </w:tcPr>
          <w:p>
            <w:pPr>
              <w:spacing w:after="0"/>
            </w:pPr>
            <w:r>
              <w:rPr>
                <w:sz w:val="18"/>
              </w:rPr>
              <w:t>9-10</w:t>
            </w:r>
          </w:p>
        </w:tc>
        <w:tc>
          <w:tcPr>
            <w:tcW w:type="dxa" w:w="2880"/>
            <w:tcMar>
              <w:top w:w="100" w:type="dxa"/>
              <w:start w:w="120" w:type="dxa"/>
              <w:bottom w:w="100" w:type="dxa"/>
              <w:end w:w="120" w:type="dxa"/>
            </w:tcMar>
          </w:tcPr>
          <w:p>
            <w:pPr>
              <w:spacing w:after="0"/>
            </w:pPr>
            <w:r>
              <w:rPr>
                <w:sz w:val="18"/>
              </w:rPr>
              <w:t>Strong applied reasoning</w:t>
            </w:r>
          </w:p>
        </w:tc>
        <w:tc>
          <w:tcPr>
            <w:tcW w:type="dxa" w:w="5328"/>
            <w:tcMar>
              <w:top w:w="100" w:type="dxa"/>
              <w:start w:w="120" w:type="dxa"/>
              <w:bottom w:w="100" w:type="dxa"/>
              <w:end w:w="120" w:type="dxa"/>
            </w:tcMar>
          </w:tcPr>
          <w:p>
            <w:pPr>
              <w:spacing w:after="0"/>
            </w:pPr>
            <w:r>
              <w:rPr>
                <w:sz w:val="18"/>
              </w:rPr>
              <w:t>Review low-confidence items and complete mixed vignettes that combine context, access, participation, and evaluation.</w:t>
            </w:r>
          </w:p>
        </w:tc>
      </w:tr>
      <w:tr>
        <w:trPr>
          <w:cantSplit/>
        </w:trPr>
        <w:tc>
          <w:tcPr>
            <w:tcW w:type="dxa" w:w="1728"/>
            <w:tcMar>
              <w:top w:w="100" w:type="dxa"/>
              <w:start w:w="120" w:type="dxa"/>
              <w:bottom w:w="100" w:type="dxa"/>
              <w:end w:w="120" w:type="dxa"/>
            </w:tcMar>
            <w:shd w:fill="F7F8FA"/>
          </w:tcPr>
          <w:p>
            <w:pPr>
              <w:spacing w:after="0"/>
            </w:pPr>
            <w:r>
              <w:rPr>
                <w:sz w:val="18"/>
              </w:rPr>
              <w:t>7-8</w:t>
            </w:r>
          </w:p>
        </w:tc>
        <w:tc>
          <w:tcPr>
            <w:tcW w:type="dxa" w:w="2880"/>
            <w:tcMar>
              <w:top w:w="100" w:type="dxa"/>
              <w:start w:w="120" w:type="dxa"/>
              <w:bottom w:w="100" w:type="dxa"/>
              <w:end w:w="120" w:type="dxa"/>
            </w:tcMar>
            <w:shd w:fill="F7F8FA"/>
          </w:tcPr>
          <w:p>
            <w:pPr>
              <w:spacing w:after="0"/>
            </w:pPr>
            <w:r>
              <w:rPr>
                <w:sz w:val="18"/>
              </w:rPr>
              <w:t>Developing consistency</w:t>
            </w:r>
          </w:p>
        </w:tc>
        <w:tc>
          <w:tcPr>
            <w:tcW w:type="dxa" w:w="5328"/>
            <w:tcMar>
              <w:top w:w="100" w:type="dxa"/>
              <w:start w:w="120" w:type="dxa"/>
              <w:bottom w:w="100" w:type="dxa"/>
              <w:end w:w="120" w:type="dxa"/>
            </w:tcMar>
            <w:shd w:fill="F7F8FA"/>
          </w:tcPr>
          <w:p>
            <w:pPr>
              <w:spacing w:after="0"/>
            </w:pPr>
            <w:r>
              <w:rPr>
                <w:sz w:val="18"/>
              </w:rPr>
              <w:t>Revisit the decision sequence and practice explaining why the best response fits the client system and setting.</w:t>
            </w:r>
          </w:p>
        </w:tc>
      </w:tr>
      <w:tr>
        <w:trPr>
          <w:cantSplit/>
        </w:trPr>
        <w:tc>
          <w:tcPr>
            <w:tcW w:type="dxa" w:w="1728"/>
            <w:tcMar>
              <w:top w:w="100" w:type="dxa"/>
              <w:start w:w="120" w:type="dxa"/>
              <w:bottom w:w="100" w:type="dxa"/>
              <w:end w:w="120" w:type="dxa"/>
            </w:tcMar>
          </w:tcPr>
          <w:p>
            <w:pPr>
              <w:spacing w:after="0"/>
            </w:pPr>
            <w:r>
              <w:rPr>
                <w:sz w:val="18"/>
              </w:rPr>
              <w:t>5-6</w:t>
            </w:r>
          </w:p>
        </w:tc>
        <w:tc>
          <w:tcPr>
            <w:tcW w:type="dxa" w:w="2880"/>
            <w:tcMar>
              <w:top w:w="100" w:type="dxa"/>
              <w:start w:w="120" w:type="dxa"/>
              <w:bottom w:w="100" w:type="dxa"/>
              <w:end w:w="120" w:type="dxa"/>
            </w:tcMar>
          </w:tcPr>
          <w:p>
            <w:pPr>
              <w:spacing w:after="0"/>
            </w:pPr>
            <w:r>
              <w:rPr>
                <w:sz w:val="18"/>
              </w:rPr>
              <w:t>Important reasoning gaps</w:t>
            </w:r>
          </w:p>
        </w:tc>
        <w:tc>
          <w:tcPr>
            <w:tcW w:type="dxa" w:w="5328"/>
            <w:tcMar>
              <w:top w:w="100" w:type="dxa"/>
              <w:start w:w="120" w:type="dxa"/>
              <w:bottom w:w="100" w:type="dxa"/>
              <w:end w:w="120" w:type="dxa"/>
            </w:tcMar>
          </w:tcPr>
          <w:p>
            <w:pPr>
              <w:spacing w:after="0"/>
            </w:pPr>
            <w:r>
              <w:rPr>
                <w:sz w:val="18"/>
              </w:rPr>
              <w:t>Practice separating the presenting problem from the contextual factors that change intervention fit.</w:t>
            </w:r>
          </w:p>
        </w:tc>
      </w:tr>
      <w:tr>
        <w:trPr>
          <w:cantSplit/>
        </w:trPr>
        <w:tc>
          <w:tcPr>
            <w:tcW w:type="dxa" w:w="1728"/>
            <w:tcMar>
              <w:top w:w="100" w:type="dxa"/>
              <w:start w:w="120" w:type="dxa"/>
              <w:bottom w:w="100" w:type="dxa"/>
              <w:end w:w="120" w:type="dxa"/>
            </w:tcMar>
            <w:shd w:fill="F7F8FA"/>
          </w:tcPr>
          <w:p>
            <w:pPr>
              <w:spacing w:after="0"/>
            </w:pPr>
            <w:r>
              <w:rPr>
                <w:sz w:val="18"/>
              </w:rPr>
              <w:t>0-4</w:t>
            </w:r>
          </w:p>
        </w:tc>
        <w:tc>
          <w:tcPr>
            <w:tcW w:type="dxa" w:w="2880"/>
            <w:tcMar>
              <w:top w:w="100" w:type="dxa"/>
              <w:start w:w="120" w:type="dxa"/>
              <w:bottom w:w="100" w:type="dxa"/>
              <w:end w:w="120" w:type="dxa"/>
            </w:tcMar>
            <w:shd w:fill="F7F8FA"/>
          </w:tcPr>
          <w:p>
            <w:pPr>
              <w:spacing w:after="0"/>
            </w:pPr>
            <w:r>
              <w:rPr>
                <w:sz w:val="18"/>
              </w:rPr>
              <w:t>Foundation needs reinforcement</w:t>
            </w:r>
          </w:p>
        </w:tc>
        <w:tc>
          <w:tcPr>
            <w:tcW w:type="dxa" w:w="5328"/>
            <w:tcMar>
              <w:top w:w="100" w:type="dxa"/>
              <w:start w:w="120" w:type="dxa"/>
              <w:bottom w:w="100" w:type="dxa"/>
              <w:end w:w="120" w:type="dxa"/>
            </w:tcMar>
            <w:shd w:fill="F7F8FA"/>
          </w:tcPr>
          <w:p>
            <w:pPr>
              <w:spacing w:after="0"/>
            </w:pPr>
            <w:r>
              <w:rPr>
                <w:sz w:val="18"/>
              </w:rPr>
              <w:t>Study one domain at a time, complete the worksheet, and retake the questions without the answer key.</w:t>
            </w:r>
          </w:p>
        </w:tc>
      </w:tr>
    </w:tbl>
    <w:p>
      <w:pPr>
        <w:spacing w:after="0"/>
      </w:pPr>
    </w:p>
    <w:p>
      <w:pPr>
        <w:pStyle w:val="Heading2"/>
      </w:pPr>
      <w:r>
        <w:t>My Error Patterns</w:t>
      </w:r>
    </w:p>
    <w:tbl>
      <w:tblPr>
        <w:tblStyle w:val="TableGrid"/>
        <w:tblW w:type="auto" w:w="0"/>
        <w:jc w:val="center"/>
        <w:tblLayout w:type="fixed"/>
        <w:tblLook w:firstColumn="1" w:firstRow="1" w:lastColumn="0" w:lastRow="0" w:noHBand="0" w:noVBand="1" w:val="04A0"/>
      </w:tblPr>
      <w:tblGrid>
        <w:gridCol w:w="2016"/>
        <w:gridCol w:w="3024"/>
        <w:gridCol w:w="4896"/>
      </w:tblGrid>
      <w:tr>
        <w:trPr>
          <w:tblHeader w:val="true"/>
          <w:cantSplit/>
        </w:trPr>
        <w:tc>
          <w:tcPr>
            <w:tcW w:type="dxa" w:w="3360"/>
            <w:shd w:fill="17365D"/>
            <w:tcMar>
              <w:top w:w="100" w:type="dxa"/>
              <w:start w:w="120" w:type="dxa"/>
              <w:bottom w:w="100" w:type="dxa"/>
              <w:end w:w="120" w:type="dxa"/>
            </w:tcMar>
          </w:tcPr>
          <w:p>
            <w:pPr>
              <w:spacing w:after="0"/>
            </w:pPr>
            <w:r>
              <w:rPr>
                <w:b/>
                <w:color w:val="FFFFFF"/>
                <w:sz w:val="18"/>
              </w:rPr>
              <w:t>Question(s)</w:t>
            </w:r>
          </w:p>
        </w:tc>
        <w:tc>
          <w:tcPr>
            <w:tcW w:type="dxa" w:w="3360"/>
            <w:shd w:fill="17365D"/>
            <w:tcMar>
              <w:top w:w="100" w:type="dxa"/>
              <w:start w:w="120" w:type="dxa"/>
              <w:bottom w:w="100" w:type="dxa"/>
              <w:end w:w="120" w:type="dxa"/>
            </w:tcMar>
          </w:tcPr>
          <w:p>
            <w:pPr>
              <w:spacing w:after="0"/>
            </w:pPr>
            <w:r>
              <w:rPr>
                <w:b/>
                <w:color w:val="FFFFFF"/>
                <w:sz w:val="18"/>
              </w:rPr>
              <w:t>Error Type</w:t>
            </w:r>
          </w:p>
        </w:tc>
        <w:tc>
          <w:tcPr>
            <w:tcW w:type="dxa" w:w="3360"/>
            <w:shd w:fill="17365D"/>
            <w:tcMar>
              <w:top w:w="100" w:type="dxa"/>
              <w:start w:w="120" w:type="dxa"/>
              <w:bottom w:w="100" w:type="dxa"/>
              <w:end w:w="120" w:type="dxa"/>
            </w:tcMar>
          </w:tcPr>
          <w:p>
            <w:pPr>
              <w:spacing w:after="0"/>
            </w:pPr>
            <w:r>
              <w:rPr>
                <w:b/>
                <w:color w:val="FFFFFF"/>
                <w:sz w:val="18"/>
              </w:rPr>
              <w:t>Rule I Will Use Next Time</w:t>
            </w:r>
          </w:p>
        </w:tc>
      </w:tr>
      <w:tr>
        <w:trPr>
          <w:cantSplit/>
        </w:trPr>
        <w:tc>
          <w:tcPr>
            <w:tcW w:type="dxa" w:w="2016"/>
            <w:tcMar>
              <w:top w:w="100" w:type="dxa"/>
              <w:start w:w="120" w:type="dxa"/>
              <w:bottom w:w="100" w:type="dxa"/>
              <w:end w:w="120" w:type="dxa"/>
            </w:tcMar>
          </w:tcPr>
          <w:p>
            <w:pPr>
              <w:spacing w:after="0"/>
            </w:pPr>
            <w:r>
              <w:rPr>
                <w:sz w:val="18"/>
              </w:rPr>
            </w:r>
          </w:p>
        </w:tc>
        <w:tc>
          <w:tcPr>
            <w:tcW w:type="dxa" w:w="3024"/>
            <w:tcMar>
              <w:top w:w="100" w:type="dxa"/>
              <w:start w:w="120" w:type="dxa"/>
              <w:bottom w:w="100" w:type="dxa"/>
              <w:end w:w="120" w:type="dxa"/>
            </w:tcMar>
          </w:tcPr>
          <w:p>
            <w:pPr>
              <w:spacing w:after="0"/>
            </w:pPr>
            <w:r>
              <w:rPr>
                <w:sz w:val="18"/>
              </w:rPr>
            </w:r>
          </w:p>
        </w:tc>
        <w:tc>
          <w:tcPr>
            <w:tcW w:type="dxa" w:w="4896"/>
            <w:tcMar>
              <w:top w:w="100" w:type="dxa"/>
              <w:start w:w="120" w:type="dxa"/>
              <w:bottom w:w="100" w:type="dxa"/>
              <w:end w:w="120" w:type="dxa"/>
            </w:tcMar>
          </w:tcPr>
          <w:p>
            <w:pPr>
              <w:spacing w:after="0"/>
            </w:pPr>
            <w:r>
              <w:rPr>
                <w:sz w:val="18"/>
              </w:rPr>
            </w:r>
          </w:p>
        </w:tc>
      </w:tr>
      <w:tr>
        <w:trPr>
          <w:cantSplit/>
        </w:trPr>
        <w:tc>
          <w:tcPr>
            <w:tcW w:type="dxa" w:w="2016"/>
            <w:tcMar>
              <w:top w:w="100" w:type="dxa"/>
              <w:start w:w="120" w:type="dxa"/>
              <w:bottom w:w="100" w:type="dxa"/>
              <w:end w:w="120" w:type="dxa"/>
            </w:tcMar>
            <w:shd w:fill="F7F8FA"/>
          </w:tcPr>
          <w:p>
            <w:pPr>
              <w:spacing w:after="0"/>
            </w:pPr>
            <w:r>
              <w:rPr>
                <w:sz w:val="18"/>
              </w:rPr>
            </w:r>
          </w:p>
        </w:tc>
        <w:tc>
          <w:tcPr>
            <w:tcW w:type="dxa" w:w="3024"/>
            <w:tcMar>
              <w:top w:w="100" w:type="dxa"/>
              <w:start w:w="120" w:type="dxa"/>
              <w:bottom w:w="100" w:type="dxa"/>
              <w:end w:w="120" w:type="dxa"/>
            </w:tcMar>
            <w:shd w:fill="F7F8FA"/>
          </w:tcPr>
          <w:p>
            <w:pPr>
              <w:spacing w:after="0"/>
            </w:pPr>
            <w:r>
              <w:rPr>
                <w:sz w:val="18"/>
              </w:rPr>
            </w:r>
          </w:p>
        </w:tc>
        <w:tc>
          <w:tcPr>
            <w:tcW w:type="dxa" w:w="4896"/>
            <w:tcMar>
              <w:top w:w="100" w:type="dxa"/>
              <w:start w:w="120" w:type="dxa"/>
              <w:bottom w:w="100" w:type="dxa"/>
              <w:end w:w="120" w:type="dxa"/>
            </w:tcMar>
            <w:shd w:fill="F7F8FA"/>
          </w:tcPr>
          <w:p>
            <w:pPr>
              <w:spacing w:after="0"/>
            </w:pPr>
            <w:r>
              <w:rPr>
                <w:sz w:val="18"/>
              </w:rPr>
            </w:r>
          </w:p>
        </w:tc>
      </w:tr>
    </w:tbl>
    <w:p>
      <w:pPr>
        <w:spacing w:after="0"/>
      </w:pPr>
    </w:p>
    <w:p>
      <w:pPr>
        <w:pStyle w:val="Heading2"/>
      </w:pPr>
      <w:r>
        <w:t>Final Review Checklist</w:t>
      </w:r>
    </w:p>
    <w:p>
      <w:pPr>
        <w:pStyle w:val="ListBullet"/>
      </w:pPr>
      <w:r>
        <w:t>Did I identify the immediate priority and the client-defined goal?</w:t>
      </w:r>
    </w:p>
    <w:p>
      <w:pPr>
        <w:pStyle w:val="ListBullet"/>
      </w:pPr>
      <w:r>
        <w:t>Did I map the relevant people, agencies, benefits, services, and barriers?</w:t>
      </w:r>
    </w:p>
    <w:p>
      <w:pPr>
        <w:pStyle w:val="ListBullet"/>
      </w:pPr>
      <w:r>
        <w:t>Did I select the correct level of advocacy and preserve client participation?</w:t>
      </w:r>
    </w:p>
    <w:p>
      <w:pPr>
        <w:pStyle w:val="ListBullet"/>
      </w:pPr>
      <w:r>
        <w:t>Did I clarify consent, role, responsibility, and information-sharing limits?</w:t>
      </w:r>
    </w:p>
    <w:p>
      <w:pPr>
        <w:pStyle w:val="ListBullet"/>
      </w:pPr>
      <w:r>
        <w:t>Did I use an accessible warm handoff and confirm follow-through?</w:t>
      </w:r>
    </w:p>
    <w:p>
      <w:pPr>
        <w:pStyle w:val="ListBullet"/>
      </w:pPr>
      <w:r>
        <w:t>Did I define a review date and outcome indicators for access, continuity, and effectiveness?</w:t>
      </w:r>
    </w:p>
    <w:p>
      <w:pPr>
        <w:pStyle w:val="Heading1"/>
      </w:pPr>
      <w:r>
        <w:t>Sources and Currency Note</w:t>
      </w:r>
    </w:p>
    <w:p>
      <w:pPr>
        <w:pStyle w:val="ListBullet"/>
      </w:pPr>
      <w:r>
        <w:t>Association of Social Work Boards. ASWB Examination Guidebook: 2026 Blueprints for Exams Taken on or After August 3, 2026 (May 2026), Clinical content outline and references.</w:t>
      </w:r>
    </w:p>
    <w:p>
      <w:pPr>
        <w:pStyle w:val="ListBullet"/>
      </w:pPr>
      <w:r>
        <w:t>Association of Social Work Boards. 2026 changes to the Social Work Licensing Exams and current Clinical examination resources (accessed July 24, 2026).</w:t>
      </w:r>
    </w:p>
    <w:p>
      <w:pPr>
        <w:pStyle w:val="ListBullet"/>
      </w:pPr>
      <w:r>
        <w:t>National Association of Social Workers. Code of Ethics (2021).</w:t>
      </w:r>
    </w:p>
    <w:p>
      <w:pPr>
        <w:pStyle w:val="ListBullet"/>
      </w:pPr>
      <w:r>
        <w:t>Case management, advocacy, referral, benefits, immigration, health-care, education, disability, and interagency collaboration principles are presented at a national examination-preparation level. Jurisdiction-specific law, eligibility rules, and organizational policy must be verified locally.</w:t>
      </w:r>
    </w:p>
    <w:p>
      <w:pPr>
        <w:pStyle w:val="ListBullet"/>
      </w:pPr>
      <w:r>
        <w:t>This workbook uses national ASWB reasoning unless a vignette supplies a jurisdiction. Exam specifications, laws, ethical standards, benefit rules, and professional guidance may change.</w:t>
      </w:r>
    </w:p>
    <w:sectPr w:rsidR="00FC693F" w:rsidRPr="0006063C" w:rsidSect="00034616">
      <w:headerReference w:type="first" r:id="rId10"/>
      <w:footerReference w:type="first" r:id="rId11"/>
      <w:headerReference w:type="default" r:id="rId12"/>
      <w:footerReference w:type="default" r:id="rId13"/>
      <w:headerReference w:type="even" r:id="rId14"/>
      <w:footerReference w:type="even" r:id="rId15"/>
      <w:pgSz w:w="12240" w:h="15840"/>
      <w:pgMar w:top="936" w:right="1080" w:bottom="936" w:left="1080" w:header="360"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5040"/>
      <w:gridCol w:w="5040"/>
    </w:tblGrid>
    <w:tr>
      <w:trPr>
        <w:tblHeader w:val="true"/>
      </w:trPr>
      <w:tc>
        <w:tcPr>
          <w:tcW w:type="dxa" w:w="5040"/>
        </w:tcPr>
        <w:p>
          <w:r>
            <w:rPr>
              <w:rFonts w:ascii="Aptos" w:hAnsi="Aptos"/>
              <w:color w:val="6B7280"/>
              <w:sz w:val="16"/>
            </w:rPr>
            <w:t>Clinical Training Academy • Student Workbook</w:t>
          </w:r>
        </w:p>
      </w:tc>
      <w:tc>
        <w:tcPr>
          <w:tcW w:type="dxa" w:w="5040"/>
        </w:tcPr>
        <w:p>
          <w:pPr>
            <w:jc w:val="right"/>
          </w:pPr>
          <w:r>
            <w:t xml:space="preserve">Page </w:t>
          </w:r>
          <w:r>
            <w:fldChar w:fldCharType="begin"/>
            <w:instrText xml:space="preserve"> PAGE </w:instrText>
            <w:fldChar w:fldCharType="separate"/>
            <w:t>1</w:t>
            <w:fldChar w:fldCharType="end"/>
          </w:r>
        </w:p>
      </w:tc>
    </w:tr>
  </w:tbl>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667085"/>
        <w:sz w:val="18"/>
      </w:rPr>
      <w:t xml:space="preserve">   LCSW Workbook 10  |  Case Management, Advocacy, Resources, and Collaboration</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0E749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TASmallCaps">
    <w:name w:val="CTA Small Caps"/>
    <w:pPr>
      <w:spacing w:after="40"/>
    </w:pPr>
    <w:rPr>
      <w:rFonts w:ascii="Aptos" w:hAnsi="Aptos"/>
      <w:b/>
      <w:color w:val="0E749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LCSW Workbook 10: Case Management, Advocacy, Resources, and Collaboration</dc:title>
  <dc:subject>LCSW Exam Preparation Program Student Workbook</dc:subject>
  <dc:creator>Clinical Training Academy</dc:creator>
  <cp:keywords>CTA, LCSW, exam preparation, Workbook 10</cp:keywords>
  <dc:description>Student-facing examination preparation workbook.</dc:description>
  <cp:lastModifiedBy>Clinical Training Academy</cp:lastModifiedBy>
  <cp:revision>1</cp:revision>
  <dcterms:created xsi:type="dcterms:W3CDTF">2013-12-23T23:15:00Z</dcterms:created>
  <dcterms:modified xsi:type="dcterms:W3CDTF">2013-12-23T23:15:00Z</dcterms:modified>
  <cp:category/>
</cp:coreProperties>
</file>