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828800" cy="1321942"/>
            <wp:docPr id="1" name="Picture 1" descr="Clinical Training Academy logo" title="Clinical Training Academy logo"/>
            <wp:cNvGraphicFramePr>
              <a:graphicFrameLocks noChangeAspect="1"/>
            </wp:cNvGraphicFramePr>
            <a:graphic>
              <a:graphicData uri="http://schemas.openxmlformats.org/drawingml/2006/picture">
                <pic:pic>
                  <pic:nvPicPr>
                    <pic:cNvPr id="0" name="CTA_Stacked_Logo(3).png"/>
                    <pic:cNvPicPr/>
                  </pic:nvPicPr>
                  <pic:blipFill>
                    <a:blip r:embed="rId9"/>
                    <a:stretch>
                      <a:fillRect/>
                    </a:stretch>
                  </pic:blipFill>
                  <pic:spPr>
                    <a:xfrm>
                      <a:off x="0" y="0"/>
                      <a:ext cx="1828800" cy="1321942"/>
                    </a:xfrm>
                    <a:prstGeom prst="rect"/>
                  </pic:spPr>
                </pic:pic>
              </a:graphicData>
            </a:graphic>
          </wp:inline>
        </w:drawing>
      </w:r>
    </w:p>
    <w:p>
      <w:pPr>
        <w:jc w:val="center"/>
      </w:pPr>
      <w:r>
        <w:rPr>
          <w:rFonts w:ascii="Aptos" w:hAnsi="Aptos"/>
          <w:b/>
          <w:color w:val="0E7490"/>
          <w:sz w:val="22"/>
        </w:rPr>
        <w:t>LCSW ASWB CLINICAL EXAM PREPARATION PROGRAM</w:t>
      </w:r>
    </w:p>
    <w:p>
      <w:pPr>
        <w:jc w:val="center"/>
      </w:pPr>
      <w:r>
        <w:rPr>
          <w:rFonts w:ascii="Aptos" w:hAnsi="Aptos"/>
          <w:b/>
          <w:color w:val="D9A441"/>
          <w:sz w:val="28"/>
        </w:rPr>
        <w:t>Student Workbook</w:t>
      </w:r>
    </w:p>
    <w:p>
      <w:pPr>
        <w:pStyle w:val="Title"/>
        <w:jc w:val="center"/>
      </w:pPr>
      <w:r>
        <w:t>CTA LCSW Workbook 1: ASWB Exam Strategy and Applied Reasoning</w:t>
      </w:r>
    </w:p>
    <w:p>
      <w:pPr>
        <w:jc w:val="center"/>
      </w:pPr>
      <w:r>
        <w:rPr>
          <w:rFonts w:ascii="Aptos" w:hAnsi="Aptos"/>
          <w:i/>
          <w:color w:val="4B5563"/>
          <w:sz w:val="24"/>
        </w:rPr>
        <w:t>How to identify the task, organize social work knowledge, and choose the FIRST or MOST appropriate action</w:t>
      </w:r>
    </w:p>
    <w:p/>
    <w:p>
      <w:pPr>
        <w:jc w:val="center"/>
      </w:pPr>
      <w:r>
        <w:rPr>
          <w:rFonts w:ascii="Aptos" w:hAnsi="Aptos"/>
          <w:color w:val="6B7280"/>
          <w:sz w:val="19"/>
        </w:rPr>
        <w:t>Version 1.0 - July 2026</w:t>
      </w:r>
    </w:p>
    <w:p/>
    <w:tbl>
      <w:tblPr>
        <w:tblW w:type="auto" w:w="0"/>
        <w:jc w:val="center"/>
        <w:tblLayout w:type="fixed"/>
        <w:tblLook w:firstColumn="1" w:firstRow="1" w:lastColumn="0" w:lastRow="0" w:noHBand="0" w:noVBand="1" w:val="04A0"/>
      </w:tblPr>
      <w:tblGrid>
        <w:gridCol w:w="8352"/>
      </w:tblGrid>
      <w:tr>
        <w:trPr>
          <w:cantSplit w:val="true"/>
        </w:trPr>
        <w:tc>
          <w:tcPr>
            <w:tcW w:type="dxa" w:w="8640"/>
            <w:shd w:fill="FFF7E6" w:val="clear"/>
            <w:tcBorders>
              <w:top w:val="single" w:sz="6" w:color="9EBAD0"/>
              <w:left w:val="single" w:sz="6" w:color="9EBAD0"/>
              <w:bottom w:val="single" w:sz="6" w:color="9EBAD0"/>
              <w:right w:val="single" w:sz="6" w:color="9EBAD0"/>
              <w:insideH w:val="single" w:sz="6" w:color="9EBAD0"/>
              <w:insideV w:val="single" w:sz="6" w:color="9EBAD0"/>
            </w:tcBorders>
            <w:vAlign w:val="center"/>
          </w:tcPr>
          <w:p>
            <w:pPr>
              <w:spacing w:before="100" w:after="100"/>
              <w:jc w:val="left"/>
            </w:pPr>
            <w:r>
              <w:rPr>
                <w:rFonts w:ascii="Aptos" w:hAnsi="Aptos"/>
                <w:b/>
                <w:color w:val="17365D"/>
                <w:sz w:val="19"/>
              </w:rPr>
              <w:t>STUDENT-FACING EXAM PREPARATION MATERIAL</w:t>
            </w:r>
            <w:r>
              <w:rPr>
                <w:rFonts w:ascii="Aptos" w:hAnsi="Aptos"/>
                <w:color w:val="1F2937"/>
                <w:sz w:val="18"/>
              </w:rPr>
              <w:br/>
              <w:t>All practice questions are original CTA items and are not actual licensing-examination questions.</w:t>
            </w:r>
          </w:p>
        </w:tc>
      </w:tr>
    </w:tbl>
    <w:p/>
    <w:p>
      <w:pPr>
        <w:jc w:val="center"/>
      </w:pPr>
      <w:r>
        <w:rPr>
          <w:rFonts w:ascii="Aptos" w:hAnsi="Aptos"/>
          <w:b/>
          <w:color w:val="17365D"/>
          <w:sz w:val="20"/>
        </w:rPr>
        <w:t>Clinical Training Academy</w:t>
      </w:r>
    </w:p>
    <w:p>
      <w:r>
        <w:br w:type="page"/>
      </w:r>
    </w:p>
    <w:p>
      <w:pPr>
        <w:pStyle w:val="Heading1"/>
        <w:keepNext/>
      </w:pPr>
      <w:r>
        <w:t>How to Use This Workbook</w:t>
      </w:r>
    </w:p>
    <w:p>
      <w:r>
        <w:t>This workbook teaches the reasoning process used throughout the LCSW ASWB Clinical Exam Preparation Program. Read the strategy sections first, apply the three-pass method to the worked example and worksheet, complete the knowledge check without viewing the answers, and then study the rationale for every option - not only the correct answer.</w:t>
      </w:r>
    </w:p>
    <w:tbl>
      <w:tblPr>
        <w:tblW w:type="auto" w:w="0"/>
        <w:jc w:val="center"/>
        <w:tblLayout w:type="autofit"/>
        <w:tblLook w:firstColumn="1" w:firstRow="1" w:lastColumn="0" w:lastRow="0" w:noHBand="0" w:noVBand="1" w:val="04A0"/>
      </w:tblPr>
      <w:tblGrid>
        <w:gridCol w:w="10080"/>
      </w:tblGrid>
      <w:tr>
        <w:trPr>
          <w:cantSplit w:val="true"/>
        </w:trPr>
        <w:tc>
          <w:tcPr>
            <w:tcW w:type="dxa" w:w="10080"/>
            <w:shd w:fill="EAF5F8" w:val="clear"/>
            <w:tcBorders>
              <w:top w:val="single" w:sz="6" w:color="A7BDC6"/>
              <w:left w:val="single" w:sz="6" w:color="A7BDC6"/>
              <w:bottom w:val="single" w:sz="6" w:color="A7BDC6"/>
              <w:right w:val="single" w:sz="6" w:color="A7BDC6"/>
              <w:insideH w:val="single" w:sz="6" w:color="A7BDC6"/>
              <w:insideV w:val="single" w:sz="6" w:color="A7BDC6"/>
            </w:tcBorders>
            <w:vAlign w:val="center"/>
          </w:tcPr>
          <w:p>
            <w:pPr>
              <w:spacing w:before="100" w:after="100"/>
              <w:jc w:val="left"/>
            </w:pPr>
            <w:r>
              <w:rPr>
                <w:rFonts w:ascii="Aptos" w:hAnsi="Aptos"/>
                <w:b/>
                <w:color w:val="17365D"/>
                <w:sz w:val="19"/>
              </w:rPr>
              <w:t>EDUCATIONAL, NON-AFFILIATION, AND SCOPE NOTICE</w:t>
            </w:r>
            <w:r>
              <w:rPr>
                <w:rFonts w:ascii="Aptos" w:hAnsi="Aptos"/>
                <w:color w:val="1F2937"/>
                <w:sz w:val="18"/>
              </w:rPr>
              <w:br/>
              <w:t>This workbook is an independent educational resource developed by Clinical Training and Supervision Academy. CTA is not affiliated with, endorsed by, or sponsored by the California Board of Behavioral Sciences, Pearson VUE, the Association of Social Work Boards, or any other licensing or testing organization. Completion does not guarantee examination passage. The material is not legal advice, clinical supervision, diagnosis, treatment, or a substitute for consultation with qualified legal, clinical, regulatory, or professional experts. Examination specifications and rules may change; consult current official sources before registering or testing.</w:t>
            </w:r>
          </w:p>
        </w:tc>
      </w:tr>
    </w:tbl>
    <w:p/>
    <w:p>
      <w:pPr>
        <w:pStyle w:val="Heading1"/>
        <w:keepNext/>
      </w:pPr>
      <w:r>
        <w:t>Learning Objectives</w:t>
      </w:r>
    </w:p>
    <w:p>
      <w:pPr>
        <w:pStyle w:val="ListBullet"/>
        <w:spacing w:after="60"/>
      </w:pPr>
      <w:r>
        <w:t>Identify the stem, options, distractors, key, and qualifier in an ASWB-style multiple-choice item.</w:t>
      </w:r>
    </w:p>
    <w:p>
      <w:pPr>
        <w:pStyle w:val="ListBullet"/>
        <w:spacing w:after="60"/>
      </w:pPr>
      <w:r>
        <w:t>Distinguish recall, application, and reasoning demands and select an efficient response process.</w:t>
      </w:r>
    </w:p>
    <w:p>
      <w:pPr>
        <w:pStyle w:val="ListBullet"/>
        <w:spacing w:after="60"/>
      </w:pPr>
      <w:r>
        <w:t>Apply a social work decision sequence that prioritizes safety, ethics, self-determination, assessment, planning, intervention, resources, and evaluation.</w:t>
      </w:r>
    </w:p>
    <w:p>
      <w:pPr>
        <w:pStyle w:val="ListBullet"/>
        <w:spacing w:after="60"/>
      </w:pPr>
      <w:r>
        <w:t>Use person-in-environment and strengths-based reasoning without referring, diagnosing, reporting, or intervening before the facts support the action.</w:t>
      </w:r>
    </w:p>
    <w:p>
      <w:pPr>
        <w:pStyle w:val="ListBullet"/>
        <w:spacing w:after="60"/>
      </w:pPr>
      <w:r>
        <w:t>Use pacing, section review, flagging, and elimination strategies for the current four-hour ASWB Clinical examination.</w:t>
      </w:r>
    </w:p>
    <w:p>
      <w:pPr>
        <w:pStyle w:val="Heading1"/>
        <w:keepNext/>
      </w:pPr>
      <w:r>
        <w:t>Why This Topic Matters</w:t>
      </w:r>
    </w:p>
    <w:p>
      <w:r>
        <w:t>The ASWB Clinical Examination asks whether a candidate can apply social work knowledge safely and ethically. Several answer choices may describe actions that could eventually be appropriate. The task is to identify the action that best fits the qualifier, the information already available, the client or client system’s needs and choices, and the social worker’s professional role.</w:t>
      </w:r>
    </w:p>
    <w:p>
      <w:pPr>
        <w:pStyle w:val="Heading1"/>
        <w:keepNext/>
      </w:pPr>
      <w:r>
        <w:t>Current ASWB Clinical Exam Snapshot</w:t>
      </w:r>
    </w:p>
    <w:tbl>
      <w:tblPr>
        <w:tblStyle w:val="TableGrid"/>
        <w:tblW w:type="auto" w:w="0"/>
        <w:jc w:val="center"/>
        <w:tblLook w:firstColumn="1" w:firstRow="1" w:lastColumn="0" w:lastRow="0" w:noHBand="0" w:noVBand="1" w:val="04A0"/>
      </w:tblPr>
      <w:tblGrid>
        <w:gridCol w:w="5040"/>
        <w:gridCol w:w="5040"/>
      </w:tblGrid>
      <w:tr>
        <w:trPr>
          <w:tblHeader w:val="true"/>
          <w:cantSplit w:val="true"/>
        </w:trPr>
        <w:tc>
          <w:tcPr>
            <w:tcW w:type="dxa" w:w="3600"/>
            <w:shd w:fill="17365D"/>
            <w:tcBorders>
              <w:top w:val="single" w:sz="6" w:color="B8C4CE"/>
              <w:left w:val="single" w:sz="6" w:color="B8C4CE"/>
              <w:bottom w:val="single" w:sz="6" w:color="B8C4CE"/>
              <w:right w:val="single" w:sz="6" w:color="B8C4CE"/>
              <w:insideH w:val="single" w:sz="6" w:color="B8C4CE"/>
              <w:insideV w:val="single" w:sz="6" w:color="B8C4CE"/>
            </w:tcBorders>
          </w:tcPr>
          <w:p>
            <w:pPr>
              <w:jc w:val="center"/>
            </w:pPr>
            <w:r>
              <w:rPr>
                <w:rFonts w:ascii="Aptos" w:hAnsi="Aptos"/>
                <w:b/>
                <w:color w:val="FFFFFF"/>
                <w:sz w:val="18"/>
              </w:rPr>
              <w:t>Element</w:t>
            </w:r>
          </w:p>
        </w:tc>
        <w:tc>
          <w:tcPr>
            <w:tcW w:type="dxa" w:w="6192"/>
            <w:shd w:fill="17365D"/>
            <w:tcBorders>
              <w:top w:val="single" w:sz="6" w:color="B8C4CE"/>
              <w:left w:val="single" w:sz="6" w:color="B8C4CE"/>
              <w:bottom w:val="single" w:sz="6" w:color="B8C4CE"/>
              <w:right w:val="single" w:sz="6" w:color="B8C4CE"/>
              <w:insideH w:val="single" w:sz="6" w:color="B8C4CE"/>
              <w:insideV w:val="single" w:sz="6" w:color="B8C4CE"/>
            </w:tcBorders>
          </w:tcPr>
          <w:p>
            <w:pPr>
              <w:jc w:val="center"/>
            </w:pPr>
            <w:r>
              <w:rPr>
                <w:rFonts w:ascii="Aptos" w:hAnsi="Aptos"/>
                <w:b/>
                <w:color w:val="FFFFFF"/>
                <w:sz w:val="18"/>
              </w:rPr>
              <w:t>For exams administered on or after August 3, 2026</w:t>
            </w:r>
          </w:p>
        </w:tc>
      </w:tr>
      <w:tr>
        <w:trPr>
          <w:cantSplit w:val="true"/>
        </w:trPr>
        <w:tc>
          <w:tcPr>
            <w:tcW w:type="dxa" w:w="3600"/>
            <w:tcBorders>
              <w:top w:val="single" w:sz="6" w:color="B8C4CE"/>
              <w:left w:val="single" w:sz="6" w:color="B8C4CE"/>
              <w:bottom w:val="single" w:sz="6" w:color="B8C4CE"/>
              <w:right w:val="single" w:sz="6" w:color="B8C4CE"/>
              <w:insideH w:val="single" w:sz="6" w:color="B8C4CE"/>
              <w:insideV w:val="single" w:sz="6" w:color="B8C4CE"/>
            </w:tcBorders>
          </w:tcPr>
          <w:p>
            <w:r>
              <w:rPr>
                <w:rFonts w:ascii="Aptos" w:hAnsi="Aptos"/>
                <w:b/>
                <w:color w:val="1F2937"/>
                <w:sz w:val="18"/>
              </w:rPr>
              <w:t>Scored questions</w:t>
            </w:r>
          </w:p>
        </w:tc>
        <w:tc>
          <w:tcPr>
            <w:tcW w:type="dxa" w:w="6192"/>
            <w:tcBorders>
              <w:top w:val="single" w:sz="6" w:color="B8C4CE"/>
              <w:left w:val="single" w:sz="6" w:color="B8C4CE"/>
              <w:bottom w:val="single" w:sz="6" w:color="B8C4CE"/>
              <w:right w:val="single" w:sz="6" w:color="B8C4CE"/>
              <w:insideH w:val="single" w:sz="6" w:color="B8C4CE"/>
              <w:insideV w:val="single" w:sz="6" w:color="B8C4CE"/>
            </w:tcBorders>
          </w:tcPr>
          <w:p>
            <w:r>
              <w:rPr>
                <w:rFonts w:ascii="Aptos" w:hAnsi="Aptos"/>
                <w:b w:val="0"/>
                <w:color w:val="1F2937"/>
                <w:sz w:val="18"/>
              </w:rPr>
              <w:t>110</w:t>
            </w:r>
          </w:p>
        </w:tc>
      </w:tr>
      <w:tr>
        <w:trPr>
          <w:cantSplit w:val="true"/>
        </w:trPr>
        <w:tc>
          <w:tcPr>
            <w:tcW w:type="dxa" w:w="3600"/>
            <w:tcBorders>
              <w:top w:val="single" w:sz="6" w:color="B8C4CE"/>
              <w:left w:val="single" w:sz="6" w:color="B8C4CE"/>
              <w:bottom w:val="single" w:sz="6" w:color="B8C4CE"/>
              <w:right w:val="single" w:sz="6" w:color="B8C4CE"/>
              <w:insideH w:val="single" w:sz="6" w:color="B8C4CE"/>
              <w:insideV w:val="single" w:sz="6" w:color="B8C4CE"/>
            </w:tcBorders>
            <w:shd w:fill="F3F4F6"/>
          </w:tcPr>
          <w:p>
            <w:r>
              <w:rPr>
                <w:rFonts w:ascii="Aptos" w:hAnsi="Aptos"/>
                <w:b/>
                <w:color w:val="1F2937"/>
                <w:sz w:val="18"/>
              </w:rPr>
              <w:t>Unscored pretest questions</w:t>
            </w:r>
          </w:p>
        </w:tc>
        <w:tc>
          <w:tcPr>
            <w:tcW w:type="dxa" w:w="6192"/>
            <w:tcBorders>
              <w:top w:val="single" w:sz="6" w:color="B8C4CE"/>
              <w:left w:val="single" w:sz="6" w:color="B8C4CE"/>
              <w:bottom w:val="single" w:sz="6" w:color="B8C4CE"/>
              <w:right w:val="single" w:sz="6" w:color="B8C4CE"/>
              <w:insideH w:val="single" w:sz="6" w:color="B8C4CE"/>
              <w:insideV w:val="single" w:sz="6" w:color="B8C4CE"/>
            </w:tcBorders>
            <w:shd w:fill="F3F4F6"/>
          </w:tcPr>
          <w:p>
            <w:r>
              <w:rPr>
                <w:rFonts w:ascii="Aptos" w:hAnsi="Aptos"/>
                <w:b w:val="0"/>
                <w:color w:val="1F2937"/>
                <w:sz w:val="18"/>
              </w:rPr>
              <w:t>12, mixed throughout and not identified</w:t>
            </w:r>
          </w:p>
        </w:tc>
      </w:tr>
      <w:tr>
        <w:trPr>
          <w:cantSplit w:val="true"/>
        </w:trPr>
        <w:tc>
          <w:tcPr>
            <w:tcW w:type="dxa" w:w="3600"/>
            <w:tcBorders>
              <w:top w:val="single" w:sz="6" w:color="B8C4CE"/>
              <w:left w:val="single" w:sz="6" w:color="B8C4CE"/>
              <w:bottom w:val="single" w:sz="6" w:color="B8C4CE"/>
              <w:right w:val="single" w:sz="6" w:color="B8C4CE"/>
              <w:insideH w:val="single" w:sz="6" w:color="B8C4CE"/>
              <w:insideV w:val="single" w:sz="6" w:color="B8C4CE"/>
            </w:tcBorders>
          </w:tcPr>
          <w:p>
            <w:r>
              <w:rPr>
                <w:rFonts w:ascii="Aptos" w:hAnsi="Aptos"/>
                <w:b/>
                <w:color w:val="1F2937"/>
                <w:sz w:val="18"/>
              </w:rPr>
              <w:t>Total questions presented</w:t>
            </w:r>
          </w:p>
        </w:tc>
        <w:tc>
          <w:tcPr>
            <w:tcW w:type="dxa" w:w="6192"/>
            <w:tcBorders>
              <w:top w:val="single" w:sz="6" w:color="B8C4CE"/>
              <w:left w:val="single" w:sz="6" w:color="B8C4CE"/>
              <w:bottom w:val="single" w:sz="6" w:color="B8C4CE"/>
              <w:right w:val="single" w:sz="6" w:color="B8C4CE"/>
              <w:insideH w:val="single" w:sz="6" w:color="B8C4CE"/>
              <w:insideV w:val="single" w:sz="6" w:color="B8C4CE"/>
            </w:tcBorders>
          </w:tcPr>
          <w:p>
            <w:r>
              <w:rPr>
                <w:rFonts w:ascii="Aptos" w:hAnsi="Aptos"/>
                <w:b w:val="0"/>
                <w:color w:val="1F2937"/>
                <w:sz w:val="18"/>
              </w:rPr>
              <w:t>122</w:t>
            </w:r>
          </w:p>
        </w:tc>
      </w:tr>
      <w:tr>
        <w:trPr>
          <w:cantSplit w:val="true"/>
        </w:trPr>
        <w:tc>
          <w:tcPr>
            <w:tcW w:type="dxa" w:w="3600"/>
            <w:tcBorders>
              <w:top w:val="single" w:sz="6" w:color="B8C4CE"/>
              <w:left w:val="single" w:sz="6" w:color="B8C4CE"/>
              <w:bottom w:val="single" w:sz="6" w:color="B8C4CE"/>
              <w:right w:val="single" w:sz="6" w:color="B8C4CE"/>
              <w:insideH w:val="single" w:sz="6" w:color="B8C4CE"/>
              <w:insideV w:val="single" w:sz="6" w:color="B8C4CE"/>
            </w:tcBorders>
            <w:shd w:fill="F3F4F6"/>
          </w:tcPr>
          <w:p>
            <w:r>
              <w:rPr>
                <w:rFonts w:ascii="Aptos" w:hAnsi="Aptos"/>
                <w:b/>
                <w:color w:val="1F2937"/>
                <w:sz w:val="18"/>
              </w:rPr>
              <w:t>Testing time</w:t>
            </w:r>
          </w:p>
        </w:tc>
        <w:tc>
          <w:tcPr>
            <w:tcW w:type="dxa" w:w="6192"/>
            <w:tcBorders>
              <w:top w:val="single" w:sz="6" w:color="B8C4CE"/>
              <w:left w:val="single" w:sz="6" w:color="B8C4CE"/>
              <w:bottom w:val="single" w:sz="6" w:color="B8C4CE"/>
              <w:right w:val="single" w:sz="6" w:color="B8C4CE"/>
              <w:insideH w:val="single" w:sz="6" w:color="B8C4CE"/>
              <w:insideV w:val="single" w:sz="6" w:color="B8C4CE"/>
            </w:tcBorders>
            <w:shd w:fill="F3F4F6"/>
          </w:tcPr>
          <w:p>
            <w:r>
              <w:rPr>
                <w:rFonts w:ascii="Aptos" w:hAnsi="Aptos"/>
                <w:b w:val="0"/>
                <w:color w:val="1F2937"/>
                <w:sz w:val="18"/>
              </w:rPr>
              <w:t>240 minutes</w:t>
            </w:r>
          </w:p>
        </w:tc>
      </w:tr>
      <w:tr>
        <w:trPr>
          <w:cantSplit w:val="true"/>
        </w:trPr>
        <w:tc>
          <w:tcPr>
            <w:tcW w:type="dxa" w:w="3600"/>
            <w:tcBorders>
              <w:top w:val="single" w:sz="6" w:color="B8C4CE"/>
              <w:left w:val="single" w:sz="6" w:color="B8C4CE"/>
              <w:bottom w:val="single" w:sz="6" w:color="B8C4CE"/>
              <w:right w:val="single" w:sz="6" w:color="B8C4CE"/>
              <w:insideH w:val="single" w:sz="6" w:color="B8C4CE"/>
              <w:insideV w:val="single" w:sz="6" w:color="B8C4CE"/>
            </w:tcBorders>
          </w:tcPr>
          <w:p>
            <w:r>
              <w:rPr>
                <w:rFonts w:ascii="Aptos" w:hAnsi="Aptos"/>
                <w:b/>
                <w:color w:val="1F2937"/>
                <w:sz w:val="18"/>
              </w:rPr>
              <w:t>Sections</w:t>
            </w:r>
          </w:p>
        </w:tc>
        <w:tc>
          <w:tcPr>
            <w:tcW w:type="dxa" w:w="6192"/>
            <w:tcBorders>
              <w:top w:val="single" w:sz="6" w:color="B8C4CE"/>
              <w:left w:val="single" w:sz="6" w:color="B8C4CE"/>
              <w:bottom w:val="single" w:sz="6" w:color="B8C4CE"/>
              <w:right w:val="single" w:sz="6" w:color="B8C4CE"/>
              <w:insideH w:val="single" w:sz="6" w:color="B8C4CE"/>
              <w:insideV w:val="single" w:sz="6" w:color="B8C4CE"/>
            </w:tcBorders>
          </w:tcPr>
          <w:p>
            <w:r>
              <w:rPr>
                <w:rFonts w:ascii="Aptos" w:hAnsi="Aptos"/>
                <w:b w:val="0"/>
                <w:color w:val="1F2937"/>
                <w:sz w:val="18"/>
              </w:rPr>
              <w:t>Two 61-question sections, two hours each</w:t>
            </w:r>
          </w:p>
        </w:tc>
      </w:tr>
      <w:tr>
        <w:trPr>
          <w:cantSplit w:val="true"/>
        </w:trPr>
        <w:tc>
          <w:tcPr>
            <w:tcW w:type="dxa" w:w="3600"/>
            <w:tcBorders>
              <w:top w:val="single" w:sz="6" w:color="B8C4CE"/>
              <w:left w:val="single" w:sz="6" w:color="B8C4CE"/>
              <w:bottom w:val="single" w:sz="6" w:color="B8C4CE"/>
              <w:right w:val="single" w:sz="6" w:color="B8C4CE"/>
              <w:insideH w:val="single" w:sz="6" w:color="B8C4CE"/>
              <w:insideV w:val="single" w:sz="6" w:color="B8C4CE"/>
            </w:tcBorders>
            <w:shd w:fill="F3F4F6"/>
          </w:tcPr>
          <w:p>
            <w:r>
              <w:rPr>
                <w:rFonts w:ascii="Aptos" w:hAnsi="Aptos"/>
                <w:b/>
                <w:color w:val="1F2937"/>
                <w:sz w:val="18"/>
              </w:rPr>
              <w:t>Scheduled break</w:t>
            </w:r>
          </w:p>
        </w:tc>
        <w:tc>
          <w:tcPr>
            <w:tcW w:type="dxa" w:w="6192"/>
            <w:tcBorders>
              <w:top w:val="single" w:sz="6" w:color="B8C4CE"/>
              <w:left w:val="single" w:sz="6" w:color="B8C4CE"/>
              <w:bottom w:val="single" w:sz="6" w:color="B8C4CE"/>
              <w:right w:val="single" w:sz="6" w:color="B8C4CE"/>
              <w:insideH w:val="single" w:sz="6" w:color="B8C4CE"/>
              <w:insideV w:val="single" w:sz="6" w:color="B8C4CE"/>
            </w:tcBorders>
            <w:shd w:fill="F3F4F6"/>
          </w:tcPr>
          <w:p>
            <w:r>
              <w:rPr>
                <w:rFonts w:ascii="Aptos" w:hAnsi="Aptos"/>
                <w:b w:val="0"/>
                <w:color w:val="1F2937"/>
                <w:sz w:val="18"/>
              </w:rPr>
              <w:t>Optional 10-minute break between sections</w:t>
            </w:r>
          </w:p>
        </w:tc>
      </w:tr>
      <w:tr>
        <w:trPr>
          <w:cantSplit w:val="true"/>
        </w:trPr>
        <w:tc>
          <w:tcPr>
            <w:tcW w:type="dxa" w:w="3600"/>
            <w:tcBorders>
              <w:top w:val="single" w:sz="6" w:color="B8C4CE"/>
              <w:left w:val="single" w:sz="6" w:color="B8C4CE"/>
              <w:bottom w:val="single" w:sz="6" w:color="B8C4CE"/>
              <w:right w:val="single" w:sz="6" w:color="B8C4CE"/>
              <w:insideH w:val="single" w:sz="6" w:color="B8C4CE"/>
              <w:insideV w:val="single" w:sz="6" w:color="B8C4CE"/>
            </w:tcBorders>
          </w:tcPr>
          <w:p>
            <w:r>
              <w:rPr>
                <w:rFonts w:ascii="Aptos" w:hAnsi="Aptos"/>
                <w:b/>
                <w:color w:val="1F2937"/>
                <w:sz w:val="18"/>
              </w:rPr>
              <w:t>Question options</w:t>
            </w:r>
          </w:p>
        </w:tc>
        <w:tc>
          <w:tcPr>
            <w:tcW w:type="dxa" w:w="6192"/>
            <w:tcBorders>
              <w:top w:val="single" w:sz="6" w:color="B8C4CE"/>
              <w:left w:val="single" w:sz="6" w:color="B8C4CE"/>
              <w:bottom w:val="single" w:sz="6" w:color="B8C4CE"/>
              <w:right w:val="single" w:sz="6" w:color="B8C4CE"/>
              <w:insideH w:val="single" w:sz="6" w:color="B8C4CE"/>
              <w:insideV w:val="single" w:sz="6" w:color="B8C4CE"/>
            </w:tcBorders>
          </w:tcPr>
          <w:p>
            <w:r>
              <w:rPr>
                <w:rFonts w:ascii="Aptos" w:hAnsi="Aptos"/>
                <w:b w:val="0"/>
                <w:color w:val="1F2937"/>
                <w:sz w:val="18"/>
              </w:rPr>
              <w:t>Three or four options</w:t>
            </w:r>
          </w:p>
        </w:tc>
      </w:tr>
    </w:tbl>
    <w:p>
      <w:pPr>
        <w:spacing w:after="100"/>
      </w:pPr>
      <w:r>
        <w:rPr>
          <w:i/>
          <w:color w:val="6B7280"/>
          <w:sz w:val="17"/>
        </w:rPr>
        <w:t>Official information checked against current sources on July 23, 2026.</w:t>
      </w:r>
    </w:p>
    <w:p/>
    <w:tbl>
      <w:tblPr>
        <w:tblStyle w:val="TableGrid"/>
        <w:tblW w:type="auto" w:w="0"/>
        <w:jc w:val="center"/>
        <w:tblLook w:firstColumn="1" w:firstRow="1" w:lastColumn="0" w:lastRow="0" w:noHBand="0" w:noVBand="1" w:val="04A0"/>
      </w:tblPr>
      <w:tblGrid>
        <w:gridCol w:w="5040"/>
        <w:gridCol w:w="5040"/>
      </w:tblGrid>
      <w:tr>
        <w:trPr>
          <w:tblHeader w:val="true"/>
          <w:cantSplit w:val="true"/>
        </w:trPr>
        <w:tc>
          <w:tcPr>
            <w:tcW w:type="dxa" w:w="7488"/>
            <w:shd w:fill="17365D"/>
            <w:tcBorders>
              <w:top w:val="single" w:sz="6" w:color="B8C4CE"/>
              <w:left w:val="single" w:sz="6" w:color="B8C4CE"/>
              <w:bottom w:val="single" w:sz="6" w:color="B8C4CE"/>
              <w:right w:val="single" w:sz="6" w:color="B8C4CE"/>
              <w:insideH w:val="single" w:sz="6" w:color="B8C4CE"/>
              <w:insideV w:val="single" w:sz="6" w:color="B8C4CE"/>
            </w:tcBorders>
          </w:tcPr>
          <w:p>
            <w:pPr>
              <w:jc w:val="center"/>
            </w:pPr>
            <w:r>
              <w:rPr>
                <w:rFonts w:ascii="Aptos" w:hAnsi="Aptos"/>
                <w:b/>
                <w:color w:val="FFFFFF"/>
                <w:sz w:val="18"/>
              </w:rPr>
              <w:t>Clinical Content Area</w:t>
            </w:r>
          </w:p>
        </w:tc>
        <w:tc>
          <w:tcPr>
            <w:tcW w:type="dxa" w:w="2304"/>
            <w:shd w:fill="17365D"/>
            <w:tcBorders>
              <w:top w:val="single" w:sz="6" w:color="B8C4CE"/>
              <w:left w:val="single" w:sz="6" w:color="B8C4CE"/>
              <w:bottom w:val="single" w:sz="6" w:color="B8C4CE"/>
              <w:right w:val="single" w:sz="6" w:color="B8C4CE"/>
              <w:insideH w:val="single" w:sz="6" w:color="B8C4CE"/>
              <w:insideV w:val="single" w:sz="6" w:color="B8C4CE"/>
            </w:tcBorders>
          </w:tcPr>
          <w:p>
            <w:pPr>
              <w:jc w:val="center"/>
            </w:pPr>
            <w:r>
              <w:rPr>
                <w:rFonts w:ascii="Aptos" w:hAnsi="Aptos"/>
                <w:b/>
                <w:color w:val="FFFFFF"/>
                <w:sz w:val="18"/>
              </w:rPr>
              <w:t>Weight</w:t>
            </w:r>
          </w:p>
        </w:tc>
      </w:tr>
      <w:tr>
        <w:trPr>
          <w:cantSplit w:val="true"/>
        </w:trPr>
        <w:tc>
          <w:tcPr>
            <w:tcW w:type="dxa" w:w="7488"/>
            <w:tcBorders>
              <w:top w:val="single" w:sz="6" w:color="B8C4CE"/>
              <w:left w:val="single" w:sz="6" w:color="B8C4CE"/>
              <w:bottom w:val="single" w:sz="6" w:color="B8C4CE"/>
              <w:right w:val="single" w:sz="6" w:color="B8C4CE"/>
              <w:insideH w:val="single" w:sz="6" w:color="B8C4CE"/>
              <w:insideV w:val="single" w:sz="6" w:color="B8C4CE"/>
            </w:tcBorders>
          </w:tcPr>
          <w:p>
            <w:r>
              <w:rPr>
                <w:rFonts w:ascii="Aptos" w:hAnsi="Aptos"/>
                <w:b/>
                <w:color w:val="1F2937"/>
                <w:sz w:val="18"/>
              </w:rPr>
              <w:t>Values and Ethics</w:t>
            </w:r>
          </w:p>
        </w:tc>
        <w:tc>
          <w:tcPr>
            <w:tcW w:type="dxa" w:w="2304"/>
            <w:tcBorders>
              <w:top w:val="single" w:sz="6" w:color="B8C4CE"/>
              <w:left w:val="single" w:sz="6" w:color="B8C4CE"/>
              <w:bottom w:val="single" w:sz="6" w:color="B8C4CE"/>
              <w:right w:val="single" w:sz="6" w:color="B8C4CE"/>
              <w:insideH w:val="single" w:sz="6" w:color="B8C4CE"/>
              <w:insideV w:val="single" w:sz="6" w:color="B8C4CE"/>
            </w:tcBorders>
          </w:tcPr>
          <w:p>
            <w:r>
              <w:t>36%</w:t>
            </w:r>
          </w:p>
        </w:tc>
      </w:tr>
      <w:tr>
        <w:trPr>
          <w:cantSplit w:val="true"/>
        </w:trPr>
        <w:tc>
          <w:tcPr>
            <w:tcW w:type="dxa" w:w="7488"/>
            <w:tcBorders>
              <w:top w:val="single" w:sz="6" w:color="B8C4CE"/>
              <w:left w:val="single" w:sz="6" w:color="B8C4CE"/>
              <w:bottom w:val="single" w:sz="6" w:color="B8C4CE"/>
              <w:right w:val="single" w:sz="6" w:color="B8C4CE"/>
              <w:insideH w:val="single" w:sz="6" w:color="B8C4CE"/>
              <w:insideV w:val="single" w:sz="6" w:color="B8C4CE"/>
            </w:tcBorders>
            <w:shd w:fill="F3F4F6"/>
          </w:tcPr>
          <w:p>
            <w:r>
              <w:rPr>
                <w:rFonts w:ascii="Aptos" w:hAnsi="Aptos"/>
                <w:b/>
                <w:color w:val="1F2937"/>
                <w:sz w:val="18"/>
              </w:rPr>
              <w:t>Assessment and Planning</w:t>
            </w:r>
          </w:p>
        </w:tc>
        <w:tc>
          <w:tcPr>
            <w:tcW w:type="dxa" w:w="2304"/>
            <w:tcBorders>
              <w:top w:val="single" w:sz="6" w:color="B8C4CE"/>
              <w:left w:val="single" w:sz="6" w:color="B8C4CE"/>
              <w:bottom w:val="single" w:sz="6" w:color="B8C4CE"/>
              <w:right w:val="single" w:sz="6" w:color="B8C4CE"/>
              <w:insideH w:val="single" w:sz="6" w:color="B8C4CE"/>
              <w:insideV w:val="single" w:sz="6" w:color="B8C4CE"/>
            </w:tcBorders>
            <w:shd w:fill="F3F4F6"/>
          </w:tcPr>
          <w:p>
            <w:r>
              <w:t>32%</w:t>
            </w:r>
          </w:p>
        </w:tc>
      </w:tr>
      <w:tr>
        <w:trPr>
          <w:cantSplit w:val="true"/>
        </w:trPr>
        <w:tc>
          <w:tcPr>
            <w:tcW w:type="dxa" w:w="7488"/>
            <w:tcBorders>
              <w:top w:val="single" w:sz="6" w:color="B8C4CE"/>
              <w:left w:val="single" w:sz="6" w:color="B8C4CE"/>
              <w:bottom w:val="single" w:sz="6" w:color="B8C4CE"/>
              <w:right w:val="single" w:sz="6" w:color="B8C4CE"/>
              <w:insideH w:val="single" w:sz="6" w:color="B8C4CE"/>
              <w:insideV w:val="single" w:sz="6" w:color="B8C4CE"/>
            </w:tcBorders>
          </w:tcPr>
          <w:p>
            <w:r>
              <w:rPr>
                <w:rFonts w:ascii="Aptos" w:hAnsi="Aptos"/>
                <w:b/>
                <w:color w:val="1F2937"/>
                <w:sz w:val="18"/>
              </w:rPr>
              <w:t>Intervention and Practice</w:t>
            </w:r>
          </w:p>
        </w:tc>
        <w:tc>
          <w:tcPr>
            <w:tcW w:type="dxa" w:w="2304"/>
            <w:tcBorders>
              <w:top w:val="single" w:sz="6" w:color="B8C4CE"/>
              <w:left w:val="single" w:sz="6" w:color="B8C4CE"/>
              <w:bottom w:val="single" w:sz="6" w:color="B8C4CE"/>
              <w:right w:val="single" w:sz="6" w:color="B8C4CE"/>
              <w:insideH w:val="single" w:sz="6" w:color="B8C4CE"/>
              <w:insideV w:val="single" w:sz="6" w:color="B8C4CE"/>
            </w:tcBorders>
          </w:tcPr>
          <w:p>
            <w:r>
              <w:t>32%</w:t>
            </w:r>
          </w:p>
        </w:tc>
      </w:tr>
    </w:tbl>
    <w:p/>
    <w:tbl>
      <w:tblPr>
        <w:tblW w:type="auto" w:w="0"/>
        <w:jc w:val="center"/>
        <w:tblLayout w:type="autofit"/>
        <w:tblLook w:firstColumn="1" w:firstRow="1" w:lastColumn="0" w:lastRow="0" w:noHBand="0" w:noVBand="1" w:val="04A0"/>
      </w:tblPr>
      <w:tblGrid>
        <w:gridCol w:w="10080"/>
      </w:tblGrid>
      <w:tr>
        <w:trPr>
          <w:cantSplit w:val="true"/>
        </w:trPr>
        <w:tc>
          <w:tcPr>
            <w:tcW w:type="dxa" w:w="10080"/>
            <w:shd w:fill="D9EDEB"/>
            <w:tcBorders>
              <w:top w:val="single" w:sz="6" w:color="A7BDC6"/>
              <w:left w:val="single" w:sz="6" w:color="A7BDC6"/>
              <w:bottom w:val="single" w:sz="6" w:color="A7BDC6"/>
              <w:right w:val="single" w:sz="6" w:color="A7BDC6"/>
              <w:insideH w:val="single" w:sz="6" w:color="A7BDC6"/>
              <w:insideV w:val="single" w:sz="6" w:color="A7BDC6"/>
            </w:tcBorders>
          </w:tcPr>
          <w:p>
            <w:r>
              <w:rPr>
                <w:rFonts w:ascii="Aptos" w:hAnsi="Aptos"/>
                <w:b/>
                <w:color w:val="0E7490"/>
                <w:sz w:val="19"/>
              </w:rPr>
              <w:t xml:space="preserve">REMEMBER: </w:t>
            </w:r>
            <w:r>
              <w:rPr>
                <w:rFonts w:ascii="Aptos" w:hAnsi="Aptos"/>
                <w:color w:val="1F2937"/>
                <w:sz w:val="19"/>
              </w:rPr>
              <w:t>You cannot return to the first 61-question section after you submit it. Review flagged items before ending that section.</w:t>
            </w:r>
          </w:p>
        </w:tc>
      </w:tr>
    </w:tbl>
    <w:p/>
    <w:p>
      <w:pPr>
        <w:pStyle w:val="Heading1"/>
        <w:keepNext/>
      </w:pPr>
      <w:r>
        <w:t>Key Concepts</w:t>
      </w:r>
    </w:p>
    <w:p>
      <w:pPr>
        <w:pStyle w:val="Heading2"/>
        <w:keepNext/>
      </w:pPr>
      <w:r>
        <w:t>1. Let the Qualifier Define the Task</w:t>
      </w:r>
    </w:p>
    <w:tbl>
      <w:tblPr>
        <w:tblStyle w:val="TableGrid"/>
        <w:tblW w:type="auto" w:w="0"/>
        <w:jc w:val="center"/>
        <w:tblLook w:firstColumn="1" w:firstRow="1" w:lastColumn="0" w:lastRow="0" w:noHBand="0" w:noVBand="1" w:val="04A0"/>
      </w:tblPr>
      <w:tblGrid>
        <w:gridCol w:w="5040"/>
        <w:gridCol w:w="5040"/>
      </w:tblGrid>
      <w:tr>
        <w:trPr>
          <w:tblHeader w:val="true"/>
          <w:cantSplit w:val="true"/>
        </w:trPr>
        <w:tc>
          <w:tcPr>
            <w:tcW w:type="dxa" w:w="3168"/>
            <w:shd w:fill="17365D"/>
            <w:tcBorders>
              <w:top w:val="single" w:sz="6" w:color="B8C4CE"/>
              <w:left w:val="single" w:sz="6" w:color="B8C4CE"/>
              <w:bottom w:val="single" w:sz="6" w:color="B8C4CE"/>
              <w:right w:val="single" w:sz="6" w:color="B8C4CE"/>
              <w:insideH w:val="single" w:sz="6" w:color="B8C4CE"/>
              <w:insideV w:val="single" w:sz="6" w:color="B8C4CE"/>
            </w:tcBorders>
          </w:tcPr>
          <w:p>
            <w:pPr>
              <w:jc w:val="center"/>
            </w:pPr>
            <w:r>
              <w:rPr>
                <w:rFonts w:ascii="Aptos" w:hAnsi="Aptos"/>
                <w:b/>
                <w:color w:val="FFFFFF"/>
                <w:sz w:val="18"/>
              </w:rPr>
              <w:t>Qualifier</w:t>
            </w:r>
          </w:p>
        </w:tc>
        <w:tc>
          <w:tcPr>
            <w:tcW w:type="dxa" w:w="6624"/>
            <w:shd w:fill="17365D"/>
            <w:tcBorders>
              <w:top w:val="single" w:sz="6" w:color="B8C4CE"/>
              <w:left w:val="single" w:sz="6" w:color="B8C4CE"/>
              <w:bottom w:val="single" w:sz="6" w:color="B8C4CE"/>
              <w:right w:val="single" w:sz="6" w:color="B8C4CE"/>
              <w:insideH w:val="single" w:sz="6" w:color="B8C4CE"/>
              <w:insideV w:val="single" w:sz="6" w:color="B8C4CE"/>
            </w:tcBorders>
          </w:tcPr>
          <w:p>
            <w:pPr>
              <w:jc w:val="center"/>
            </w:pPr>
            <w:r>
              <w:rPr>
                <w:rFonts w:ascii="Aptos" w:hAnsi="Aptos"/>
                <w:b/>
                <w:color w:val="FFFFFF"/>
                <w:sz w:val="18"/>
              </w:rPr>
              <w:t>What it usually asks you to do</w:t>
            </w:r>
          </w:p>
        </w:tc>
      </w:tr>
      <w:tr>
        <w:trPr>
          <w:cantSplit w:val="true"/>
        </w:trPr>
        <w:tc>
          <w:tcPr>
            <w:tcW w:type="dxa" w:w="3168"/>
            <w:tcBorders>
              <w:top w:val="single" w:sz="6" w:color="B8C4CE"/>
              <w:left w:val="single" w:sz="6" w:color="B8C4CE"/>
              <w:bottom w:val="single" w:sz="6" w:color="B8C4CE"/>
              <w:right w:val="single" w:sz="6" w:color="B8C4CE"/>
              <w:insideH w:val="single" w:sz="6" w:color="B8C4CE"/>
              <w:insideV w:val="single" w:sz="6" w:color="B8C4CE"/>
            </w:tcBorders>
          </w:tcPr>
          <w:p>
            <w:r>
              <w:rPr>
                <w:rFonts w:ascii="Aptos" w:hAnsi="Aptos"/>
                <w:b/>
                <w:color w:val="1F2937"/>
                <w:sz w:val="18"/>
              </w:rPr>
              <w:t>FIRST</w:t>
            </w:r>
          </w:p>
        </w:tc>
        <w:tc>
          <w:tcPr>
            <w:tcW w:type="dxa" w:w="6624"/>
            <w:tcBorders>
              <w:top w:val="single" w:sz="6" w:color="B8C4CE"/>
              <w:left w:val="single" w:sz="6" w:color="B8C4CE"/>
              <w:bottom w:val="single" w:sz="6" w:color="B8C4CE"/>
              <w:right w:val="single" w:sz="6" w:color="B8C4CE"/>
              <w:insideH w:val="single" w:sz="6" w:color="B8C4CE"/>
              <w:insideV w:val="single" w:sz="6" w:color="B8C4CE"/>
            </w:tcBorders>
          </w:tcPr>
          <w:p>
            <w:r>
              <w:rPr>
                <w:rFonts w:ascii="Aptos" w:hAnsi="Aptos"/>
                <w:b w:val="0"/>
                <w:color w:val="1F2937"/>
                <w:sz w:val="18"/>
              </w:rPr>
              <w:t>Choose the earliest necessary action for the specific problem.</w:t>
            </w:r>
          </w:p>
        </w:tc>
      </w:tr>
      <w:tr>
        <w:trPr>
          <w:cantSplit w:val="true"/>
        </w:trPr>
        <w:tc>
          <w:tcPr>
            <w:tcW w:type="dxa" w:w="3168"/>
            <w:tcBorders>
              <w:top w:val="single" w:sz="6" w:color="B8C4CE"/>
              <w:left w:val="single" w:sz="6" w:color="B8C4CE"/>
              <w:bottom w:val="single" w:sz="6" w:color="B8C4CE"/>
              <w:right w:val="single" w:sz="6" w:color="B8C4CE"/>
              <w:insideH w:val="single" w:sz="6" w:color="B8C4CE"/>
              <w:insideV w:val="single" w:sz="6" w:color="B8C4CE"/>
            </w:tcBorders>
            <w:shd w:fill="F3F4F6"/>
          </w:tcPr>
          <w:p>
            <w:r>
              <w:rPr>
                <w:rFonts w:ascii="Aptos" w:hAnsi="Aptos"/>
                <w:b/>
                <w:color w:val="1F2937"/>
                <w:sz w:val="18"/>
              </w:rPr>
              <w:t>NEXT</w:t>
            </w:r>
          </w:p>
        </w:tc>
        <w:tc>
          <w:tcPr>
            <w:tcW w:type="dxa" w:w="6624"/>
            <w:tcBorders>
              <w:top w:val="single" w:sz="6" w:color="B8C4CE"/>
              <w:left w:val="single" w:sz="6" w:color="B8C4CE"/>
              <w:bottom w:val="single" w:sz="6" w:color="B8C4CE"/>
              <w:right w:val="single" w:sz="6" w:color="B8C4CE"/>
              <w:insideH w:val="single" w:sz="6" w:color="B8C4CE"/>
              <w:insideV w:val="single" w:sz="6" w:color="B8C4CE"/>
            </w:tcBorders>
            <w:shd w:fill="F3F4F6"/>
          </w:tcPr>
          <w:p>
            <w:r>
              <w:rPr>
                <w:rFonts w:ascii="Aptos" w:hAnsi="Aptos"/>
                <w:b w:val="0"/>
                <w:color w:val="1F2937"/>
                <w:sz w:val="18"/>
              </w:rPr>
              <w:t>Advance from what has already happened.</w:t>
            </w:r>
          </w:p>
        </w:tc>
      </w:tr>
      <w:tr>
        <w:trPr>
          <w:cantSplit w:val="true"/>
        </w:trPr>
        <w:tc>
          <w:tcPr>
            <w:tcW w:type="dxa" w:w="3168"/>
            <w:tcBorders>
              <w:top w:val="single" w:sz="6" w:color="B8C4CE"/>
              <w:left w:val="single" w:sz="6" w:color="B8C4CE"/>
              <w:bottom w:val="single" w:sz="6" w:color="B8C4CE"/>
              <w:right w:val="single" w:sz="6" w:color="B8C4CE"/>
              <w:insideH w:val="single" w:sz="6" w:color="B8C4CE"/>
              <w:insideV w:val="single" w:sz="6" w:color="B8C4CE"/>
            </w:tcBorders>
          </w:tcPr>
          <w:p>
            <w:r>
              <w:rPr>
                <w:rFonts w:ascii="Aptos" w:hAnsi="Aptos"/>
                <w:b/>
                <w:color w:val="1F2937"/>
                <w:sz w:val="18"/>
              </w:rPr>
              <w:t>BEST / MOST APPROPRIATE</w:t>
            </w:r>
          </w:p>
        </w:tc>
        <w:tc>
          <w:tcPr>
            <w:tcW w:type="dxa" w:w="6624"/>
            <w:tcBorders>
              <w:top w:val="single" w:sz="6" w:color="B8C4CE"/>
              <w:left w:val="single" w:sz="6" w:color="B8C4CE"/>
              <w:bottom w:val="single" w:sz="6" w:color="B8C4CE"/>
              <w:right w:val="single" w:sz="6" w:color="B8C4CE"/>
              <w:insideH w:val="single" w:sz="6" w:color="B8C4CE"/>
              <w:insideV w:val="single" w:sz="6" w:color="B8C4CE"/>
            </w:tcBorders>
          </w:tcPr>
          <w:p>
            <w:r>
              <w:rPr>
                <w:rFonts w:ascii="Aptos" w:hAnsi="Aptos"/>
                <w:b w:val="0"/>
                <w:color w:val="1F2937"/>
                <w:sz w:val="18"/>
              </w:rPr>
              <w:t>Choose the strongest fit among plausible options.</w:t>
            </w:r>
          </w:p>
        </w:tc>
      </w:tr>
      <w:tr>
        <w:trPr>
          <w:cantSplit w:val="true"/>
        </w:trPr>
        <w:tc>
          <w:tcPr>
            <w:tcW w:type="dxa" w:w="3168"/>
            <w:tcBorders>
              <w:top w:val="single" w:sz="6" w:color="B8C4CE"/>
              <w:left w:val="single" w:sz="6" w:color="B8C4CE"/>
              <w:bottom w:val="single" w:sz="6" w:color="B8C4CE"/>
              <w:right w:val="single" w:sz="6" w:color="B8C4CE"/>
              <w:insideH w:val="single" w:sz="6" w:color="B8C4CE"/>
              <w:insideV w:val="single" w:sz="6" w:color="B8C4CE"/>
            </w:tcBorders>
            <w:shd w:fill="F3F4F6"/>
          </w:tcPr>
          <w:p>
            <w:r>
              <w:rPr>
                <w:rFonts w:ascii="Aptos" w:hAnsi="Aptos"/>
                <w:b/>
                <w:color w:val="1F2937"/>
                <w:sz w:val="18"/>
              </w:rPr>
              <w:t>MOST IMPORTANT / PRIMARY</w:t>
            </w:r>
          </w:p>
        </w:tc>
        <w:tc>
          <w:tcPr>
            <w:tcW w:type="dxa" w:w="6624"/>
            <w:tcBorders>
              <w:top w:val="single" w:sz="6" w:color="B8C4CE"/>
              <w:left w:val="single" w:sz="6" w:color="B8C4CE"/>
              <w:bottom w:val="single" w:sz="6" w:color="B8C4CE"/>
              <w:right w:val="single" w:sz="6" w:color="B8C4CE"/>
              <w:insideH w:val="single" w:sz="6" w:color="B8C4CE"/>
              <w:insideV w:val="single" w:sz="6" w:color="B8C4CE"/>
            </w:tcBorders>
            <w:shd w:fill="F3F4F6"/>
          </w:tcPr>
          <w:p>
            <w:r>
              <w:rPr>
                <w:rFonts w:ascii="Aptos" w:hAnsi="Aptos"/>
                <w:b w:val="0"/>
                <w:color w:val="1F2937"/>
                <w:sz w:val="18"/>
              </w:rPr>
              <w:t>Identify the controlling concern or purpose.</w:t>
            </w:r>
          </w:p>
        </w:tc>
      </w:tr>
      <w:tr>
        <w:trPr>
          <w:cantSplit w:val="true"/>
        </w:trPr>
        <w:tc>
          <w:tcPr>
            <w:tcW w:type="dxa" w:w="3168"/>
            <w:tcBorders>
              <w:top w:val="single" w:sz="6" w:color="B8C4CE"/>
              <w:left w:val="single" w:sz="6" w:color="B8C4CE"/>
              <w:bottom w:val="single" w:sz="6" w:color="B8C4CE"/>
              <w:right w:val="single" w:sz="6" w:color="B8C4CE"/>
              <w:insideH w:val="single" w:sz="6" w:color="B8C4CE"/>
              <w:insideV w:val="single" w:sz="6" w:color="B8C4CE"/>
            </w:tcBorders>
          </w:tcPr>
          <w:p>
            <w:r>
              <w:rPr>
                <w:rFonts w:ascii="Aptos" w:hAnsi="Aptos"/>
                <w:b/>
                <w:color w:val="1F2937"/>
                <w:sz w:val="18"/>
              </w:rPr>
              <w:t>MOST LIKELY</w:t>
            </w:r>
          </w:p>
        </w:tc>
        <w:tc>
          <w:tcPr>
            <w:tcW w:type="dxa" w:w="6624"/>
            <w:tcBorders>
              <w:top w:val="single" w:sz="6" w:color="B8C4CE"/>
              <w:left w:val="single" w:sz="6" w:color="B8C4CE"/>
              <w:bottom w:val="single" w:sz="6" w:color="B8C4CE"/>
              <w:right w:val="single" w:sz="6" w:color="B8C4CE"/>
              <w:insideH w:val="single" w:sz="6" w:color="B8C4CE"/>
              <w:insideV w:val="single" w:sz="6" w:color="B8C4CE"/>
            </w:tcBorders>
          </w:tcPr>
          <w:p>
            <w:r>
              <w:rPr>
                <w:rFonts w:ascii="Aptos" w:hAnsi="Aptos"/>
                <w:b w:val="0"/>
                <w:color w:val="1F2937"/>
                <w:sz w:val="18"/>
              </w:rPr>
              <w:t>Choose the conclusion best supported by the facts.</w:t>
            </w:r>
          </w:p>
        </w:tc>
      </w:tr>
    </w:tbl>
    <w:p/>
    <w:p>
      <w:pPr>
        <w:pStyle w:val="Heading2"/>
        <w:keepNext/>
      </w:pPr>
      <w:r>
        <w:t>2. Recognize the Cognitive Level</w:t>
      </w:r>
    </w:p>
    <w:p>
      <w:pPr>
        <w:pStyle w:val="ListBullet"/>
        <w:spacing w:after="60"/>
      </w:pPr>
      <w:r>
        <w:t>Recall: Remember or recognize a social work fact, definition, principle, or concept.</w:t>
      </w:r>
    </w:p>
    <w:p>
      <w:pPr>
        <w:pStyle w:val="ListBullet"/>
        <w:spacing w:after="60"/>
      </w:pPr>
      <w:r>
        <w:t>Application: Use a principle, rule, method, law, or theory in a defined situation.</w:t>
      </w:r>
    </w:p>
    <w:p>
      <w:pPr>
        <w:pStyle w:val="ListBullet"/>
        <w:spacing w:after="60"/>
      </w:pPr>
      <w:r>
        <w:t>Reasoning: Integrate several facts, prioritize concerns, compare plausible actions, and exercise professional judgment.</w:t>
      </w:r>
    </w:p>
    <w:tbl>
      <w:tblPr>
        <w:tblW w:type="auto" w:w="0"/>
        <w:jc w:val="center"/>
        <w:tblLayout w:type="autofit"/>
        <w:tblLook w:firstColumn="1" w:firstRow="1" w:lastColumn="0" w:lastRow="0" w:noHBand="0" w:noVBand="1" w:val="04A0"/>
      </w:tblPr>
      <w:tblGrid>
        <w:gridCol w:w="10080"/>
      </w:tblGrid>
      <w:tr>
        <w:trPr>
          <w:cantSplit w:val="true"/>
        </w:trPr>
        <w:tc>
          <w:tcPr>
            <w:tcW w:type="dxa" w:w="10080"/>
            <w:shd w:fill="D9EAF7"/>
            <w:tcBorders>
              <w:top w:val="single" w:sz="6" w:color="A7BDC6"/>
              <w:left w:val="single" w:sz="6" w:color="A7BDC6"/>
              <w:bottom w:val="single" w:sz="6" w:color="A7BDC6"/>
              <w:right w:val="single" w:sz="6" w:color="A7BDC6"/>
              <w:insideH w:val="single" w:sz="6" w:color="A7BDC6"/>
              <w:insideV w:val="single" w:sz="6" w:color="A7BDC6"/>
            </w:tcBorders>
          </w:tcPr>
          <w:p>
            <w:r>
              <w:rPr>
                <w:rFonts w:ascii="Aptos" w:hAnsi="Aptos"/>
                <w:b/>
                <w:color w:val="1F4E78"/>
                <w:sz w:val="19"/>
              </w:rPr>
              <w:t xml:space="preserve">EXAM TIP: </w:t>
            </w:r>
            <w:r>
              <w:rPr>
                <w:rFonts w:ascii="Aptos" w:hAnsi="Aptos"/>
                <w:color w:val="1F2937"/>
                <w:sz w:val="19"/>
              </w:rPr>
              <w:t>Clinical-level items frequently require application and reasoning. A familiar term in an option is not enough; the response must fit the scenario.</w:t>
            </w:r>
          </w:p>
        </w:tc>
      </w:tr>
    </w:tbl>
    <w:p/>
    <w:p>
      <w:pPr>
        <w:pStyle w:val="Heading2"/>
        <w:keepNext/>
      </w:pPr>
      <w:r>
        <w:t>3. Use the CTA Social Work Decision Sequence</w:t>
      </w:r>
    </w:p>
    <w:p>
      <w:pPr>
        <w:spacing w:after="60"/>
        <w:ind w:left="259" w:hanging="259"/>
      </w:pPr>
      <w:r>
        <w:rPr>
          <w:rFonts w:ascii="Aptos" w:hAnsi="Aptos"/>
          <w:b/>
          <w:color w:val="17365D"/>
          <w:sz w:val="21"/>
        </w:rPr>
        <w:t xml:space="preserve">1.  </w:t>
      </w:r>
      <w:r>
        <w:t>Respond to an immediate medical or safety emergency.</w:t>
      </w:r>
    </w:p>
    <w:p>
      <w:pPr>
        <w:spacing w:after="60"/>
        <w:ind w:left="259" w:hanging="259"/>
      </w:pPr>
      <w:r>
        <w:rPr>
          <w:rFonts w:ascii="Aptos" w:hAnsi="Aptos"/>
          <w:b/>
          <w:color w:val="17365D"/>
          <w:sz w:val="21"/>
        </w:rPr>
        <w:t xml:space="preserve">2.  </w:t>
      </w:r>
      <w:r>
        <w:t>Address a supported ethical or legal duty, including protection from serious harm or mandatory action when the facts establish it.</w:t>
      </w:r>
    </w:p>
    <w:p>
      <w:pPr>
        <w:spacing w:after="60"/>
        <w:ind w:left="259" w:hanging="259"/>
      </w:pPr>
      <w:r>
        <w:rPr>
          <w:rFonts w:ascii="Aptos" w:hAnsi="Aptos"/>
          <w:b/>
          <w:color w:val="17365D"/>
          <w:sz w:val="21"/>
        </w:rPr>
        <w:t xml:space="preserve">3.  </w:t>
      </w:r>
      <w:r>
        <w:t>Engage the client or client system and clarify the concern, role, consent, and immediate priorities.</w:t>
      </w:r>
    </w:p>
    <w:p>
      <w:pPr>
        <w:spacing w:after="60"/>
        <w:ind w:left="259" w:hanging="259"/>
      </w:pPr>
      <w:r>
        <w:rPr>
          <w:rFonts w:ascii="Aptos" w:hAnsi="Aptos"/>
          <w:b/>
          <w:color w:val="17365D"/>
          <w:sz w:val="21"/>
        </w:rPr>
        <w:t xml:space="preserve">4.  </w:t>
      </w:r>
      <w:r>
        <w:t>Assess person and environment, including strengths, risks, functioning, health, family, housing, income, culture, discrimination, school, work, services, and resources.</w:t>
      </w:r>
    </w:p>
    <w:p>
      <w:pPr>
        <w:spacing w:after="60"/>
        <w:ind w:left="259" w:hanging="259"/>
      </w:pPr>
      <w:r>
        <w:rPr>
          <w:rFonts w:ascii="Aptos" w:hAnsi="Aptos"/>
          <w:b/>
          <w:color w:val="17365D"/>
          <w:sz w:val="21"/>
        </w:rPr>
        <w:t xml:space="preserve">5.  </w:t>
      </w:r>
      <w:r>
        <w:t>Collaborate on goals, service or treatment plans, referrals, and interventions while respecting self-determination.</w:t>
      </w:r>
    </w:p>
    <w:p>
      <w:pPr>
        <w:spacing w:after="60"/>
        <w:ind w:left="259" w:hanging="259"/>
      </w:pPr>
      <w:r>
        <w:rPr>
          <w:rFonts w:ascii="Aptos" w:hAnsi="Aptos"/>
          <w:b/>
          <w:color w:val="17365D"/>
          <w:sz w:val="21"/>
        </w:rPr>
        <w:t xml:space="preserve">6.  </w:t>
      </w:r>
      <w:r>
        <w:t>Implement the least assumptive, proportionate, evidence-informed response that fits the role and setting.</w:t>
      </w:r>
    </w:p>
    <w:p>
      <w:pPr>
        <w:spacing w:after="60"/>
        <w:ind w:left="259" w:hanging="259"/>
      </w:pPr>
      <w:r>
        <w:rPr>
          <w:rFonts w:ascii="Aptos" w:hAnsi="Aptos"/>
          <w:b/>
          <w:color w:val="17365D"/>
          <w:sz w:val="21"/>
        </w:rPr>
        <w:t xml:space="preserve">7.  </w:t>
      </w:r>
      <w:r>
        <w:t>Evaluate outcomes, coordinate care, document, consult, revise, transfer, or terminate as indicated.</w:t>
      </w:r>
    </w:p>
    <w:p>
      <w:pPr>
        <w:pStyle w:val="Heading2"/>
        <w:keepNext/>
      </w:pPr>
      <w:r>
        <w:t>4. Use the Three-Pass Vignette Method</w:t>
      </w:r>
    </w:p>
    <w:p>
      <w:pPr>
        <w:spacing w:after="60"/>
        <w:ind w:left="259" w:hanging="259"/>
      </w:pPr>
      <w:r>
        <w:rPr>
          <w:rFonts w:ascii="Aptos" w:hAnsi="Aptos"/>
          <w:b/>
          <w:color w:val="17365D"/>
          <w:sz w:val="21"/>
        </w:rPr>
        <w:t xml:space="preserve">1.  </w:t>
      </w:r>
      <w:r>
        <w:t>Pass 1 — Read the final question and qualifier. Define exactly what is being asked.</w:t>
      </w:r>
    </w:p>
    <w:p>
      <w:pPr>
        <w:spacing w:after="60"/>
        <w:ind w:left="259" w:hanging="259"/>
      </w:pPr>
      <w:r>
        <w:rPr>
          <w:rFonts w:ascii="Aptos" w:hAnsi="Aptos"/>
          <w:b/>
          <w:color w:val="17365D"/>
          <w:sz w:val="21"/>
        </w:rPr>
        <w:t xml:space="preserve">2.  </w:t>
      </w:r>
      <w:r>
        <w:t>Pass 2 — Mark decision facts: safety, capacity, client preference, stage of service, environmental stressors, resources, barriers, and what has already occurred.</w:t>
      </w:r>
    </w:p>
    <w:p>
      <w:pPr>
        <w:spacing w:after="60"/>
        <w:ind w:left="259" w:hanging="259"/>
      </w:pPr>
      <w:r>
        <w:rPr>
          <w:rFonts w:ascii="Aptos" w:hAnsi="Aptos"/>
          <w:b/>
          <w:color w:val="17365D"/>
          <w:sz w:val="21"/>
        </w:rPr>
        <w:t xml:space="preserve">3.  </w:t>
      </w:r>
      <w:r>
        <w:t>Pass 3 — Compare options. Eliminate answers that assume facts, override self-determination without a basis, refer before assessing, ignore the environment, or use an unnecessarily extreme response.</w:t>
      </w:r>
    </w:p>
    <w:p>
      <w:pPr>
        <w:pStyle w:val="Heading1"/>
        <w:keepNext/>
      </w:pPr>
      <w:r>
        <w:t>Clinical Application: The LCSW Applied Social Work Lens</w:t>
      </w:r>
    </w:p>
    <w:p>
      <w:pPr>
        <w:pStyle w:val="ListBullet"/>
        <w:spacing w:after="60"/>
      </w:pPr>
      <w:r>
        <w:t>Respect client self-determination unless a supported safety, capacity, legal, or ethical limitation controls the decision.</w:t>
      </w:r>
    </w:p>
    <w:p>
      <w:pPr>
        <w:pStyle w:val="ListBullet"/>
        <w:spacing w:after="60"/>
      </w:pPr>
      <w:r>
        <w:t>Engage the client or client system before imposing a plan.</w:t>
      </w:r>
    </w:p>
    <w:p>
      <w:pPr>
        <w:pStyle w:val="ListBullet"/>
        <w:spacing w:after="60"/>
      </w:pPr>
      <w:r>
        <w:t>Assess person and environment rather than reducing the problem to symptoms alone.</w:t>
      </w:r>
    </w:p>
    <w:p>
      <w:pPr>
        <w:pStyle w:val="ListBullet"/>
        <w:spacing w:after="60"/>
      </w:pPr>
      <w:r>
        <w:t>Use strengths, empowerment, accessibility, and cultural humility.</w:t>
      </w:r>
    </w:p>
    <w:p>
      <w:pPr>
        <w:pStyle w:val="ListBullet"/>
        <w:spacing w:after="60"/>
      </w:pPr>
      <w:r>
        <w:t>When resources are relevant, assess actual need, urgency, eligibility, barriers, preferences, and follow-through.</w:t>
      </w:r>
    </w:p>
    <w:p>
      <w:pPr>
        <w:pStyle w:val="ListBullet"/>
        <w:spacing w:after="60"/>
      </w:pPr>
      <w:r>
        <w:t>Use consultation, supervision, and interdisciplinary collaboration when role, competence, risk, or system complexity requires it.</w:t>
      </w:r>
    </w:p>
    <w:p>
      <w:pPr>
        <w:pStyle w:val="ListBullet"/>
        <w:spacing w:after="60"/>
      </w:pPr>
      <w:r>
        <w:t>Do not import a California-only legal rule into a national item unless the stem supplies the jurisdictional requirement.</w:t>
      </w:r>
    </w:p>
    <w:p>
      <w:pPr>
        <w:pStyle w:val="Heading2"/>
        <w:keepNext/>
      </w:pPr>
      <w:r>
        <w:t>Worked Example</w:t>
      </w:r>
    </w:p>
    <w:p>
      <w:r>
        <w:t>A parent tells a hospital social worker that the family may lose housing within two weeks. The child has also begun missing school and having behavior problems. What should the social worker do first?</w:t>
      </w:r>
    </w:p>
    <w:p>
      <w:pPr>
        <w:pStyle w:val="ListBullet"/>
        <w:spacing w:after="60"/>
      </w:pPr>
      <w:r>
        <w:t>A. Refer the parent to the nearest shelter.</w:t>
      </w:r>
    </w:p>
    <w:p>
      <w:pPr>
        <w:pStyle w:val="ListBullet"/>
        <w:spacing w:after="60"/>
      </w:pPr>
      <w:r>
        <w:t>B. Assess housing risk, immediate safety, resources, eligibility, priorities, and the impact on the child.</w:t>
      </w:r>
    </w:p>
    <w:p>
      <w:pPr>
        <w:pStyle w:val="ListBullet"/>
        <w:spacing w:after="60"/>
      </w:pPr>
      <w:r>
        <w:t>C. Begin individual counseling with the child.</w:t>
      </w:r>
    </w:p>
    <w:p>
      <w:pPr>
        <w:pStyle w:val="ListBullet"/>
        <w:spacing w:after="60"/>
      </w:pPr>
      <w:r>
        <w:t>D. Tell the parent to contact the school before discussing housing.</w:t>
      </w:r>
    </w:p>
    <w:tbl>
      <w:tblPr>
        <w:tblW w:type="auto" w:w="0"/>
        <w:jc w:val="center"/>
        <w:tblLayout w:type="autofit"/>
        <w:tblLook w:firstColumn="1" w:firstRow="1" w:lastColumn="0" w:lastRow="0" w:noHBand="0" w:noVBand="1" w:val="04A0"/>
      </w:tblPr>
      <w:tblGrid>
        <w:gridCol w:w="10080"/>
      </w:tblGrid>
      <w:tr>
        <w:trPr>
          <w:cantSplit w:val="true"/>
        </w:trPr>
        <w:tc>
          <w:tcPr>
            <w:tcW w:type="dxa" w:w="10080"/>
            <w:shd w:fill="D9EDEB"/>
            <w:tcBorders>
              <w:top w:val="single" w:sz="6" w:color="A7BDC6"/>
              <w:left w:val="single" w:sz="6" w:color="A7BDC6"/>
              <w:bottom w:val="single" w:sz="6" w:color="A7BDC6"/>
              <w:right w:val="single" w:sz="6" w:color="A7BDC6"/>
              <w:insideH w:val="single" w:sz="6" w:color="A7BDC6"/>
              <w:insideV w:val="single" w:sz="6" w:color="A7BDC6"/>
            </w:tcBorders>
          </w:tcPr>
          <w:p>
            <w:r>
              <w:rPr>
                <w:rFonts w:ascii="Aptos" w:hAnsi="Aptos"/>
                <w:b/>
                <w:color w:val="0E7490"/>
                <w:sz w:val="19"/>
              </w:rPr>
              <w:t xml:space="preserve">BEST ANSWER: </w:t>
            </w:r>
            <w:r>
              <w:rPr>
                <w:rFonts w:ascii="Aptos" w:hAnsi="Aptos"/>
                <w:color w:val="1F2937"/>
                <w:sz w:val="19"/>
              </w:rPr>
              <w:t>B. The social worker first completes a focused person-in-environment assessment. A referral may follow, but only after the actual level of risk, needs, barriers, and client priorities are understood.</w:t>
            </w:r>
          </w:p>
        </w:tc>
      </w:tr>
    </w:tbl>
    <w:p/>
    <w:p>
      <w:pPr>
        <w:pStyle w:val="Heading1"/>
        <w:keepNext/>
      </w:pPr>
      <w:r>
        <w:t>Common Exam Traps</w:t>
      </w:r>
    </w:p>
    <w:tbl>
      <w:tblPr>
        <w:tblStyle w:val="TableGrid"/>
        <w:tblW w:type="auto" w:w="0"/>
        <w:jc w:val="center"/>
        <w:tblLook w:firstColumn="1" w:firstRow="1" w:lastColumn="0" w:lastRow="0" w:noHBand="0" w:noVBand="1" w:val="04A0"/>
      </w:tblPr>
      <w:tblGrid>
        <w:gridCol w:w="5040"/>
        <w:gridCol w:w="5040"/>
      </w:tblGrid>
      <w:tr>
        <w:trPr>
          <w:tblHeader w:val="true"/>
          <w:cantSplit w:val="true"/>
        </w:trPr>
        <w:tc>
          <w:tcPr>
            <w:tcW w:type="dxa" w:w="3168"/>
            <w:shd w:fill="17365D"/>
            <w:tcBorders>
              <w:top w:val="single" w:sz="6" w:color="B8C4CE"/>
              <w:left w:val="single" w:sz="6" w:color="B8C4CE"/>
              <w:bottom w:val="single" w:sz="6" w:color="B8C4CE"/>
              <w:right w:val="single" w:sz="6" w:color="B8C4CE"/>
              <w:insideH w:val="single" w:sz="6" w:color="B8C4CE"/>
              <w:insideV w:val="single" w:sz="6" w:color="B8C4CE"/>
            </w:tcBorders>
          </w:tcPr>
          <w:p>
            <w:pPr>
              <w:jc w:val="center"/>
            </w:pPr>
            <w:r>
              <w:rPr>
                <w:rFonts w:ascii="Aptos" w:hAnsi="Aptos"/>
                <w:b/>
                <w:color w:val="FFFFFF"/>
                <w:sz w:val="18"/>
              </w:rPr>
              <w:t>Trap</w:t>
            </w:r>
          </w:p>
        </w:tc>
        <w:tc>
          <w:tcPr>
            <w:tcW w:type="dxa" w:w="6624"/>
            <w:shd w:fill="17365D"/>
            <w:tcBorders>
              <w:top w:val="single" w:sz="6" w:color="B8C4CE"/>
              <w:left w:val="single" w:sz="6" w:color="B8C4CE"/>
              <w:bottom w:val="single" w:sz="6" w:color="B8C4CE"/>
              <w:right w:val="single" w:sz="6" w:color="B8C4CE"/>
              <w:insideH w:val="single" w:sz="6" w:color="B8C4CE"/>
              <w:insideV w:val="single" w:sz="6" w:color="B8C4CE"/>
            </w:tcBorders>
          </w:tcPr>
          <w:p>
            <w:pPr>
              <w:jc w:val="center"/>
            </w:pPr>
            <w:r>
              <w:rPr>
                <w:rFonts w:ascii="Aptos" w:hAnsi="Aptos"/>
                <w:b/>
                <w:color w:val="FFFFFF"/>
                <w:sz w:val="18"/>
              </w:rPr>
              <w:t>Why it is wrong</w:t>
            </w:r>
          </w:p>
        </w:tc>
      </w:tr>
      <w:tr>
        <w:trPr>
          <w:cantSplit w:val="true"/>
        </w:trPr>
        <w:tc>
          <w:tcPr>
            <w:tcW w:type="dxa" w:w="3168"/>
            <w:tcBorders>
              <w:top w:val="single" w:sz="6" w:color="B8C4CE"/>
              <w:left w:val="single" w:sz="6" w:color="B8C4CE"/>
              <w:bottom w:val="single" w:sz="6" w:color="B8C4CE"/>
              <w:right w:val="single" w:sz="6" w:color="B8C4CE"/>
              <w:insideH w:val="single" w:sz="6" w:color="B8C4CE"/>
              <w:insideV w:val="single" w:sz="6" w:color="B8C4CE"/>
            </w:tcBorders>
          </w:tcPr>
          <w:p>
            <w:r>
              <w:rPr>
                <w:rFonts w:ascii="Aptos" w:hAnsi="Aptos"/>
                <w:b/>
                <w:color w:val="1F2937"/>
                <w:sz w:val="18"/>
              </w:rPr>
              <w:t>Referring before assessing</w:t>
            </w:r>
          </w:p>
        </w:tc>
        <w:tc>
          <w:tcPr>
            <w:tcW w:type="dxa" w:w="6624"/>
            <w:tcBorders>
              <w:top w:val="single" w:sz="6" w:color="B8C4CE"/>
              <w:left w:val="single" w:sz="6" w:color="B8C4CE"/>
              <w:bottom w:val="single" w:sz="6" w:color="B8C4CE"/>
              <w:right w:val="single" w:sz="6" w:color="B8C4CE"/>
              <w:insideH w:val="single" w:sz="6" w:color="B8C4CE"/>
              <w:insideV w:val="single" w:sz="6" w:color="B8C4CE"/>
            </w:tcBorders>
          </w:tcPr>
          <w:p>
            <w:r>
              <w:rPr>
                <w:rFonts w:ascii="Aptos" w:hAnsi="Aptos"/>
                <w:b w:val="0"/>
                <w:color w:val="1F2937"/>
                <w:sz w:val="18"/>
              </w:rPr>
              <w:t>A resource may be useful, but the need, urgency, eligibility, barriers, and client priorities are not yet clear.</w:t>
            </w:r>
          </w:p>
        </w:tc>
      </w:tr>
      <w:tr>
        <w:trPr>
          <w:cantSplit w:val="true"/>
        </w:trPr>
        <w:tc>
          <w:tcPr>
            <w:tcW w:type="dxa" w:w="3168"/>
            <w:tcBorders>
              <w:top w:val="single" w:sz="6" w:color="B8C4CE"/>
              <w:left w:val="single" w:sz="6" w:color="B8C4CE"/>
              <w:bottom w:val="single" w:sz="6" w:color="B8C4CE"/>
              <w:right w:val="single" w:sz="6" w:color="B8C4CE"/>
              <w:insideH w:val="single" w:sz="6" w:color="B8C4CE"/>
              <w:insideV w:val="single" w:sz="6" w:color="B8C4CE"/>
            </w:tcBorders>
            <w:shd w:fill="F3F4F6"/>
          </w:tcPr>
          <w:p>
            <w:r>
              <w:rPr>
                <w:rFonts w:ascii="Aptos" w:hAnsi="Aptos"/>
                <w:b/>
                <w:color w:val="1F2937"/>
                <w:sz w:val="18"/>
              </w:rPr>
              <w:t>Confusing self-determination with passivity</w:t>
            </w:r>
          </w:p>
        </w:tc>
        <w:tc>
          <w:tcPr>
            <w:tcW w:type="dxa" w:w="6624"/>
            <w:tcBorders>
              <w:top w:val="single" w:sz="6" w:color="B8C4CE"/>
              <w:left w:val="single" w:sz="6" w:color="B8C4CE"/>
              <w:bottom w:val="single" w:sz="6" w:color="B8C4CE"/>
              <w:right w:val="single" w:sz="6" w:color="B8C4CE"/>
              <w:insideH w:val="single" w:sz="6" w:color="B8C4CE"/>
              <w:insideV w:val="single" w:sz="6" w:color="B8C4CE"/>
            </w:tcBorders>
            <w:shd w:fill="F3F4F6"/>
          </w:tcPr>
          <w:p>
            <w:r>
              <w:rPr>
                <w:rFonts w:ascii="Aptos" w:hAnsi="Aptos"/>
                <w:b w:val="0"/>
                <w:color w:val="1F2937"/>
                <w:sz w:val="18"/>
              </w:rPr>
              <w:t>Respecting choice still includes risk assessment, information, options, and safety planning.</w:t>
            </w:r>
          </w:p>
        </w:tc>
      </w:tr>
      <w:tr>
        <w:trPr>
          <w:cantSplit w:val="true"/>
        </w:trPr>
        <w:tc>
          <w:tcPr>
            <w:tcW w:type="dxa" w:w="3168"/>
            <w:tcBorders>
              <w:top w:val="single" w:sz="6" w:color="B8C4CE"/>
              <w:left w:val="single" w:sz="6" w:color="B8C4CE"/>
              <w:bottom w:val="single" w:sz="6" w:color="B8C4CE"/>
              <w:right w:val="single" w:sz="6" w:color="B8C4CE"/>
              <w:insideH w:val="single" w:sz="6" w:color="B8C4CE"/>
              <w:insideV w:val="single" w:sz="6" w:color="B8C4CE"/>
            </w:tcBorders>
          </w:tcPr>
          <w:p>
            <w:r>
              <w:rPr>
                <w:rFonts w:ascii="Aptos" w:hAnsi="Aptos"/>
                <w:b/>
                <w:color w:val="1F2937"/>
                <w:sz w:val="18"/>
              </w:rPr>
              <w:t>Using California law as a universal answer</w:t>
            </w:r>
          </w:p>
        </w:tc>
        <w:tc>
          <w:tcPr>
            <w:tcW w:type="dxa" w:w="6624"/>
            <w:tcBorders>
              <w:top w:val="single" w:sz="6" w:color="B8C4CE"/>
              <w:left w:val="single" w:sz="6" w:color="B8C4CE"/>
              <w:bottom w:val="single" w:sz="6" w:color="B8C4CE"/>
              <w:right w:val="single" w:sz="6" w:color="B8C4CE"/>
              <w:insideH w:val="single" w:sz="6" w:color="B8C4CE"/>
              <w:insideV w:val="single" w:sz="6" w:color="B8C4CE"/>
            </w:tcBorders>
          </w:tcPr>
          <w:p>
            <w:r>
              <w:rPr>
                <w:rFonts w:ascii="Aptos" w:hAnsi="Aptos"/>
                <w:b w:val="0"/>
                <w:color w:val="1F2937"/>
                <w:sz w:val="18"/>
              </w:rPr>
              <w:t>The ASWB exam is national unless the stem provides jurisdiction-specific rules.</w:t>
            </w:r>
          </w:p>
        </w:tc>
      </w:tr>
      <w:tr>
        <w:trPr>
          <w:cantSplit w:val="true"/>
        </w:trPr>
        <w:tc>
          <w:tcPr>
            <w:tcW w:type="dxa" w:w="3168"/>
            <w:tcBorders>
              <w:top w:val="single" w:sz="6" w:color="B8C4CE"/>
              <w:left w:val="single" w:sz="6" w:color="B8C4CE"/>
              <w:bottom w:val="single" w:sz="6" w:color="B8C4CE"/>
              <w:right w:val="single" w:sz="6" w:color="B8C4CE"/>
              <w:insideH w:val="single" w:sz="6" w:color="B8C4CE"/>
              <w:insideV w:val="single" w:sz="6" w:color="B8C4CE"/>
            </w:tcBorders>
            <w:shd w:fill="F3F4F6"/>
          </w:tcPr>
          <w:p>
            <w:r>
              <w:rPr>
                <w:rFonts w:ascii="Aptos" w:hAnsi="Aptos"/>
                <w:b/>
                <w:color w:val="1F2937"/>
                <w:sz w:val="18"/>
              </w:rPr>
              <w:t>Ignoring systems and resources</w:t>
            </w:r>
          </w:p>
        </w:tc>
        <w:tc>
          <w:tcPr>
            <w:tcW w:type="dxa" w:w="6624"/>
            <w:tcBorders>
              <w:top w:val="single" w:sz="6" w:color="B8C4CE"/>
              <w:left w:val="single" w:sz="6" w:color="B8C4CE"/>
              <w:bottom w:val="single" w:sz="6" w:color="B8C4CE"/>
              <w:right w:val="single" w:sz="6" w:color="B8C4CE"/>
              <w:insideH w:val="single" w:sz="6" w:color="B8C4CE"/>
              <w:insideV w:val="single" w:sz="6" w:color="B8C4CE"/>
            </w:tcBorders>
            <w:shd w:fill="F3F4F6"/>
          </w:tcPr>
          <w:p>
            <w:r>
              <w:rPr>
                <w:rFonts w:ascii="Aptos" w:hAnsi="Aptos"/>
                <w:b w:val="0"/>
                <w:color w:val="1F2937"/>
                <w:sz w:val="18"/>
              </w:rPr>
              <w:t>A purely intrapsychic answer may miss housing, benefits, placement, health care, school, work, discrimination, or policy.</w:t>
            </w:r>
          </w:p>
        </w:tc>
      </w:tr>
      <w:tr>
        <w:trPr>
          <w:cantSplit w:val="true"/>
        </w:trPr>
        <w:tc>
          <w:tcPr>
            <w:tcW w:type="dxa" w:w="3168"/>
            <w:tcBorders>
              <w:top w:val="single" w:sz="6" w:color="B8C4CE"/>
              <w:left w:val="single" w:sz="6" w:color="B8C4CE"/>
              <w:bottom w:val="single" w:sz="6" w:color="B8C4CE"/>
              <w:right w:val="single" w:sz="6" w:color="B8C4CE"/>
              <w:insideH w:val="single" w:sz="6" w:color="B8C4CE"/>
              <w:insideV w:val="single" w:sz="6" w:color="B8C4CE"/>
            </w:tcBorders>
          </w:tcPr>
          <w:p>
            <w:r>
              <w:rPr>
                <w:rFonts w:ascii="Aptos" w:hAnsi="Aptos"/>
                <w:b/>
                <w:color w:val="1F2937"/>
                <w:sz w:val="18"/>
              </w:rPr>
              <w:t>Solving the problem without the client</w:t>
            </w:r>
          </w:p>
        </w:tc>
        <w:tc>
          <w:tcPr>
            <w:tcW w:type="dxa" w:w="6624"/>
            <w:tcBorders>
              <w:top w:val="single" w:sz="6" w:color="B8C4CE"/>
              <w:left w:val="single" w:sz="6" w:color="B8C4CE"/>
              <w:bottom w:val="single" w:sz="6" w:color="B8C4CE"/>
              <w:right w:val="single" w:sz="6" w:color="B8C4CE"/>
              <w:insideH w:val="single" w:sz="6" w:color="B8C4CE"/>
              <w:insideV w:val="single" w:sz="6" w:color="B8C4CE"/>
            </w:tcBorders>
          </w:tcPr>
          <w:p>
            <w:r>
              <w:rPr>
                <w:rFonts w:ascii="Aptos" w:hAnsi="Aptos"/>
                <w:b w:val="0"/>
                <w:color w:val="1F2937"/>
                <w:sz w:val="18"/>
              </w:rPr>
              <w:t>Plans should ordinarily include client or client-system participation.</w:t>
            </w:r>
          </w:p>
        </w:tc>
      </w:tr>
      <w:tr>
        <w:trPr>
          <w:cantSplit w:val="true"/>
        </w:trPr>
        <w:tc>
          <w:tcPr>
            <w:tcW w:type="dxa" w:w="3168"/>
            <w:tcBorders>
              <w:top w:val="single" w:sz="6" w:color="B8C4CE"/>
              <w:left w:val="single" w:sz="6" w:color="B8C4CE"/>
              <w:bottom w:val="single" w:sz="6" w:color="B8C4CE"/>
              <w:right w:val="single" w:sz="6" w:color="B8C4CE"/>
              <w:insideH w:val="single" w:sz="6" w:color="B8C4CE"/>
              <w:insideV w:val="single" w:sz="6" w:color="B8C4CE"/>
            </w:tcBorders>
            <w:shd w:fill="F3F4F6"/>
          </w:tcPr>
          <w:p>
            <w:r>
              <w:rPr>
                <w:rFonts w:ascii="Aptos" w:hAnsi="Aptos"/>
                <w:b/>
                <w:color w:val="1F2937"/>
                <w:sz w:val="18"/>
              </w:rPr>
              <w:t>Choosing the most services</w:t>
            </w:r>
          </w:p>
        </w:tc>
        <w:tc>
          <w:tcPr>
            <w:tcW w:type="dxa" w:w="6624"/>
            <w:tcBorders>
              <w:top w:val="single" w:sz="6" w:color="B8C4CE"/>
              <w:left w:val="single" w:sz="6" w:color="B8C4CE"/>
              <w:bottom w:val="single" w:sz="6" w:color="B8C4CE"/>
              <w:right w:val="single" w:sz="6" w:color="B8C4CE"/>
              <w:insideH w:val="single" w:sz="6" w:color="B8C4CE"/>
              <w:insideV w:val="single" w:sz="6" w:color="B8C4CE"/>
            </w:tcBorders>
            <w:shd w:fill="F3F4F6"/>
          </w:tcPr>
          <w:p>
            <w:r>
              <w:rPr>
                <w:rFonts w:ascii="Aptos" w:hAnsi="Aptos"/>
                <w:b w:val="0"/>
                <w:color w:val="1F2937"/>
                <w:sz w:val="18"/>
              </w:rPr>
              <w:t>More referrals do not make an answer better. Services must match assessed needs.</w:t>
            </w:r>
          </w:p>
        </w:tc>
      </w:tr>
      <w:tr>
        <w:trPr>
          <w:cantSplit w:val="true"/>
        </w:trPr>
        <w:tc>
          <w:tcPr>
            <w:tcW w:type="dxa" w:w="3168"/>
            <w:tcBorders>
              <w:top w:val="single" w:sz="6" w:color="B8C4CE"/>
              <w:left w:val="single" w:sz="6" w:color="B8C4CE"/>
              <w:bottom w:val="single" w:sz="6" w:color="B8C4CE"/>
              <w:right w:val="single" w:sz="6" w:color="B8C4CE"/>
              <w:insideH w:val="single" w:sz="6" w:color="B8C4CE"/>
              <w:insideV w:val="single" w:sz="6" w:color="B8C4CE"/>
            </w:tcBorders>
          </w:tcPr>
          <w:p>
            <w:r>
              <w:rPr>
                <w:rFonts w:ascii="Aptos" w:hAnsi="Aptos"/>
                <w:b/>
                <w:color w:val="1F2937"/>
                <w:sz w:val="18"/>
              </w:rPr>
              <w:t>Correct principle, wrong timing</w:t>
            </w:r>
          </w:p>
        </w:tc>
        <w:tc>
          <w:tcPr>
            <w:tcW w:type="dxa" w:w="6624"/>
            <w:tcBorders>
              <w:top w:val="single" w:sz="6" w:color="B8C4CE"/>
              <w:left w:val="single" w:sz="6" w:color="B8C4CE"/>
              <w:bottom w:val="single" w:sz="6" w:color="B8C4CE"/>
              <w:right w:val="single" w:sz="6" w:color="B8C4CE"/>
              <w:insideH w:val="single" w:sz="6" w:color="B8C4CE"/>
              <w:insideV w:val="single" w:sz="6" w:color="B8C4CE"/>
            </w:tcBorders>
          </w:tcPr>
          <w:p>
            <w:r>
              <w:rPr>
                <w:rFonts w:ascii="Aptos" w:hAnsi="Aptos"/>
                <w:b w:val="0"/>
                <w:color w:val="1F2937"/>
                <w:sz w:val="18"/>
              </w:rPr>
              <w:t>The action may be appropriate later but skips the required first step.</w:t>
            </w:r>
          </w:p>
        </w:tc>
      </w:tr>
    </w:tbl>
    <w:p/>
    <w:p>
      <w:pPr>
        <w:pStyle w:val="Heading1"/>
        <w:keepNext/>
      </w:pPr>
      <w:r>
        <w:t>Pacing and Section Strategy</w:t>
      </w:r>
    </w:p>
    <w:p>
      <w:pPr>
        <w:pStyle w:val="ListBullet"/>
        <w:spacing w:after="60"/>
      </w:pPr>
      <w:r>
        <w:t>Each 61-question section has a two-hour limit, averaging just under two minutes per question.</w:t>
      </w:r>
    </w:p>
    <w:p>
      <w:pPr>
        <w:pStyle w:val="ListBullet"/>
        <w:spacing w:after="60"/>
      </w:pPr>
      <w:r>
        <w:t>Answer straightforward items, flag uncertain items, and review before submitting the section.</w:t>
      </w:r>
    </w:p>
    <w:p>
      <w:pPr>
        <w:pStyle w:val="ListBullet"/>
        <w:spacing w:after="60"/>
      </w:pPr>
      <w:r>
        <w:t>Do not submit a section until you have reviewed unanswered and flagged items; you cannot return after submission.</w:t>
      </w:r>
    </w:p>
    <w:p>
      <w:pPr>
        <w:pStyle w:val="ListBullet"/>
        <w:spacing w:after="60"/>
      </w:pPr>
      <w:r>
        <w:t>Use the optional scheduled break to reset attention before the second section.</w:t>
      </w:r>
    </w:p>
    <w:p>
      <w:pPr>
        <w:pStyle w:val="ListBullet"/>
        <w:spacing w:after="60"/>
      </w:pPr>
      <w:r>
        <w:t>During review, compare the remaining answers to the qualifier and the exact facts rather than re-solving the entire case from the beginning.</w:t>
      </w:r>
    </w:p>
    <w:p>
      <w:pPr>
        <w:pStyle w:val="Heading1"/>
        <w:keepNext/>
      </w:pPr>
      <w:r>
        <w:t>Memory Aid: VALUES</w:t>
      </w:r>
    </w:p>
    <w:tbl>
      <w:tblPr>
        <w:tblStyle w:val="TableGrid"/>
        <w:tblW w:type="auto" w:w="0"/>
        <w:jc w:val="center"/>
        <w:tblLook w:firstColumn="1" w:firstRow="1" w:lastColumn="0" w:lastRow="0" w:noHBand="0" w:noVBand="1" w:val="04A0"/>
      </w:tblPr>
      <w:tblGrid>
        <w:gridCol w:w="5040"/>
        <w:gridCol w:w="5040"/>
      </w:tblGrid>
      <w:tr>
        <w:trPr>
          <w:tblHeader w:val="true"/>
          <w:cantSplit w:val="true"/>
        </w:trPr>
        <w:tc>
          <w:tcPr>
            <w:tcW w:type="dxa" w:w="1584"/>
            <w:shd w:fill="17365D"/>
            <w:tcBorders>
              <w:top w:val="single" w:sz="6" w:color="B8C4CE"/>
              <w:left w:val="single" w:sz="6" w:color="B8C4CE"/>
              <w:bottom w:val="single" w:sz="6" w:color="B8C4CE"/>
              <w:right w:val="single" w:sz="6" w:color="B8C4CE"/>
              <w:insideH w:val="single" w:sz="6" w:color="B8C4CE"/>
              <w:insideV w:val="single" w:sz="6" w:color="B8C4CE"/>
            </w:tcBorders>
          </w:tcPr>
          <w:p>
            <w:pPr>
              <w:jc w:val="center"/>
            </w:pPr>
            <w:r>
              <w:rPr>
                <w:rFonts w:ascii="Aptos" w:hAnsi="Aptos"/>
                <w:b/>
                <w:color w:val="FFFFFF"/>
                <w:sz w:val="18"/>
              </w:rPr>
              <w:t>Letter</w:t>
            </w:r>
          </w:p>
        </w:tc>
        <w:tc>
          <w:tcPr>
            <w:tcW w:type="dxa" w:w="8208"/>
            <w:shd w:fill="17365D"/>
            <w:tcBorders>
              <w:top w:val="single" w:sz="6" w:color="B8C4CE"/>
              <w:left w:val="single" w:sz="6" w:color="B8C4CE"/>
              <w:bottom w:val="single" w:sz="6" w:color="B8C4CE"/>
              <w:right w:val="single" w:sz="6" w:color="B8C4CE"/>
              <w:insideH w:val="single" w:sz="6" w:color="B8C4CE"/>
              <w:insideV w:val="single" w:sz="6" w:color="B8C4CE"/>
            </w:tcBorders>
          </w:tcPr>
          <w:p>
            <w:pPr>
              <w:jc w:val="center"/>
            </w:pPr>
            <w:r>
              <w:rPr>
                <w:rFonts w:ascii="Aptos" w:hAnsi="Aptos"/>
                <w:b/>
                <w:color w:val="FFFFFF"/>
                <w:sz w:val="18"/>
              </w:rPr>
              <w:t>Reasoning Question</w:t>
            </w:r>
          </w:p>
        </w:tc>
      </w:tr>
      <w:tr>
        <w:trPr>
          <w:cantSplit w:val="true"/>
        </w:trPr>
        <w:tc>
          <w:tcPr>
            <w:tcW w:type="dxa" w:w="1584"/>
            <w:tcBorders>
              <w:top w:val="single" w:sz="6" w:color="B8C4CE"/>
              <w:left w:val="single" w:sz="6" w:color="B8C4CE"/>
              <w:bottom w:val="single" w:sz="6" w:color="B8C4CE"/>
              <w:right w:val="single" w:sz="6" w:color="B8C4CE"/>
              <w:insideH w:val="single" w:sz="6" w:color="B8C4CE"/>
              <w:insideV w:val="single" w:sz="6" w:color="B8C4CE"/>
            </w:tcBorders>
          </w:tcPr>
          <w:p>
            <w:r>
              <w:rPr>
                <w:rFonts w:ascii="Aptos" w:hAnsi="Aptos"/>
                <w:b/>
                <w:color w:val="1F2937"/>
                <w:sz w:val="18"/>
              </w:rPr>
              <w:t>V</w:t>
            </w:r>
          </w:p>
        </w:tc>
        <w:tc>
          <w:tcPr>
            <w:tcW w:type="dxa" w:w="8208"/>
            <w:tcBorders>
              <w:top w:val="single" w:sz="6" w:color="B8C4CE"/>
              <w:left w:val="single" w:sz="6" w:color="B8C4CE"/>
              <w:bottom w:val="single" w:sz="6" w:color="B8C4CE"/>
              <w:right w:val="single" w:sz="6" w:color="B8C4CE"/>
              <w:insideH w:val="single" w:sz="6" w:color="B8C4CE"/>
              <w:insideV w:val="single" w:sz="6" w:color="B8C4CE"/>
            </w:tcBorders>
          </w:tcPr>
          <w:p>
            <w:r>
              <w:rPr>
                <w:rFonts w:ascii="Aptos" w:hAnsi="Aptos"/>
                <w:b w:val="0"/>
                <w:color w:val="1F2937"/>
                <w:sz w:val="18"/>
              </w:rPr>
              <w:t>What Values or ethical duty applies?</w:t>
            </w:r>
          </w:p>
        </w:tc>
      </w:tr>
      <w:tr>
        <w:trPr>
          <w:cantSplit w:val="true"/>
        </w:trPr>
        <w:tc>
          <w:tcPr>
            <w:tcW w:type="dxa" w:w="1584"/>
            <w:tcBorders>
              <w:top w:val="single" w:sz="6" w:color="B8C4CE"/>
              <w:left w:val="single" w:sz="6" w:color="B8C4CE"/>
              <w:bottom w:val="single" w:sz="6" w:color="B8C4CE"/>
              <w:right w:val="single" w:sz="6" w:color="B8C4CE"/>
              <w:insideH w:val="single" w:sz="6" w:color="B8C4CE"/>
              <w:insideV w:val="single" w:sz="6" w:color="B8C4CE"/>
            </w:tcBorders>
            <w:shd w:fill="F3F4F6"/>
          </w:tcPr>
          <w:p>
            <w:r>
              <w:rPr>
                <w:rFonts w:ascii="Aptos" w:hAnsi="Aptos"/>
                <w:b/>
                <w:color w:val="1F2937"/>
                <w:sz w:val="18"/>
              </w:rPr>
              <w:t>A</w:t>
            </w:r>
          </w:p>
        </w:tc>
        <w:tc>
          <w:tcPr>
            <w:tcW w:type="dxa" w:w="8208"/>
            <w:tcBorders>
              <w:top w:val="single" w:sz="6" w:color="B8C4CE"/>
              <w:left w:val="single" w:sz="6" w:color="B8C4CE"/>
              <w:bottom w:val="single" w:sz="6" w:color="B8C4CE"/>
              <w:right w:val="single" w:sz="6" w:color="B8C4CE"/>
              <w:insideH w:val="single" w:sz="6" w:color="B8C4CE"/>
              <w:insideV w:val="single" w:sz="6" w:color="B8C4CE"/>
            </w:tcBorders>
            <w:shd w:fill="F3F4F6"/>
          </w:tcPr>
          <w:p>
            <w:r>
              <w:rPr>
                <w:rFonts w:ascii="Aptos" w:hAnsi="Aptos"/>
                <w:b w:val="0"/>
                <w:color w:val="1F2937"/>
                <w:sz w:val="18"/>
              </w:rPr>
              <w:t>What Assessment is needed before acting?</w:t>
            </w:r>
          </w:p>
        </w:tc>
      </w:tr>
      <w:tr>
        <w:trPr>
          <w:cantSplit w:val="true"/>
        </w:trPr>
        <w:tc>
          <w:tcPr>
            <w:tcW w:type="dxa" w:w="1584"/>
            <w:tcBorders>
              <w:top w:val="single" w:sz="6" w:color="B8C4CE"/>
              <w:left w:val="single" w:sz="6" w:color="B8C4CE"/>
              <w:bottom w:val="single" w:sz="6" w:color="B8C4CE"/>
              <w:right w:val="single" w:sz="6" w:color="B8C4CE"/>
              <w:insideH w:val="single" w:sz="6" w:color="B8C4CE"/>
              <w:insideV w:val="single" w:sz="6" w:color="B8C4CE"/>
            </w:tcBorders>
          </w:tcPr>
          <w:p>
            <w:r>
              <w:rPr>
                <w:rFonts w:ascii="Aptos" w:hAnsi="Aptos"/>
                <w:b/>
                <w:color w:val="1F2937"/>
                <w:sz w:val="18"/>
              </w:rPr>
              <w:t>L</w:t>
            </w:r>
          </w:p>
        </w:tc>
        <w:tc>
          <w:tcPr>
            <w:tcW w:type="dxa" w:w="8208"/>
            <w:tcBorders>
              <w:top w:val="single" w:sz="6" w:color="B8C4CE"/>
              <w:left w:val="single" w:sz="6" w:color="B8C4CE"/>
              <w:bottom w:val="single" w:sz="6" w:color="B8C4CE"/>
              <w:right w:val="single" w:sz="6" w:color="B8C4CE"/>
              <w:insideH w:val="single" w:sz="6" w:color="B8C4CE"/>
              <w:insideV w:val="single" w:sz="6" w:color="B8C4CE"/>
            </w:tcBorders>
          </w:tcPr>
          <w:p>
            <w:r>
              <w:rPr>
                <w:rFonts w:ascii="Aptos" w:hAnsi="Aptos"/>
                <w:b w:val="0"/>
                <w:color w:val="1F2937"/>
                <w:sz w:val="18"/>
              </w:rPr>
              <w:t>What is the Least assumptive, proportionate response?</w:t>
            </w:r>
          </w:p>
        </w:tc>
      </w:tr>
      <w:tr>
        <w:trPr>
          <w:cantSplit w:val="true"/>
        </w:trPr>
        <w:tc>
          <w:tcPr>
            <w:tcW w:type="dxa" w:w="1584"/>
            <w:tcBorders>
              <w:top w:val="single" w:sz="6" w:color="B8C4CE"/>
              <w:left w:val="single" w:sz="6" w:color="B8C4CE"/>
              <w:bottom w:val="single" w:sz="6" w:color="B8C4CE"/>
              <w:right w:val="single" w:sz="6" w:color="B8C4CE"/>
              <w:insideH w:val="single" w:sz="6" w:color="B8C4CE"/>
              <w:insideV w:val="single" w:sz="6" w:color="B8C4CE"/>
            </w:tcBorders>
            <w:shd w:fill="F3F4F6"/>
          </w:tcPr>
          <w:p>
            <w:r>
              <w:rPr>
                <w:rFonts w:ascii="Aptos" w:hAnsi="Aptos"/>
                <w:b/>
                <w:color w:val="1F2937"/>
                <w:sz w:val="18"/>
              </w:rPr>
              <w:t>U</w:t>
            </w:r>
          </w:p>
        </w:tc>
        <w:tc>
          <w:tcPr>
            <w:tcW w:type="dxa" w:w="8208"/>
            <w:tcBorders>
              <w:top w:val="single" w:sz="6" w:color="B8C4CE"/>
              <w:left w:val="single" w:sz="6" w:color="B8C4CE"/>
              <w:bottom w:val="single" w:sz="6" w:color="B8C4CE"/>
              <w:right w:val="single" w:sz="6" w:color="B8C4CE"/>
              <w:insideH w:val="single" w:sz="6" w:color="B8C4CE"/>
              <w:insideV w:val="single" w:sz="6" w:color="B8C4CE"/>
            </w:tcBorders>
            <w:shd w:fill="F3F4F6"/>
          </w:tcPr>
          <w:p>
            <w:r>
              <w:rPr>
                <w:rFonts w:ascii="Aptos" w:hAnsi="Aptos"/>
                <w:b w:val="0"/>
                <w:color w:val="1F2937"/>
                <w:sz w:val="18"/>
              </w:rPr>
              <w:t>How can the client or client system be included and Understood?</w:t>
            </w:r>
          </w:p>
        </w:tc>
      </w:tr>
      <w:tr>
        <w:trPr>
          <w:cantSplit w:val="true"/>
        </w:trPr>
        <w:tc>
          <w:tcPr>
            <w:tcW w:type="dxa" w:w="1584"/>
            <w:tcBorders>
              <w:top w:val="single" w:sz="6" w:color="B8C4CE"/>
              <w:left w:val="single" w:sz="6" w:color="B8C4CE"/>
              <w:bottom w:val="single" w:sz="6" w:color="B8C4CE"/>
              <w:right w:val="single" w:sz="6" w:color="B8C4CE"/>
              <w:insideH w:val="single" w:sz="6" w:color="B8C4CE"/>
              <w:insideV w:val="single" w:sz="6" w:color="B8C4CE"/>
            </w:tcBorders>
          </w:tcPr>
          <w:p>
            <w:r>
              <w:rPr>
                <w:rFonts w:ascii="Aptos" w:hAnsi="Aptos"/>
                <w:b/>
                <w:color w:val="1F2937"/>
                <w:sz w:val="18"/>
              </w:rPr>
              <w:t>E</w:t>
            </w:r>
          </w:p>
        </w:tc>
        <w:tc>
          <w:tcPr>
            <w:tcW w:type="dxa" w:w="8208"/>
            <w:tcBorders>
              <w:top w:val="single" w:sz="6" w:color="B8C4CE"/>
              <w:left w:val="single" w:sz="6" w:color="B8C4CE"/>
              <w:bottom w:val="single" w:sz="6" w:color="B8C4CE"/>
              <w:right w:val="single" w:sz="6" w:color="B8C4CE"/>
              <w:insideH w:val="single" w:sz="6" w:color="B8C4CE"/>
              <w:insideV w:val="single" w:sz="6" w:color="B8C4CE"/>
            </w:tcBorders>
          </w:tcPr>
          <w:p>
            <w:r>
              <w:rPr>
                <w:rFonts w:ascii="Aptos" w:hAnsi="Aptos"/>
                <w:b w:val="0"/>
                <w:color w:val="1F2937"/>
                <w:sz w:val="18"/>
              </w:rPr>
              <w:t>What Environmental and resource factors matter?</w:t>
            </w:r>
          </w:p>
        </w:tc>
      </w:tr>
      <w:tr>
        <w:trPr>
          <w:cantSplit w:val="true"/>
        </w:trPr>
        <w:tc>
          <w:tcPr>
            <w:tcW w:type="dxa" w:w="1584"/>
            <w:tcBorders>
              <w:top w:val="single" w:sz="6" w:color="B8C4CE"/>
              <w:left w:val="single" w:sz="6" w:color="B8C4CE"/>
              <w:bottom w:val="single" w:sz="6" w:color="B8C4CE"/>
              <w:right w:val="single" w:sz="6" w:color="B8C4CE"/>
              <w:insideH w:val="single" w:sz="6" w:color="B8C4CE"/>
              <w:insideV w:val="single" w:sz="6" w:color="B8C4CE"/>
            </w:tcBorders>
            <w:shd w:fill="F3F4F6"/>
          </w:tcPr>
          <w:p>
            <w:r>
              <w:rPr>
                <w:rFonts w:ascii="Aptos" w:hAnsi="Aptos"/>
                <w:b/>
                <w:color w:val="1F2937"/>
                <w:sz w:val="18"/>
              </w:rPr>
              <w:t>S</w:t>
            </w:r>
          </w:p>
        </w:tc>
        <w:tc>
          <w:tcPr>
            <w:tcW w:type="dxa" w:w="8208"/>
            <w:tcBorders>
              <w:top w:val="single" w:sz="6" w:color="B8C4CE"/>
              <w:left w:val="single" w:sz="6" w:color="B8C4CE"/>
              <w:bottom w:val="single" w:sz="6" w:color="B8C4CE"/>
              <w:right w:val="single" w:sz="6" w:color="B8C4CE"/>
              <w:insideH w:val="single" w:sz="6" w:color="B8C4CE"/>
              <w:insideV w:val="single" w:sz="6" w:color="B8C4CE"/>
            </w:tcBorders>
            <w:shd w:fill="F3F4F6"/>
          </w:tcPr>
          <w:p>
            <w:r>
              <w:rPr>
                <w:rFonts w:ascii="Aptos" w:hAnsi="Aptos"/>
                <w:b w:val="0"/>
                <w:color w:val="1F2937"/>
                <w:sz w:val="18"/>
              </w:rPr>
              <w:t>What Safety, service, supervision, or system action comes next?</w:t>
            </w:r>
          </w:p>
        </w:tc>
      </w:tr>
    </w:tbl>
    <w:p/>
    <w:p>
      <w:pPr>
        <w:pStyle w:val="Heading1"/>
        <w:keepNext/>
      </w:pPr>
      <w:r>
        <w:t>Student Practice Worksheet: Three-Pass Question Analysis</w:t>
      </w:r>
    </w:p>
    <w:p>
      <w:pPr>
        <w:spacing w:after="120"/>
      </w:pPr>
      <w:r>
        <w:t>Use this worksheet with a practice item before viewing the answer. Write only the facts that change the decision.</w:t>
      </w:r>
    </w:p>
    <w:tbl>
      <w:tblPr>
        <w:tblStyle w:val="TableGrid"/>
        <w:tblW w:type="auto" w:w="0"/>
        <w:tblLayout w:type="fixed"/>
        <w:tblLook w:firstColumn="1" w:firstRow="1" w:lastColumn="0" w:lastRow="0" w:noHBand="0" w:noVBand="1" w:val="04A0"/>
      </w:tblPr>
      <w:tblGrid>
        <w:gridCol w:w="3672"/>
        <w:gridCol w:w="6552"/>
      </w:tblGrid>
      <w:tr>
        <w:trPr>
          <w:cantSplit w:val="true"/>
          <w:tblHeader w:val="true"/>
        </w:trPr>
        <w:tc>
          <w:tcPr>
            <w:tcW w:type="dxa" w:w="5040"/>
            <w:vAlign w:val="center"/>
            <w:shd w:fill="17365D"/>
          </w:tcPr>
          <w:p>
            <w:r>
              <w:rPr>
                <w:rFonts w:ascii="Aptos" w:hAnsi="Aptos"/>
                <w:b/>
                <w:color w:val="FFFFFF"/>
                <w:sz w:val="18"/>
              </w:rPr>
              <w:t>Worksheet Field</w:t>
            </w:r>
          </w:p>
        </w:tc>
        <w:tc>
          <w:tcPr>
            <w:tcW w:type="dxa" w:w="5040"/>
            <w:vAlign w:val="center"/>
            <w:shd w:fill="17365D"/>
          </w:tcPr>
          <w:p>
            <w:r>
              <w:rPr>
                <w:rFonts w:ascii="Aptos" w:hAnsi="Aptos"/>
                <w:b/>
                <w:color w:val="FFFFFF"/>
                <w:sz w:val="18"/>
              </w:rPr>
              <w:t>Candidate Notes</w:t>
            </w:r>
          </w:p>
        </w:tc>
      </w:tr>
      <w:tr>
        <w:trPr>
          <w:cantSplit w:val="true"/>
        </w:trPr>
        <w:tc>
          <w:tcPr>
            <w:tcW w:type="dxa" w:w="5040"/>
            <w:vAlign w:val="center"/>
          </w:tcPr>
          <w:p>
            <w:r>
              <w:rPr>
                <w:rFonts w:ascii="Aptos" w:hAnsi="Aptos"/>
                <w:sz w:val="18"/>
              </w:rPr>
              <w:t>1. Qualifier and exact task</w:t>
            </w:r>
          </w:p>
        </w:tc>
        <w:tc>
          <w:tcPr>
            <w:tcW w:type="dxa" w:w="5040"/>
            <w:vAlign w:val="center"/>
          </w:tcPr>
          <w:p>
            <w:pPr>
              <w:spacing w:after="360"/>
            </w:pPr>
            <w:r>
              <w:rPr>
                <w:rFonts w:ascii="Aptos" w:hAnsi="Aptos"/>
                <w:sz w:val="18"/>
              </w:rPr>
              <w:t xml:space="preserve"> </w:t>
            </w:r>
          </w:p>
        </w:tc>
      </w:tr>
      <w:tr>
        <w:trPr>
          <w:cantSplit w:val="true"/>
        </w:trPr>
        <w:tc>
          <w:tcPr>
            <w:tcW w:type="dxa" w:w="5040"/>
            <w:vAlign w:val="center"/>
          </w:tcPr>
          <w:p>
            <w:r>
              <w:rPr>
                <w:rFonts w:ascii="Aptos" w:hAnsi="Aptos"/>
                <w:sz w:val="18"/>
              </w:rPr>
              <w:t>2. Immediate safety, medical, legal, or ethical flags</w:t>
            </w:r>
          </w:p>
        </w:tc>
        <w:tc>
          <w:tcPr>
            <w:tcW w:type="dxa" w:w="5040"/>
            <w:vAlign w:val="center"/>
          </w:tcPr>
          <w:p>
            <w:pPr>
              <w:spacing w:after="360"/>
            </w:pPr>
            <w:r>
              <w:rPr>
                <w:rFonts w:ascii="Aptos" w:hAnsi="Aptos"/>
                <w:sz w:val="18"/>
              </w:rPr>
              <w:t xml:space="preserve"> </w:t>
            </w:r>
          </w:p>
        </w:tc>
      </w:tr>
      <w:tr>
        <w:trPr>
          <w:cantSplit w:val="true"/>
        </w:trPr>
        <w:tc>
          <w:tcPr>
            <w:tcW w:type="dxa" w:w="5040"/>
            <w:vAlign w:val="center"/>
          </w:tcPr>
          <w:p>
            <w:r>
              <w:rPr>
                <w:rFonts w:ascii="Aptos" w:hAnsi="Aptos"/>
                <w:sz w:val="18"/>
              </w:rPr>
              <w:t>3. Stage of care and what has already occurred</w:t>
            </w:r>
          </w:p>
        </w:tc>
        <w:tc>
          <w:tcPr>
            <w:tcW w:type="dxa" w:w="5040"/>
            <w:vAlign w:val="center"/>
          </w:tcPr>
          <w:p>
            <w:pPr>
              <w:spacing w:after="360"/>
            </w:pPr>
            <w:r>
              <w:rPr>
                <w:rFonts w:ascii="Aptos" w:hAnsi="Aptos"/>
                <w:sz w:val="18"/>
              </w:rPr>
              <w:t xml:space="preserve"> </w:t>
            </w:r>
          </w:p>
        </w:tc>
      </w:tr>
      <w:tr>
        <w:trPr>
          <w:cantSplit w:val="true"/>
        </w:trPr>
        <w:tc>
          <w:tcPr>
            <w:tcW w:type="dxa" w:w="5040"/>
            <w:vAlign w:val="center"/>
          </w:tcPr>
          <w:p>
            <w:r>
              <w:rPr>
                <w:rFonts w:ascii="Aptos" w:hAnsi="Aptos"/>
                <w:sz w:val="18"/>
              </w:rPr>
              <w:t>4. Client or client system / unit of treatment</w:t>
            </w:r>
          </w:p>
        </w:tc>
        <w:tc>
          <w:tcPr>
            <w:tcW w:type="dxa" w:w="5040"/>
            <w:vAlign w:val="center"/>
          </w:tcPr>
          <w:p>
            <w:pPr>
              <w:spacing w:after="360"/>
            </w:pPr>
            <w:r>
              <w:rPr>
                <w:rFonts w:ascii="Aptos" w:hAnsi="Aptos"/>
                <w:sz w:val="18"/>
              </w:rPr>
              <w:t xml:space="preserve"> </w:t>
            </w:r>
          </w:p>
        </w:tc>
      </w:tr>
      <w:tr>
        <w:trPr>
          <w:cantSplit w:val="true"/>
        </w:trPr>
        <w:tc>
          <w:tcPr>
            <w:tcW w:type="dxa" w:w="5040"/>
            <w:vAlign w:val="center"/>
          </w:tcPr>
          <w:p>
            <w:r>
              <w:rPr>
                <w:rFonts w:ascii="Aptos" w:hAnsi="Aptos"/>
                <w:sz w:val="18"/>
              </w:rPr>
              <w:t>5. Essential missing information</w:t>
            </w:r>
          </w:p>
        </w:tc>
        <w:tc>
          <w:tcPr>
            <w:tcW w:type="dxa" w:w="5040"/>
            <w:vAlign w:val="center"/>
          </w:tcPr>
          <w:p>
            <w:pPr>
              <w:spacing w:after="360"/>
            </w:pPr>
            <w:r>
              <w:rPr>
                <w:rFonts w:ascii="Aptos" w:hAnsi="Aptos"/>
                <w:sz w:val="18"/>
              </w:rPr>
              <w:t xml:space="preserve"> </w:t>
            </w:r>
          </w:p>
        </w:tc>
      </w:tr>
      <w:tr>
        <w:trPr>
          <w:cantSplit w:val="true"/>
        </w:trPr>
        <w:tc>
          <w:tcPr>
            <w:tcW w:type="dxa" w:w="5040"/>
            <w:vAlign w:val="center"/>
          </w:tcPr>
          <w:p>
            <w:r>
              <w:rPr>
                <w:rFonts w:ascii="Aptos" w:hAnsi="Aptos"/>
                <w:sz w:val="18"/>
              </w:rPr>
              <w:t>6. Options eliminated and why</w:t>
            </w:r>
          </w:p>
        </w:tc>
        <w:tc>
          <w:tcPr>
            <w:tcW w:type="dxa" w:w="5040"/>
            <w:vAlign w:val="center"/>
          </w:tcPr>
          <w:p>
            <w:pPr>
              <w:spacing w:after="360"/>
            </w:pPr>
            <w:r>
              <w:rPr>
                <w:rFonts w:ascii="Aptos" w:hAnsi="Aptos"/>
                <w:sz w:val="18"/>
              </w:rPr>
              <w:t xml:space="preserve"> </w:t>
            </w:r>
          </w:p>
        </w:tc>
      </w:tr>
      <w:tr>
        <w:trPr>
          <w:cantSplit w:val="true"/>
        </w:trPr>
        <w:tc>
          <w:tcPr>
            <w:tcW w:type="dxa" w:w="5040"/>
            <w:vAlign w:val="center"/>
          </w:tcPr>
          <w:p>
            <w:r>
              <w:rPr>
                <w:rFonts w:ascii="Aptos" w:hAnsi="Aptos"/>
                <w:sz w:val="18"/>
              </w:rPr>
              <w:t>7. Best answer and one-sentence reason</w:t>
            </w:r>
          </w:p>
        </w:tc>
        <w:tc>
          <w:tcPr>
            <w:tcW w:type="dxa" w:w="5040"/>
            <w:vAlign w:val="center"/>
          </w:tcPr>
          <w:p>
            <w:pPr>
              <w:spacing w:after="360"/>
            </w:pPr>
            <w:r>
              <w:rPr>
                <w:rFonts w:ascii="Aptos" w:hAnsi="Aptos"/>
                <w:sz w:val="18"/>
              </w:rPr>
              <w:t xml:space="preserve"> </w:t>
            </w:r>
          </w:p>
        </w:tc>
      </w:tr>
    </w:tbl>
    <w:p>
      <w:pPr>
        <w:spacing w:before="80" w:after="160"/>
      </w:pPr>
      <w:r>
        <w:rPr>
          <w:b/>
          <w:color w:val="0E7490"/>
        </w:rPr>
        <w:t>Self-check: Did your answer perform the requested task at the correct point in the clinical sequence?</w:t>
      </w:r>
    </w:p>
    <w:p>
      <w:pPr>
        <w:pStyle w:val="Heading1"/>
        <w:keepNext/>
      </w:pPr>
      <w:r>
        <w:t>Chapter Summary</w:t>
      </w:r>
    </w:p>
    <w:p>
      <w:pPr>
        <w:pStyle w:val="ListBullet"/>
        <w:spacing w:after="60"/>
      </w:pPr>
      <w:r>
        <w:t>The qualifier controls the response.</w:t>
      </w:r>
    </w:p>
    <w:p>
      <w:pPr>
        <w:pStyle w:val="ListBullet"/>
        <w:spacing w:after="60"/>
      </w:pPr>
      <w:r>
        <w:t>Safety and supported ethical or legal duties outrank routine sequencing.</w:t>
      </w:r>
    </w:p>
    <w:p>
      <w:pPr>
        <w:pStyle w:val="ListBullet"/>
        <w:spacing w:after="60"/>
      </w:pPr>
      <w:r>
        <w:t>Assessment usually precedes referral or intervention when essential information is missing.</w:t>
      </w:r>
    </w:p>
    <w:p>
      <w:pPr>
        <w:pStyle w:val="ListBullet"/>
        <w:spacing w:after="60"/>
      </w:pPr>
      <w:r>
        <w:t>Self-determination requires collaboration, not professional passivity or coercion.</w:t>
      </w:r>
    </w:p>
    <w:p>
      <w:pPr>
        <w:pStyle w:val="ListBullet"/>
        <w:spacing w:after="60"/>
      </w:pPr>
      <w:r>
        <w:t>Person-in-environment reasoning includes relationships, systems, resources, barriers, culture, and social conditions.</w:t>
      </w:r>
    </w:p>
    <w:p>
      <w:pPr>
        <w:pStyle w:val="ListBullet"/>
        <w:spacing w:after="60"/>
      </w:pPr>
      <w:r>
        <w:t>Distractors are often plausible but mistimed, unsupported, overly controlling, or incomplete.</w:t>
      </w:r>
    </w:p>
    <w:p>
      <w:pPr>
        <w:pStyle w:val="Heading1"/>
        <w:keepNext/>
        <w:pageBreakBefore/>
      </w:pPr>
      <w:r>
        <w:t>Knowledge Check</w:t>
      </w:r>
    </w:p>
    <w:p>
      <w:r>
        <w:t>Complete all 10 questions before reviewing the answer key. Record confidence as 1 = low, 2 = moderate, or 3 = high. Questions are original CTA practice items.</w:t>
      </w:r>
    </w:p>
    <w:tbl>
      <w:tblPr>
        <w:tblW w:type="auto" w:w="0"/>
        <w:jc w:val="center"/>
        <w:tblLook w:firstColumn="1" w:firstRow="1" w:lastColumn="0" w:lastRow="0" w:noHBand="0" w:noVBand="1" w:val="04A0"/>
      </w:tblPr>
      <w:tblGrid>
        <w:gridCol w:w="2520"/>
        <w:gridCol w:w="2520"/>
        <w:gridCol w:w="2520"/>
        <w:gridCol w:w="2520"/>
      </w:tblGrid>
      <w:tr>
        <w:trPr>
          <w:cantSplit w:val="true"/>
          <w:tblHeader w:val="true"/>
        </w:trPr>
        <w:tc>
          <w:tcPr>
            <w:tcW w:type="dxa" w:w="2520"/>
            <w:shd w:fill="17365D"/>
            <w:tcBorders>
              <w:top w:val="single" w:sz="6" w:color="B8C4CE"/>
              <w:left w:val="single" w:sz="6" w:color="B8C4CE"/>
              <w:bottom w:val="single" w:sz="6" w:color="B8C4CE"/>
              <w:right w:val="single" w:sz="6" w:color="B8C4CE"/>
              <w:insideH w:val="single" w:sz="6" w:color="B8C4CE"/>
              <w:insideV w:val="single" w:sz="6" w:color="B8C4CE"/>
            </w:tcBorders>
          </w:tcPr>
          <w:p>
            <w:pPr>
              <w:jc w:val="center"/>
            </w:pPr>
            <w:r>
              <w:rPr>
                <w:rFonts w:ascii="Aptos" w:hAnsi="Aptos"/>
                <w:b/>
                <w:color w:val="FFFFFF"/>
                <w:sz w:val="17"/>
              </w:rPr>
              <w:t>Question</w:t>
            </w:r>
          </w:p>
        </w:tc>
        <w:tc>
          <w:tcPr>
            <w:tcW w:type="dxa" w:w="2520"/>
            <w:shd w:fill="17365D"/>
            <w:tcBorders>
              <w:top w:val="single" w:sz="6" w:color="B8C4CE"/>
              <w:left w:val="single" w:sz="6" w:color="B8C4CE"/>
              <w:bottom w:val="single" w:sz="6" w:color="B8C4CE"/>
              <w:right w:val="single" w:sz="6" w:color="B8C4CE"/>
              <w:insideH w:val="single" w:sz="6" w:color="B8C4CE"/>
              <w:insideV w:val="single" w:sz="6" w:color="B8C4CE"/>
            </w:tcBorders>
          </w:tcPr>
          <w:p>
            <w:pPr>
              <w:jc w:val="center"/>
            </w:pPr>
            <w:r>
              <w:rPr>
                <w:rFonts w:ascii="Aptos" w:hAnsi="Aptos"/>
                <w:b/>
                <w:color w:val="FFFFFF"/>
                <w:sz w:val="17"/>
              </w:rPr>
              <w:t>My Answer</w:t>
            </w:r>
          </w:p>
        </w:tc>
        <w:tc>
          <w:tcPr>
            <w:tcW w:type="dxa" w:w="2520"/>
            <w:shd w:fill="17365D"/>
            <w:tcBorders>
              <w:top w:val="single" w:sz="6" w:color="B8C4CE"/>
              <w:left w:val="single" w:sz="6" w:color="B8C4CE"/>
              <w:bottom w:val="single" w:sz="6" w:color="B8C4CE"/>
              <w:right w:val="single" w:sz="6" w:color="B8C4CE"/>
              <w:insideH w:val="single" w:sz="6" w:color="B8C4CE"/>
              <w:insideV w:val="single" w:sz="6" w:color="B8C4CE"/>
            </w:tcBorders>
          </w:tcPr>
          <w:p>
            <w:pPr>
              <w:jc w:val="center"/>
            </w:pPr>
            <w:r>
              <w:rPr>
                <w:rFonts w:ascii="Aptos" w:hAnsi="Aptos"/>
                <w:b/>
                <w:color w:val="FFFFFF"/>
                <w:sz w:val="17"/>
              </w:rPr>
              <w:t>Confidence (1–3)</w:t>
            </w:r>
          </w:p>
        </w:tc>
        <w:tc>
          <w:tcPr>
            <w:tcW w:type="dxa" w:w="2520"/>
            <w:shd w:fill="17365D"/>
            <w:tcBorders>
              <w:top w:val="single" w:sz="6" w:color="B8C4CE"/>
              <w:left w:val="single" w:sz="6" w:color="B8C4CE"/>
              <w:bottom w:val="single" w:sz="6" w:color="B8C4CE"/>
              <w:right w:val="single" w:sz="6" w:color="B8C4CE"/>
              <w:insideH w:val="single" w:sz="6" w:color="B8C4CE"/>
              <w:insideV w:val="single" w:sz="6" w:color="B8C4CE"/>
            </w:tcBorders>
          </w:tcPr>
          <w:p>
            <w:pPr>
              <w:jc w:val="center"/>
            </w:pPr>
            <w:r>
              <w:rPr>
                <w:rFonts w:ascii="Aptos" w:hAnsi="Aptos"/>
                <w:b/>
                <w:color w:val="FFFFFF"/>
                <w:sz w:val="17"/>
              </w:rPr>
              <w:t>Review?</w:t>
            </w:r>
          </w:p>
        </w:tc>
      </w:tr>
      <w:tr>
        <w:trPr>
          <w:cantSplit w:val="true"/>
        </w:trPr>
        <w:tc>
          <w:tcPr>
            <w:tcW w:type="dxa" w:w="2520"/>
            <w:tcBorders>
              <w:top w:val="single" w:sz="6" w:color="B8C4CE"/>
              <w:left w:val="single" w:sz="6" w:color="B8C4CE"/>
              <w:bottom w:val="single" w:sz="6" w:color="B8C4CE"/>
              <w:right w:val="single" w:sz="6" w:color="B8C4CE"/>
              <w:insideH w:val="single" w:sz="6" w:color="B8C4CE"/>
              <w:insideV w:val="single" w:sz="6" w:color="B8C4CE"/>
            </w:tcBorders>
          </w:tcPr>
          <w:p>
            <w:pPr>
              <w:jc w:val="center"/>
            </w:pPr>
            <w:r>
              <w:rPr>
                <w:rFonts w:ascii="Aptos" w:hAnsi="Aptos"/>
                <w:b/>
                <w:color w:val="1F2937"/>
                <w:sz w:val="18"/>
              </w:rPr>
              <w:t>1</w:t>
            </w:r>
          </w:p>
        </w:tc>
        <w:tc>
          <w:tcPr>
            <w:tcW w:type="dxa" w:w="2520"/>
            <w:tcBorders>
              <w:top w:val="single" w:sz="6" w:color="B8C4CE"/>
              <w:left w:val="single" w:sz="6" w:color="B8C4CE"/>
              <w:bottom w:val="single" w:sz="6" w:color="B8C4CE"/>
              <w:right w:val="single" w:sz="6" w:color="B8C4CE"/>
              <w:insideH w:val="single" w:sz="6" w:color="B8C4CE"/>
              <w:insideV w:val="single" w:sz="6" w:color="B8C4CE"/>
            </w:tcBorders>
          </w:tcPr>
          <w:p>
            <w:pPr>
              <w:jc w:val="center"/>
            </w:pPr>
            <w:r>
              <w:rPr>
                <w:rFonts w:ascii="Aptos" w:hAnsi="Aptos"/>
                <w:b w:val="0"/>
                <w:color w:val="1F2937"/>
                <w:sz w:val="18"/>
              </w:rPr>
            </w:r>
          </w:p>
        </w:tc>
        <w:tc>
          <w:tcPr>
            <w:tcW w:type="dxa" w:w="2520"/>
            <w:tcBorders>
              <w:top w:val="single" w:sz="6" w:color="B8C4CE"/>
              <w:left w:val="single" w:sz="6" w:color="B8C4CE"/>
              <w:bottom w:val="single" w:sz="6" w:color="B8C4CE"/>
              <w:right w:val="single" w:sz="6" w:color="B8C4CE"/>
              <w:insideH w:val="single" w:sz="6" w:color="B8C4CE"/>
              <w:insideV w:val="single" w:sz="6" w:color="B8C4CE"/>
            </w:tcBorders>
          </w:tcPr>
          <w:p>
            <w:pPr>
              <w:jc w:val="center"/>
            </w:pPr>
            <w:r>
              <w:rPr>
                <w:rFonts w:ascii="Aptos" w:hAnsi="Aptos"/>
                <w:b w:val="0"/>
                <w:color w:val="1F2937"/>
                <w:sz w:val="18"/>
              </w:rPr>
            </w:r>
          </w:p>
        </w:tc>
        <w:tc>
          <w:tcPr>
            <w:tcW w:type="dxa" w:w="2520"/>
            <w:tcBorders>
              <w:top w:val="single" w:sz="6" w:color="B8C4CE"/>
              <w:left w:val="single" w:sz="6" w:color="B8C4CE"/>
              <w:bottom w:val="single" w:sz="6" w:color="B8C4CE"/>
              <w:right w:val="single" w:sz="6" w:color="B8C4CE"/>
              <w:insideH w:val="single" w:sz="6" w:color="B8C4CE"/>
              <w:insideV w:val="single" w:sz="6" w:color="B8C4CE"/>
            </w:tcBorders>
          </w:tcPr>
          <w:p>
            <w:pPr>
              <w:jc w:val="center"/>
            </w:pPr>
            <w:r>
              <w:rPr>
                <w:rFonts w:ascii="Aptos" w:hAnsi="Aptos"/>
                <w:b w:val="0"/>
                <w:color w:val="1F2937"/>
                <w:sz w:val="18"/>
              </w:rPr>
            </w:r>
          </w:p>
        </w:tc>
      </w:tr>
      <w:tr>
        <w:trPr>
          <w:cantSplit w:val="true"/>
        </w:trPr>
        <w:tc>
          <w:tcPr>
            <w:tcW w:type="dxa" w:w="2520"/>
            <w:tcBorders>
              <w:top w:val="single" w:sz="6" w:color="B8C4CE"/>
              <w:left w:val="single" w:sz="6" w:color="B8C4CE"/>
              <w:bottom w:val="single" w:sz="6" w:color="B8C4CE"/>
              <w:right w:val="single" w:sz="6" w:color="B8C4CE"/>
              <w:insideH w:val="single" w:sz="6" w:color="B8C4CE"/>
              <w:insideV w:val="single" w:sz="6" w:color="B8C4CE"/>
            </w:tcBorders>
          </w:tcPr>
          <w:p>
            <w:pPr>
              <w:jc w:val="center"/>
            </w:pPr>
            <w:r>
              <w:rPr>
                <w:rFonts w:ascii="Aptos" w:hAnsi="Aptos"/>
                <w:b/>
                <w:color w:val="1F2937"/>
                <w:sz w:val="18"/>
              </w:rPr>
              <w:t>2</w:t>
            </w:r>
          </w:p>
        </w:tc>
        <w:tc>
          <w:tcPr>
            <w:tcW w:type="dxa" w:w="2520"/>
            <w:tcBorders>
              <w:top w:val="single" w:sz="6" w:color="B8C4CE"/>
              <w:left w:val="single" w:sz="6" w:color="B8C4CE"/>
              <w:bottom w:val="single" w:sz="6" w:color="B8C4CE"/>
              <w:right w:val="single" w:sz="6" w:color="B8C4CE"/>
              <w:insideH w:val="single" w:sz="6" w:color="B8C4CE"/>
              <w:insideV w:val="single" w:sz="6" w:color="B8C4CE"/>
            </w:tcBorders>
          </w:tcPr>
          <w:p>
            <w:pPr>
              <w:jc w:val="center"/>
            </w:pPr>
            <w:r>
              <w:rPr>
                <w:rFonts w:ascii="Aptos" w:hAnsi="Aptos"/>
                <w:b w:val="0"/>
                <w:color w:val="1F2937"/>
                <w:sz w:val="18"/>
              </w:rPr>
            </w:r>
          </w:p>
        </w:tc>
        <w:tc>
          <w:tcPr>
            <w:tcW w:type="dxa" w:w="2520"/>
            <w:tcBorders>
              <w:top w:val="single" w:sz="6" w:color="B8C4CE"/>
              <w:left w:val="single" w:sz="6" w:color="B8C4CE"/>
              <w:bottom w:val="single" w:sz="6" w:color="B8C4CE"/>
              <w:right w:val="single" w:sz="6" w:color="B8C4CE"/>
              <w:insideH w:val="single" w:sz="6" w:color="B8C4CE"/>
              <w:insideV w:val="single" w:sz="6" w:color="B8C4CE"/>
            </w:tcBorders>
          </w:tcPr>
          <w:p>
            <w:pPr>
              <w:jc w:val="center"/>
            </w:pPr>
            <w:r>
              <w:rPr>
                <w:rFonts w:ascii="Aptos" w:hAnsi="Aptos"/>
                <w:b w:val="0"/>
                <w:color w:val="1F2937"/>
                <w:sz w:val="18"/>
              </w:rPr>
            </w:r>
          </w:p>
        </w:tc>
        <w:tc>
          <w:tcPr>
            <w:tcW w:type="dxa" w:w="2520"/>
            <w:tcBorders>
              <w:top w:val="single" w:sz="6" w:color="B8C4CE"/>
              <w:left w:val="single" w:sz="6" w:color="B8C4CE"/>
              <w:bottom w:val="single" w:sz="6" w:color="B8C4CE"/>
              <w:right w:val="single" w:sz="6" w:color="B8C4CE"/>
              <w:insideH w:val="single" w:sz="6" w:color="B8C4CE"/>
              <w:insideV w:val="single" w:sz="6" w:color="B8C4CE"/>
            </w:tcBorders>
          </w:tcPr>
          <w:p>
            <w:pPr>
              <w:jc w:val="center"/>
            </w:pPr>
            <w:r>
              <w:rPr>
                <w:rFonts w:ascii="Aptos" w:hAnsi="Aptos"/>
                <w:b w:val="0"/>
                <w:color w:val="1F2937"/>
                <w:sz w:val="18"/>
              </w:rPr>
            </w:r>
          </w:p>
        </w:tc>
      </w:tr>
      <w:tr>
        <w:trPr>
          <w:cantSplit w:val="true"/>
        </w:trPr>
        <w:tc>
          <w:tcPr>
            <w:tcW w:type="dxa" w:w="2520"/>
            <w:tcBorders>
              <w:top w:val="single" w:sz="6" w:color="B8C4CE"/>
              <w:left w:val="single" w:sz="6" w:color="B8C4CE"/>
              <w:bottom w:val="single" w:sz="6" w:color="B8C4CE"/>
              <w:right w:val="single" w:sz="6" w:color="B8C4CE"/>
              <w:insideH w:val="single" w:sz="6" w:color="B8C4CE"/>
              <w:insideV w:val="single" w:sz="6" w:color="B8C4CE"/>
            </w:tcBorders>
          </w:tcPr>
          <w:p>
            <w:pPr>
              <w:jc w:val="center"/>
            </w:pPr>
            <w:r>
              <w:rPr>
                <w:rFonts w:ascii="Aptos" w:hAnsi="Aptos"/>
                <w:b/>
                <w:color w:val="1F2937"/>
                <w:sz w:val="18"/>
              </w:rPr>
              <w:t>3</w:t>
            </w:r>
          </w:p>
        </w:tc>
        <w:tc>
          <w:tcPr>
            <w:tcW w:type="dxa" w:w="2520"/>
            <w:tcBorders>
              <w:top w:val="single" w:sz="6" w:color="B8C4CE"/>
              <w:left w:val="single" w:sz="6" w:color="B8C4CE"/>
              <w:bottom w:val="single" w:sz="6" w:color="B8C4CE"/>
              <w:right w:val="single" w:sz="6" w:color="B8C4CE"/>
              <w:insideH w:val="single" w:sz="6" w:color="B8C4CE"/>
              <w:insideV w:val="single" w:sz="6" w:color="B8C4CE"/>
            </w:tcBorders>
          </w:tcPr>
          <w:p>
            <w:pPr>
              <w:jc w:val="center"/>
            </w:pPr>
            <w:r>
              <w:rPr>
                <w:rFonts w:ascii="Aptos" w:hAnsi="Aptos"/>
                <w:b w:val="0"/>
                <w:color w:val="1F2937"/>
                <w:sz w:val="18"/>
              </w:rPr>
            </w:r>
          </w:p>
        </w:tc>
        <w:tc>
          <w:tcPr>
            <w:tcW w:type="dxa" w:w="2520"/>
            <w:tcBorders>
              <w:top w:val="single" w:sz="6" w:color="B8C4CE"/>
              <w:left w:val="single" w:sz="6" w:color="B8C4CE"/>
              <w:bottom w:val="single" w:sz="6" w:color="B8C4CE"/>
              <w:right w:val="single" w:sz="6" w:color="B8C4CE"/>
              <w:insideH w:val="single" w:sz="6" w:color="B8C4CE"/>
              <w:insideV w:val="single" w:sz="6" w:color="B8C4CE"/>
            </w:tcBorders>
          </w:tcPr>
          <w:p>
            <w:pPr>
              <w:jc w:val="center"/>
            </w:pPr>
            <w:r>
              <w:rPr>
                <w:rFonts w:ascii="Aptos" w:hAnsi="Aptos"/>
                <w:b w:val="0"/>
                <w:color w:val="1F2937"/>
                <w:sz w:val="18"/>
              </w:rPr>
            </w:r>
          </w:p>
        </w:tc>
        <w:tc>
          <w:tcPr>
            <w:tcW w:type="dxa" w:w="2520"/>
            <w:tcBorders>
              <w:top w:val="single" w:sz="6" w:color="B8C4CE"/>
              <w:left w:val="single" w:sz="6" w:color="B8C4CE"/>
              <w:bottom w:val="single" w:sz="6" w:color="B8C4CE"/>
              <w:right w:val="single" w:sz="6" w:color="B8C4CE"/>
              <w:insideH w:val="single" w:sz="6" w:color="B8C4CE"/>
              <w:insideV w:val="single" w:sz="6" w:color="B8C4CE"/>
            </w:tcBorders>
          </w:tcPr>
          <w:p>
            <w:pPr>
              <w:jc w:val="center"/>
            </w:pPr>
            <w:r>
              <w:rPr>
                <w:rFonts w:ascii="Aptos" w:hAnsi="Aptos"/>
                <w:b w:val="0"/>
                <w:color w:val="1F2937"/>
                <w:sz w:val="18"/>
              </w:rPr>
            </w:r>
          </w:p>
        </w:tc>
      </w:tr>
      <w:tr>
        <w:trPr>
          <w:cantSplit w:val="true"/>
        </w:trPr>
        <w:tc>
          <w:tcPr>
            <w:tcW w:type="dxa" w:w="2520"/>
            <w:tcBorders>
              <w:top w:val="single" w:sz="6" w:color="B8C4CE"/>
              <w:left w:val="single" w:sz="6" w:color="B8C4CE"/>
              <w:bottom w:val="single" w:sz="6" w:color="B8C4CE"/>
              <w:right w:val="single" w:sz="6" w:color="B8C4CE"/>
              <w:insideH w:val="single" w:sz="6" w:color="B8C4CE"/>
              <w:insideV w:val="single" w:sz="6" w:color="B8C4CE"/>
            </w:tcBorders>
          </w:tcPr>
          <w:p>
            <w:pPr>
              <w:jc w:val="center"/>
            </w:pPr>
            <w:r>
              <w:rPr>
                <w:rFonts w:ascii="Aptos" w:hAnsi="Aptos"/>
                <w:b/>
                <w:color w:val="1F2937"/>
                <w:sz w:val="18"/>
              </w:rPr>
              <w:t>4</w:t>
            </w:r>
          </w:p>
        </w:tc>
        <w:tc>
          <w:tcPr>
            <w:tcW w:type="dxa" w:w="2520"/>
            <w:tcBorders>
              <w:top w:val="single" w:sz="6" w:color="B8C4CE"/>
              <w:left w:val="single" w:sz="6" w:color="B8C4CE"/>
              <w:bottom w:val="single" w:sz="6" w:color="B8C4CE"/>
              <w:right w:val="single" w:sz="6" w:color="B8C4CE"/>
              <w:insideH w:val="single" w:sz="6" w:color="B8C4CE"/>
              <w:insideV w:val="single" w:sz="6" w:color="B8C4CE"/>
            </w:tcBorders>
          </w:tcPr>
          <w:p>
            <w:pPr>
              <w:jc w:val="center"/>
            </w:pPr>
            <w:r>
              <w:rPr>
                <w:rFonts w:ascii="Aptos" w:hAnsi="Aptos"/>
                <w:b w:val="0"/>
                <w:color w:val="1F2937"/>
                <w:sz w:val="18"/>
              </w:rPr>
            </w:r>
          </w:p>
        </w:tc>
        <w:tc>
          <w:tcPr>
            <w:tcW w:type="dxa" w:w="2520"/>
            <w:tcBorders>
              <w:top w:val="single" w:sz="6" w:color="B8C4CE"/>
              <w:left w:val="single" w:sz="6" w:color="B8C4CE"/>
              <w:bottom w:val="single" w:sz="6" w:color="B8C4CE"/>
              <w:right w:val="single" w:sz="6" w:color="B8C4CE"/>
              <w:insideH w:val="single" w:sz="6" w:color="B8C4CE"/>
              <w:insideV w:val="single" w:sz="6" w:color="B8C4CE"/>
            </w:tcBorders>
          </w:tcPr>
          <w:p>
            <w:pPr>
              <w:jc w:val="center"/>
            </w:pPr>
            <w:r>
              <w:rPr>
                <w:rFonts w:ascii="Aptos" w:hAnsi="Aptos"/>
                <w:b w:val="0"/>
                <w:color w:val="1F2937"/>
                <w:sz w:val="18"/>
              </w:rPr>
            </w:r>
          </w:p>
        </w:tc>
        <w:tc>
          <w:tcPr>
            <w:tcW w:type="dxa" w:w="2520"/>
            <w:tcBorders>
              <w:top w:val="single" w:sz="6" w:color="B8C4CE"/>
              <w:left w:val="single" w:sz="6" w:color="B8C4CE"/>
              <w:bottom w:val="single" w:sz="6" w:color="B8C4CE"/>
              <w:right w:val="single" w:sz="6" w:color="B8C4CE"/>
              <w:insideH w:val="single" w:sz="6" w:color="B8C4CE"/>
              <w:insideV w:val="single" w:sz="6" w:color="B8C4CE"/>
            </w:tcBorders>
          </w:tcPr>
          <w:p>
            <w:pPr>
              <w:jc w:val="center"/>
            </w:pPr>
            <w:r>
              <w:rPr>
                <w:rFonts w:ascii="Aptos" w:hAnsi="Aptos"/>
                <w:b w:val="0"/>
                <w:color w:val="1F2937"/>
                <w:sz w:val="18"/>
              </w:rPr>
            </w:r>
          </w:p>
        </w:tc>
      </w:tr>
      <w:tr>
        <w:trPr>
          <w:cantSplit w:val="true"/>
        </w:trPr>
        <w:tc>
          <w:tcPr>
            <w:tcW w:type="dxa" w:w="2520"/>
            <w:tcBorders>
              <w:top w:val="single" w:sz="6" w:color="B8C4CE"/>
              <w:left w:val="single" w:sz="6" w:color="B8C4CE"/>
              <w:bottom w:val="single" w:sz="6" w:color="B8C4CE"/>
              <w:right w:val="single" w:sz="6" w:color="B8C4CE"/>
              <w:insideH w:val="single" w:sz="6" w:color="B8C4CE"/>
              <w:insideV w:val="single" w:sz="6" w:color="B8C4CE"/>
            </w:tcBorders>
          </w:tcPr>
          <w:p>
            <w:pPr>
              <w:jc w:val="center"/>
            </w:pPr>
            <w:r>
              <w:rPr>
                <w:rFonts w:ascii="Aptos" w:hAnsi="Aptos"/>
                <w:b/>
                <w:color w:val="1F2937"/>
                <w:sz w:val="18"/>
              </w:rPr>
              <w:t>5</w:t>
            </w:r>
          </w:p>
        </w:tc>
        <w:tc>
          <w:tcPr>
            <w:tcW w:type="dxa" w:w="2520"/>
            <w:tcBorders>
              <w:top w:val="single" w:sz="6" w:color="B8C4CE"/>
              <w:left w:val="single" w:sz="6" w:color="B8C4CE"/>
              <w:bottom w:val="single" w:sz="6" w:color="B8C4CE"/>
              <w:right w:val="single" w:sz="6" w:color="B8C4CE"/>
              <w:insideH w:val="single" w:sz="6" w:color="B8C4CE"/>
              <w:insideV w:val="single" w:sz="6" w:color="B8C4CE"/>
            </w:tcBorders>
          </w:tcPr>
          <w:p>
            <w:pPr>
              <w:jc w:val="center"/>
            </w:pPr>
            <w:r>
              <w:rPr>
                <w:rFonts w:ascii="Aptos" w:hAnsi="Aptos"/>
                <w:b w:val="0"/>
                <w:color w:val="1F2937"/>
                <w:sz w:val="18"/>
              </w:rPr>
            </w:r>
          </w:p>
        </w:tc>
        <w:tc>
          <w:tcPr>
            <w:tcW w:type="dxa" w:w="2520"/>
            <w:tcBorders>
              <w:top w:val="single" w:sz="6" w:color="B8C4CE"/>
              <w:left w:val="single" w:sz="6" w:color="B8C4CE"/>
              <w:bottom w:val="single" w:sz="6" w:color="B8C4CE"/>
              <w:right w:val="single" w:sz="6" w:color="B8C4CE"/>
              <w:insideH w:val="single" w:sz="6" w:color="B8C4CE"/>
              <w:insideV w:val="single" w:sz="6" w:color="B8C4CE"/>
            </w:tcBorders>
          </w:tcPr>
          <w:p>
            <w:pPr>
              <w:jc w:val="center"/>
            </w:pPr>
            <w:r>
              <w:rPr>
                <w:rFonts w:ascii="Aptos" w:hAnsi="Aptos"/>
                <w:b w:val="0"/>
                <w:color w:val="1F2937"/>
                <w:sz w:val="18"/>
              </w:rPr>
            </w:r>
          </w:p>
        </w:tc>
        <w:tc>
          <w:tcPr>
            <w:tcW w:type="dxa" w:w="2520"/>
            <w:tcBorders>
              <w:top w:val="single" w:sz="6" w:color="B8C4CE"/>
              <w:left w:val="single" w:sz="6" w:color="B8C4CE"/>
              <w:bottom w:val="single" w:sz="6" w:color="B8C4CE"/>
              <w:right w:val="single" w:sz="6" w:color="B8C4CE"/>
              <w:insideH w:val="single" w:sz="6" w:color="B8C4CE"/>
              <w:insideV w:val="single" w:sz="6" w:color="B8C4CE"/>
            </w:tcBorders>
          </w:tcPr>
          <w:p>
            <w:pPr>
              <w:jc w:val="center"/>
            </w:pPr>
            <w:r>
              <w:rPr>
                <w:rFonts w:ascii="Aptos" w:hAnsi="Aptos"/>
                <w:b w:val="0"/>
                <w:color w:val="1F2937"/>
                <w:sz w:val="18"/>
              </w:rPr>
            </w:r>
          </w:p>
        </w:tc>
      </w:tr>
      <w:tr>
        <w:trPr>
          <w:cantSplit w:val="true"/>
        </w:trPr>
        <w:tc>
          <w:tcPr>
            <w:tcW w:type="dxa" w:w="2520"/>
            <w:tcBorders>
              <w:top w:val="single" w:sz="6" w:color="B8C4CE"/>
              <w:left w:val="single" w:sz="6" w:color="B8C4CE"/>
              <w:bottom w:val="single" w:sz="6" w:color="B8C4CE"/>
              <w:right w:val="single" w:sz="6" w:color="B8C4CE"/>
              <w:insideH w:val="single" w:sz="6" w:color="B8C4CE"/>
              <w:insideV w:val="single" w:sz="6" w:color="B8C4CE"/>
            </w:tcBorders>
          </w:tcPr>
          <w:p>
            <w:pPr>
              <w:jc w:val="center"/>
            </w:pPr>
            <w:r>
              <w:rPr>
                <w:rFonts w:ascii="Aptos" w:hAnsi="Aptos"/>
                <w:b/>
                <w:color w:val="1F2937"/>
                <w:sz w:val="18"/>
              </w:rPr>
              <w:t>6</w:t>
            </w:r>
          </w:p>
        </w:tc>
        <w:tc>
          <w:tcPr>
            <w:tcW w:type="dxa" w:w="2520"/>
            <w:tcBorders>
              <w:top w:val="single" w:sz="6" w:color="B8C4CE"/>
              <w:left w:val="single" w:sz="6" w:color="B8C4CE"/>
              <w:bottom w:val="single" w:sz="6" w:color="B8C4CE"/>
              <w:right w:val="single" w:sz="6" w:color="B8C4CE"/>
              <w:insideH w:val="single" w:sz="6" w:color="B8C4CE"/>
              <w:insideV w:val="single" w:sz="6" w:color="B8C4CE"/>
            </w:tcBorders>
          </w:tcPr>
          <w:p>
            <w:pPr>
              <w:jc w:val="center"/>
            </w:pPr>
            <w:r>
              <w:rPr>
                <w:rFonts w:ascii="Aptos" w:hAnsi="Aptos"/>
                <w:b w:val="0"/>
                <w:color w:val="1F2937"/>
                <w:sz w:val="18"/>
              </w:rPr>
            </w:r>
          </w:p>
        </w:tc>
        <w:tc>
          <w:tcPr>
            <w:tcW w:type="dxa" w:w="2520"/>
            <w:tcBorders>
              <w:top w:val="single" w:sz="6" w:color="B8C4CE"/>
              <w:left w:val="single" w:sz="6" w:color="B8C4CE"/>
              <w:bottom w:val="single" w:sz="6" w:color="B8C4CE"/>
              <w:right w:val="single" w:sz="6" w:color="B8C4CE"/>
              <w:insideH w:val="single" w:sz="6" w:color="B8C4CE"/>
              <w:insideV w:val="single" w:sz="6" w:color="B8C4CE"/>
            </w:tcBorders>
          </w:tcPr>
          <w:p>
            <w:pPr>
              <w:jc w:val="center"/>
            </w:pPr>
            <w:r>
              <w:rPr>
                <w:rFonts w:ascii="Aptos" w:hAnsi="Aptos"/>
                <w:b w:val="0"/>
                <w:color w:val="1F2937"/>
                <w:sz w:val="18"/>
              </w:rPr>
            </w:r>
          </w:p>
        </w:tc>
        <w:tc>
          <w:tcPr>
            <w:tcW w:type="dxa" w:w="2520"/>
            <w:tcBorders>
              <w:top w:val="single" w:sz="6" w:color="B8C4CE"/>
              <w:left w:val="single" w:sz="6" w:color="B8C4CE"/>
              <w:bottom w:val="single" w:sz="6" w:color="B8C4CE"/>
              <w:right w:val="single" w:sz="6" w:color="B8C4CE"/>
              <w:insideH w:val="single" w:sz="6" w:color="B8C4CE"/>
              <w:insideV w:val="single" w:sz="6" w:color="B8C4CE"/>
            </w:tcBorders>
          </w:tcPr>
          <w:p>
            <w:pPr>
              <w:jc w:val="center"/>
            </w:pPr>
            <w:r>
              <w:rPr>
                <w:rFonts w:ascii="Aptos" w:hAnsi="Aptos"/>
                <w:b w:val="0"/>
                <w:color w:val="1F2937"/>
                <w:sz w:val="18"/>
              </w:rPr>
            </w:r>
          </w:p>
        </w:tc>
      </w:tr>
      <w:tr>
        <w:trPr>
          <w:cantSplit w:val="true"/>
        </w:trPr>
        <w:tc>
          <w:tcPr>
            <w:tcW w:type="dxa" w:w="2520"/>
            <w:tcBorders>
              <w:top w:val="single" w:sz="6" w:color="B8C4CE"/>
              <w:left w:val="single" w:sz="6" w:color="B8C4CE"/>
              <w:bottom w:val="single" w:sz="6" w:color="B8C4CE"/>
              <w:right w:val="single" w:sz="6" w:color="B8C4CE"/>
              <w:insideH w:val="single" w:sz="6" w:color="B8C4CE"/>
              <w:insideV w:val="single" w:sz="6" w:color="B8C4CE"/>
            </w:tcBorders>
          </w:tcPr>
          <w:p>
            <w:pPr>
              <w:jc w:val="center"/>
            </w:pPr>
            <w:r>
              <w:rPr>
                <w:rFonts w:ascii="Aptos" w:hAnsi="Aptos"/>
                <w:b/>
                <w:color w:val="1F2937"/>
                <w:sz w:val="18"/>
              </w:rPr>
              <w:t>7</w:t>
            </w:r>
          </w:p>
        </w:tc>
        <w:tc>
          <w:tcPr>
            <w:tcW w:type="dxa" w:w="2520"/>
            <w:tcBorders>
              <w:top w:val="single" w:sz="6" w:color="B8C4CE"/>
              <w:left w:val="single" w:sz="6" w:color="B8C4CE"/>
              <w:bottom w:val="single" w:sz="6" w:color="B8C4CE"/>
              <w:right w:val="single" w:sz="6" w:color="B8C4CE"/>
              <w:insideH w:val="single" w:sz="6" w:color="B8C4CE"/>
              <w:insideV w:val="single" w:sz="6" w:color="B8C4CE"/>
            </w:tcBorders>
          </w:tcPr>
          <w:p>
            <w:pPr>
              <w:jc w:val="center"/>
            </w:pPr>
            <w:r>
              <w:rPr>
                <w:rFonts w:ascii="Aptos" w:hAnsi="Aptos"/>
                <w:b w:val="0"/>
                <w:color w:val="1F2937"/>
                <w:sz w:val="18"/>
              </w:rPr>
            </w:r>
          </w:p>
        </w:tc>
        <w:tc>
          <w:tcPr>
            <w:tcW w:type="dxa" w:w="2520"/>
            <w:tcBorders>
              <w:top w:val="single" w:sz="6" w:color="B8C4CE"/>
              <w:left w:val="single" w:sz="6" w:color="B8C4CE"/>
              <w:bottom w:val="single" w:sz="6" w:color="B8C4CE"/>
              <w:right w:val="single" w:sz="6" w:color="B8C4CE"/>
              <w:insideH w:val="single" w:sz="6" w:color="B8C4CE"/>
              <w:insideV w:val="single" w:sz="6" w:color="B8C4CE"/>
            </w:tcBorders>
          </w:tcPr>
          <w:p>
            <w:pPr>
              <w:jc w:val="center"/>
            </w:pPr>
            <w:r>
              <w:rPr>
                <w:rFonts w:ascii="Aptos" w:hAnsi="Aptos"/>
                <w:b w:val="0"/>
                <w:color w:val="1F2937"/>
                <w:sz w:val="18"/>
              </w:rPr>
            </w:r>
          </w:p>
        </w:tc>
        <w:tc>
          <w:tcPr>
            <w:tcW w:type="dxa" w:w="2520"/>
            <w:tcBorders>
              <w:top w:val="single" w:sz="6" w:color="B8C4CE"/>
              <w:left w:val="single" w:sz="6" w:color="B8C4CE"/>
              <w:bottom w:val="single" w:sz="6" w:color="B8C4CE"/>
              <w:right w:val="single" w:sz="6" w:color="B8C4CE"/>
              <w:insideH w:val="single" w:sz="6" w:color="B8C4CE"/>
              <w:insideV w:val="single" w:sz="6" w:color="B8C4CE"/>
            </w:tcBorders>
          </w:tcPr>
          <w:p>
            <w:pPr>
              <w:jc w:val="center"/>
            </w:pPr>
            <w:r>
              <w:rPr>
                <w:rFonts w:ascii="Aptos" w:hAnsi="Aptos"/>
                <w:b w:val="0"/>
                <w:color w:val="1F2937"/>
                <w:sz w:val="18"/>
              </w:rPr>
            </w:r>
          </w:p>
        </w:tc>
      </w:tr>
      <w:tr>
        <w:trPr>
          <w:cantSplit w:val="true"/>
        </w:trPr>
        <w:tc>
          <w:tcPr>
            <w:tcW w:type="dxa" w:w="2520"/>
            <w:tcBorders>
              <w:top w:val="single" w:sz="6" w:color="B8C4CE"/>
              <w:left w:val="single" w:sz="6" w:color="B8C4CE"/>
              <w:bottom w:val="single" w:sz="6" w:color="B8C4CE"/>
              <w:right w:val="single" w:sz="6" w:color="B8C4CE"/>
              <w:insideH w:val="single" w:sz="6" w:color="B8C4CE"/>
              <w:insideV w:val="single" w:sz="6" w:color="B8C4CE"/>
            </w:tcBorders>
          </w:tcPr>
          <w:p>
            <w:pPr>
              <w:jc w:val="center"/>
            </w:pPr>
            <w:r>
              <w:rPr>
                <w:rFonts w:ascii="Aptos" w:hAnsi="Aptos"/>
                <w:b/>
                <w:color w:val="1F2937"/>
                <w:sz w:val="18"/>
              </w:rPr>
              <w:t>8</w:t>
            </w:r>
          </w:p>
        </w:tc>
        <w:tc>
          <w:tcPr>
            <w:tcW w:type="dxa" w:w="2520"/>
            <w:tcBorders>
              <w:top w:val="single" w:sz="6" w:color="B8C4CE"/>
              <w:left w:val="single" w:sz="6" w:color="B8C4CE"/>
              <w:bottom w:val="single" w:sz="6" w:color="B8C4CE"/>
              <w:right w:val="single" w:sz="6" w:color="B8C4CE"/>
              <w:insideH w:val="single" w:sz="6" w:color="B8C4CE"/>
              <w:insideV w:val="single" w:sz="6" w:color="B8C4CE"/>
            </w:tcBorders>
          </w:tcPr>
          <w:p>
            <w:pPr>
              <w:jc w:val="center"/>
            </w:pPr>
            <w:r>
              <w:rPr>
                <w:rFonts w:ascii="Aptos" w:hAnsi="Aptos"/>
                <w:b w:val="0"/>
                <w:color w:val="1F2937"/>
                <w:sz w:val="18"/>
              </w:rPr>
            </w:r>
          </w:p>
        </w:tc>
        <w:tc>
          <w:tcPr>
            <w:tcW w:type="dxa" w:w="2520"/>
            <w:tcBorders>
              <w:top w:val="single" w:sz="6" w:color="B8C4CE"/>
              <w:left w:val="single" w:sz="6" w:color="B8C4CE"/>
              <w:bottom w:val="single" w:sz="6" w:color="B8C4CE"/>
              <w:right w:val="single" w:sz="6" w:color="B8C4CE"/>
              <w:insideH w:val="single" w:sz="6" w:color="B8C4CE"/>
              <w:insideV w:val="single" w:sz="6" w:color="B8C4CE"/>
            </w:tcBorders>
          </w:tcPr>
          <w:p>
            <w:pPr>
              <w:jc w:val="center"/>
            </w:pPr>
            <w:r>
              <w:rPr>
                <w:rFonts w:ascii="Aptos" w:hAnsi="Aptos"/>
                <w:b w:val="0"/>
                <w:color w:val="1F2937"/>
                <w:sz w:val="18"/>
              </w:rPr>
            </w:r>
          </w:p>
        </w:tc>
        <w:tc>
          <w:tcPr>
            <w:tcW w:type="dxa" w:w="2520"/>
            <w:tcBorders>
              <w:top w:val="single" w:sz="6" w:color="B8C4CE"/>
              <w:left w:val="single" w:sz="6" w:color="B8C4CE"/>
              <w:bottom w:val="single" w:sz="6" w:color="B8C4CE"/>
              <w:right w:val="single" w:sz="6" w:color="B8C4CE"/>
              <w:insideH w:val="single" w:sz="6" w:color="B8C4CE"/>
              <w:insideV w:val="single" w:sz="6" w:color="B8C4CE"/>
            </w:tcBorders>
          </w:tcPr>
          <w:p>
            <w:pPr>
              <w:jc w:val="center"/>
            </w:pPr>
            <w:r>
              <w:rPr>
                <w:rFonts w:ascii="Aptos" w:hAnsi="Aptos"/>
                <w:b w:val="0"/>
                <w:color w:val="1F2937"/>
                <w:sz w:val="18"/>
              </w:rPr>
            </w:r>
          </w:p>
        </w:tc>
      </w:tr>
      <w:tr>
        <w:trPr>
          <w:cantSplit w:val="true"/>
        </w:trPr>
        <w:tc>
          <w:tcPr>
            <w:tcW w:type="dxa" w:w="2520"/>
            <w:tcBorders>
              <w:top w:val="single" w:sz="6" w:color="B8C4CE"/>
              <w:left w:val="single" w:sz="6" w:color="B8C4CE"/>
              <w:bottom w:val="single" w:sz="6" w:color="B8C4CE"/>
              <w:right w:val="single" w:sz="6" w:color="B8C4CE"/>
              <w:insideH w:val="single" w:sz="6" w:color="B8C4CE"/>
              <w:insideV w:val="single" w:sz="6" w:color="B8C4CE"/>
            </w:tcBorders>
          </w:tcPr>
          <w:p>
            <w:pPr>
              <w:jc w:val="center"/>
            </w:pPr>
            <w:r>
              <w:rPr>
                <w:rFonts w:ascii="Aptos" w:hAnsi="Aptos"/>
                <w:b/>
                <w:color w:val="1F2937"/>
                <w:sz w:val="18"/>
              </w:rPr>
              <w:t>9</w:t>
            </w:r>
          </w:p>
        </w:tc>
        <w:tc>
          <w:tcPr>
            <w:tcW w:type="dxa" w:w="2520"/>
            <w:tcBorders>
              <w:top w:val="single" w:sz="6" w:color="B8C4CE"/>
              <w:left w:val="single" w:sz="6" w:color="B8C4CE"/>
              <w:bottom w:val="single" w:sz="6" w:color="B8C4CE"/>
              <w:right w:val="single" w:sz="6" w:color="B8C4CE"/>
              <w:insideH w:val="single" w:sz="6" w:color="B8C4CE"/>
              <w:insideV w:val="single" w:sz="6" w:color="B8C4CE"/>
            </w:tcBorders>
          </w:tcPr>
          <w:p>
            <w:pPr>
              <w:jc w:val="center"/>
            </w:pPr>
            <w:r>
              <w:rPr>
                <w:rFonts w:ascii="Aptos" w:hAnsi="Aptos"/>
                <w:b w:val="0"/>
                <w:color w:val="1F2937"/>
                <w:sz w:val="18"/>
              </w:rPr>
            </w:r>
          </w:p>
        </w:tc>
        <w:tc>
          <w:tcPr>
            <w:tcW w:type="dxa" w:w="2520"/>
            <w:tcBorders>
              <w:top w:val="single" w:sz="6" w:color="B8C4CE"/>
              <w:left w:val="single" w:sz="6" w:color="B8C4CE"/>
              <w:bottom w:val="single" w:sz="6" w:color="B8C4CE"/>
              <w:right w:val="single" w:sz="6" w:color="B8C4CE"/>
              <w:insideH w:val="single" w:sz="6" w:color="B8C4CE"/>
              <w:insideV w:val="single" w:sz="6" w:color="B8C4CE"/>
            </w:tcBorders>
          </w:tcPr>
          <w:p>
            <w:pPr>
              <w:jc w:val="center"/>
            </w:pPr>
            <w:r>
              <w:rPr>
                <w:rFonts w:ascii="Aptos" w:hAnsi="Aptos"/>
                <w:b w:val="0"/>
                <w:color w:val="1F2937"/>
                <w:sz w:val="18"/>
              </w:rPr>
            </w:r>
          </w:p>
        </w:tc>
        <w:tc>
          <w:tcPr>
            <w:tcW w:type="dxa" w:w="2520"/>
            <w:tcBorders>
              <w:top w:val="single" w:sz="6" w:color="B8C4CE"/>
              <w:left w:val="single" w:sz="6" w:color="B8C4CE"/>
              <w:bottom w:val="single" w:sz="6" w:color="B8C4CE"/>
              <w:right w:val="single" w:sz="6" w:color="B8C4CE"/>
              <w:insideH w:val="single" w:sz="6" w:color="B8C4CE"/>
              <w:insideV w:val="single" w:sz="6" w:color="B8C4CE"/>
            </w:tcBorders>
          </w:tcPr>
          <w:p>
            <w:pPr>
              <w:jc w:val="center"/>
            </w:pPr>
            <w:r>
              <w:rPr>
                <w:rFonts w:ascii="Aptos" w:hAnsi="Aptos"/>
                <w:b w:val="0"/>
                <w:color w:val="1F2937"/>
                <w:sz w:val="18"/>
              </w:rPr>
            </w:r>
          </w:p>
        </w:tc>
      </w:tr>
      <w:tr>
        <w:trPr>
          <w:cantSplit w:val="true"/>
        </w:trPr>
        <w:tc>
          <w:tcPr>
            <w:tcW w:type="dxa" w:w="2520"/>
            <w:tcBorders>
              <w:top w:val="single" w:sz="6" w:color="B8C4CE"/>
              <w:left w:val="single" w:sz="6" w:color="B8C4CE"/>
              <w:bottom w:val="single" w:sz="6" w:color="B8C4CE"/>
              <w:right w:val="single" w:sz="6" w:color="B8C4CE"/>
              <w:insideH w:val="single" w:sz="6" w:color="B8C4CE"/>
              <w:insideV w:val="single" w:sz="6" w:color="B8C4CE"/>
            </w:tcBorders>
          </w:tcPr>
          <w:p>
            <w:pPr>
              <w:jc w:val="center"/>
            </w:pPr>
            <w:r>
              <w:rPr>
                <w:rFonts w:ascii="Aptos" w:hAnsi="Aptos"/>
                <w:b/>
                <w:color w:val="1F2937"/>
                <w:sz w:val="18"/>
              </w:rPr>
              <w:t>10</w:t>
            </w:r>
          </w:p>
        </w:tc>
        <w:tc>
          <w:tcPr>
            <w:tcW w:type="dxa" w:w="2520"/>
            <w:tcBorders>
              <w:top w:val="single" w:sz="6" w:color="B8C4CE"/>
              <w:left w:val="single" w:sz="6" w:color="B8C4CE"/>
              <w:bottom w:val="single" w:sz="6" w:color="B8C4CE"/>
              <w:right w:val="single" w:sz="6" w:color="B8C4CE"/>
              <w:insideH w:val="single" w:sz="6" w:color="B8C4CE"/>
              <w:insideV w:val="single" w:sz="6" w:color="B8C4CE"/>
            </w:tcBorders>
          </w:tcPr>
          <w:p>
            <w:pPr>
              <w:jc w:val="center"/>
            </w:pPr>
            <w:r>
              <w:rPr>
                <w:rFonts w:ascii="Aptos" w:hAnsi="Aptos"/>
                <w:b w:val="0"/>
                <w:color w:val="1F2937"/>
                <w:sz w:val="18"/>
              </w:rPr>
            </w:r>
          </w:p>
        </w:tc>
        <w:tc>
          <w:tcPr>
            <w:tcW w:type="dxa" w:w="2520"/>
            <w:tcBorders>
              <w:top w:val="single" w:sz="6" w:color="B8C4CE"/>
              <w:left w:val="single" w:sz="6" w:color="B8C4CE"/>
              <w:bottom w:val="single" w:sz="6" w:color="B8C4CE"/>
              <w:right w:val="single" w:sz="6" w:color="B8C4CE"/>
              <w:insideH w:val="single" w:sz="6" w:color="B8C4CE"/>
              <w:insideV w:val="single" w:sz="6" w:color="B8C4CE"/>
            </w:tcBorders>
          </w:tcPr>
          <w:p>
            <w:pPr>
              <w:jc w:val="center"/>
            </w:pPr>
            <w:r>
              <w:rPr>
                <w:rFonts w:ascii="Aptos" w:hAnsi="Aptos"/>
                <w:b w:val="0"/>
                <w:color w:val="1F2937"/>
                <w:sz w:val="18"/>
              </w:rPr>
            </w:r>
          </w:p>
        </w:tc>
        <w:tc>
          <w:tcPr>
            <w:tcW w:type="dxa" w:w="2520"/>
            <w:tcBorders>
              <w:top w:val="single" w:sz="6" w:color="B8C4CE"/>
              <w:left w:val="single" w:sz="6" w:color="B8C4CE"/>
              <w:bottom w:val="single" w:sz="6" w:color="B8C4CE"/>
              <w:right w:val="single" w:sz="6" w:color="B8C4CE"/>
              <w:insideH w:val="single" w:sz="6" w:color="B8C4CE"/>
              <w:insideV w:val="single" w:sz="6" w:color="B8C4CE"/>
            </w:tcBorders>
          </w:tcPr>
          <w:p>
            <w:pPr>
              <w:jc w:val="center"/>
            </w:pPr>
            <w:r>
              <w:rPr>
                <w:rFonts w:ascii="Aptos" w:hAnsi="Aptos"/>
                <w:b w:val="0"/>
                <w:color w:val="1F2937"/>
                <w:sz w:val="18"/>
              </w:rPr>
            </w:r>
          </w:p>
        </w:tc>
      </w:tr>
    </w:tbl>
    <w:p/>
    <w:p>
      <w:pPr>
        <w:keepNext/>
        <w:spacing w:before="160" w:after="80"/>
        <w:shd w:fill="0E7490" w:val="clear"/>
      </w:pPr>
      <w:r>
        <w:rPr>
          <w:rFonts w:ascii="Aptos" w:hAnsi="Aptos"/>
          <w:b/>
          <w:color w:val="FFFFFF"/>
          <w:sz w:val="17"/>
        </w:rPr>
        <w:t>LCSW-WB01-Q001 | Recall | Easy | Primary concept: FIRST and action sequencing</w:t>
      </w:r>
    </w:p>
    <w:p>
      <w:pPr>
        <w:keepNext/>
        <w:keepLines/>
      </w:pPr>
      <w:r>
        <w:rPr>
          <w:rFonts w:ascii="Aptos" w:hAnsi="Aptos"/>
          <w:b/>
          <w:color w:val="17365D"/>
          <w:sz w:val="21"/>
        </w:rPr>
        <w:t>1. In an ASWB-style item, the word FIRST directs the candidate to select:</w:t>
      </w:r>
    </w:p>
    <w:p>
      <w:pPr>
        <w:keepNext/>
        <w:keepLines/>
        <w:spacing w:after="40"/>
        <w:ind w:left="288"/>
      </w:pPr>
      <w:r>
        <w:t>A. The earliest action needed to address the specific task in the stem</w:t>
      </w:r>
    </w:p>
    <w:p>
      <w:pPr>
        <w:keepNext/>
        <w:keepLines/>
        <w:spacing w:after="40"/>
        <w:ind w:left="288"/>
      </w:pPr>
      <w:r>
        <w:t>B. The intervention with the greatest long-term impact</w:t>
      </w:r>
    </w:p>
    <w:p>
      <w:pPr>
        <w:keepNext/>
        <w:keepLines/>
        <w:spacing w:after="40"/>
        <w:ind w:left="288"/>
      </w:pPr>
      <w:r>
        <w:t>C. The option that includes the most services</w:t>
      </w:r>
    </w:p>
    <w:p>
      <w:pPr>
        <w:keepNext/>
        <w:keepLines/>
        <w:spacing w:after="40"/>
        <w:ind w:left="288"/>
      </w:pPr>
      <w:r>
        <w:t>D. The response that removes all professional risk</w:t>
      </w:r>
    </w:p>
    <w:p>
      <w:pPr>
        <w:keepLines/>
        <w:spacing w:after="160"/>
      </w:pPr>
      <w:r>
        <w:rPr>
          <w:rFonts w:ascii="Aptos" w:hAnsi="Aptos"/>
          <w:i/>
          <w:color w:val="6B7280"/>
          <w:sz w:val="18"/>
        </w:rPr>
        <w:t>My answer: ______    Confidence: 1  2  3</w:t>
      </w:r>
    </w:p>
    <w:p>
      <w:pPr>
        <w:keepNext/>
        <w:spacing w:before="160" w:after="80"/>
        <w:shd w:fill="0E7490" w:val="clear"/>
      </w:pPr>
      <w:r>
        <w:rPr>
          <w:rFonts w:ascii="Aptos" w:hAnsi="Aptos"/>
          <w:b/>
          <w:color w:val="FFFFFF"/>
          <w:sz w:val="17"/>
        </w:rPr>
        <w:t>LCSW-WB01-Q002 | Recall | Easy | Primary concept: ASWB Clinical examination structure</w:t>
      </w:r>
    </w:p>
    <w:p>
      <w:pPr>
        <w:keepNext/>
        <w:keepLines/>
      </w:pPr>
      <w:r>
        <w:rPr>
          <w:rFonts w:ascii="Aptos" w:hAnsi="Aptos"/>
          <w:b/>
          <w:color w:val="17365D"/>
          <w:sz w:val="21"/>
        </w:rPr>
        <w:t>2. For ASWB Clinical examinations administered on or after August 3, 2026, which structure is correct?</w:t>
      </w:r>
    </w:p>
    <w:p>
      <w:pPr>
        <w:keepNext/>
        <w:keepLines/>
        <w:spacing w:after="40"/>
        <w:ind w:left="288"/>
      </w:pPr>
      <w:r>
        <w:t>A. 170 total questions with 20 unscored</w:t>
      </w:r>
    </w:p>
    <w:p>
      <w:pPr>
        <w:keepNext/>
        <w:keepLines/>
        <w:spacing w:after="40"/>
        <w:ind w:left="288"/>
      </w:pPr>
      <w:r>
        <w:t>B. 110 total questions with no unscored questions</w:t>
      </w:r>
    </w:p>
    <w:p>
      <w:pPr>
        <w:keepNext/>
        <w:keepLines/>
        <w:spacing w:after="40"/>
        <w:ind w:left="288"/>
      </w:pPr>
      <w:r>
        <w:t>C. 150 total questions with 25 unscored</w:t>
      </w:r>
    </w:p>
    <w:p>
      <w:pPr>
        <w:keepNext/>
        <w:keepLines/>
        <w:spacing w:after="40"/>
        <w:ind w:left="288"/>
      </w:pPr>
      <w:r>
        <w:t>D. 122 total questions with 12 unscored</w:t>
      </w:r>
    </w:p>
    <w:p>
      <w:pPr>
        <w:keepLines/>
        <w:spacing w:after="160"/>
      </w:pPr>
      <w:r>
        <w:rPr>
          <w:rFonts w:ascii="Aptos" w:hAnsi="Aptos"/>
          <w:i/>
          <w:color w:val="6B7280"/>
          <w:sz w:val="18"/>
        </w:rPr>
        <w:t>My answer: ______    Confidence: 1  2  3</w:t>
      </w:r>
    </w:p>
    <w:p>
      <w:pPr>
        <w:keepNext/>
        <w:spacing w:before="160" w:after="80"/>
        <w:shd w:fill="0E7490" w:val="clear"/>
      </w:pPr>
      <w:r>
        <w:rPr>
          <w:rFonts w:ascii="Aptos" w:hAnsi="Aptos"/>
          <w:b/>
          <w:color w:val="FFFFFF"/>
          <w:sz w:val="17"/>
        </w:rPr>
        <w:t>LCSW-WB01-Q003 | Recall | Easy | Primary concept: Reasoning-level questions</w:t>
      </w:r>
    </w:p>
    <w:p>
      <w:pPr>
        <w:keepNext/>
        <w:keepLines/>
      </w:pPr>
      <w:r>
        <w:rPr>
          <w:rFonts w:ascii="Aptos" w:hAnsi="Aptos"/>
          <w:b/>
          <w:color w:val="17365D"/>
          <w:sz w:val="21"/>
        </w:rPr>
        <w:t>3. A question that requires the candidate to integrate several facts, prioritize concerns, and choose among plausible actions is primarily testing:</w:t>
      </w:r>
    </w:p>
    <w:p>
      <w:pPr>
        <w:keepNext/>
        <w:keepLines/>
        <w:spacing w:after="40"/>
        <w:ind w:left="288"/>
      </w:pPr>
      <w:r>
        <w:t>A. Recall</w:t>
      </w:r>
    </w:p>
    <w:p>
      <w:pPr>
        <w:keepNext/>
        <w:keepLines/>
        <w:spacing w:after="40"/>
        <w:ind w:left="288"/>
      </w:pPr>
      <w:r>
        <w:t>B. Simple recognition</w:t>
      </w:r>
    </w:p>
    <w:p>
      <w:pPr>
        <w:keepNext/>
        <w:keepLines/>
        <w:spacing w:after="40"/>
        <w:ind w:left="288"/>
      </w:pPr>
      <w:r>
        <w:t>C. Reasoning</w:t>
      </w:r>
    </w:p>
    <w:p>
      <w:pPr>
        <w:keepLines/>
        <w:spacing w:after="160"/>
      </w:pPr>
      <w:r>
        <w:rPr>
          <w:rFonts w:ascii="Aptos" w:hAnsi="Aptos"/>
          <w:i/>
          <w:color w:val="6B7280"/>
          <w:sz w:val="18"/>
        </w:rPr>
        <w:t>My answer: ______    Confidence: 1  2  3</w:t>
      </w:r>
    </w:p>
    <w:p>
      <w:pPr>
        <w:keepNext/>
        <w:spacing w:before="160" w:after="80"/>
        <w:shd w:fill="0E7490" w:val="clear"/>
      </w:pPr>
      <w:r>
        <w:rPr>
          <w:rFonts w:ascii="Aptos" w:hAnsi="Aptos"/>
          <w:b/>
          <w:color w:val="FFFFFF"/>
          <w:sz w:val="17"/>
        </w:rPr>
        <w:t>LCSW-WB01-Q004 | Application | Moderate | Primary concept: Person-in-environment housing assessment</w:t>
      </w:r>
    </w:p>
    <w:p>
      <w:pPr>
        <w:keepNext/>
        <w:keepLines/>
      </w:pPr>
      <w:r>
        <w:rPr>
          <w:rFonts w:ascii="Aptos" w:hAnsi="Aptos"/>
          <w:b/>
          <w:color w:val="17365D"/>
          <w:sz w:val="21"/>
        </w:rPr>
        <w:t>4. A client reports missing rent after losing work and asks the social worker for help. What should the social worker do first?</w:t>
      </w:r>
    </w:p>
    <w:p>
      <w:pPr>
        <w:keepNext/>
        <w:keepLines/>
        <w:spacing w:after="40"/>
        <w:ind w:left="288"/>
      </w:pPr>
      <w:r>
        <w:t>A. Give the client a list of shelters</w:t>
      </w:r>
    </w:p>
    <w:p>
      <w:pPr>
        <w:keepNext/>
        <w:keepLines/>
        <w:spacing w:after="40"/>
        <w:ind w:left="288"/>
      </w:pPr>
      <w:r>
        <w:t>B. Assess the client’s immediate housing risk, income, benefits, supports, eligibility, and priorities</w:t>
      </w:r>
    </w:p>
    <w:p>
      <w:pPr>
        <w:keepNext/>
        <w:keepLines/>
        <w:spacing w:after="40"/>
        <w:ind w:left="288"/>
      </w:pPr>
      <w:r>
        <w:t>C. Advise the client to borrow money from family</w:t>
      </w:r>
    </w:p>
    <w:p>
      <w:pPr>
        <w:keepNext/>
        <w:keepLines/>
        <w:spacing w:after="40"/>
        <w:ind w:left="288"/>
      </w:pPr>
      <w:r>
        <w:t>D. Begin psychotherapy focused on financial anxiety</w:t>
      </w:r>
    </w:p>
    <w:p>
      <w:pPr>
        <w:keepLines/>
        <w:spacing w:after="160"/>
      </w:pPr>
      <w:r>
        <w:rPr>
          <w:rFonts w:ascii="Aptos" w:hAnsi="Aptos"/>
          <w:i/>
          <w:color w:val="6B7280"/>
          <w:sz w:val="18"/>
        </w:rPr>
        <w:t>My answer: ______    Confidence: 1  2  3</w:t>
      </w:r>
    </w:p>
    <w:p>
      <w:pPr>
        <w:keepNext/>
        <w:spacing w:before="160" w:after="80"/>
        <w:shd w:fill="0E7490" w:val="clear"/>
      </w:pPr>
      <w:r>
        <w:rPr>
          <w:rFonts w:ascii="Aptos" w:hAnsi="Aptos"/>
          <w:b/>
          <w:color w:val="FFFFFF"/>
          <w:sz w:val="17"/>
        </w:rPr>
        <w:t>LCSW-WB01-Q005 | Application | Moderate | Primary concept: Safety and client self-determination</w:t>
      </w:r>
    </w:p>
    <w:p>
      <w:pPr>
        <w:keepNext/>
        <w:keepLines/>
      </w:pPr>
      <w:r>
        <w:rPr>
          <w:rFonts w:ascii="Aptos" w:hAnsi="Aptos"/>
          <w:b/>
          <w:color w:val="17365D"/>
          <w:sz w:val="21"/>
        </w:rPr>
        <w:t>5. An adult client in a temporary safe location says they plan to return to a controlling partner. No current injuries are reported. What should the social worker do first?</w:t>
      </w:r>
    </w:p>
    <w:p>
      <w:pPr>
        <w:keepNext/>
        <w:keepLines/>
        <w:spacing w:after="40"/>
        <w:ind w:left="288"/>
      </w:pPr>
      <w:r>
        <w:t>A. Assess immediate danger and collaborate on a safety plan while respecting the client’s right to decide</w:t>
      </w:r>
    </w:p>
    <w:p>
      <w:pPr>
        <w:keepNext/>
        <w:keepLines/>
        <w:spacing w:after="40"/>
        <w:ind w:left="288"/>
      </w:pPr>
      <w:r>
        <w:t>B. Contact law enforcement without discussing the decision with the client</w:t>
      </w:r>
    </w:p>
    <w:p>
      <w:pPr>
        <w:keepNext/>
        <w:keepLines/>
        <w:spacing w:after="40"/>
        <w:ind w:left="288"/>
      </w:pPr>
      <w:r>
        <w:t>C. Tell the client that returning is prohibited</w:t>
      </w:r>
    </w:p>
    <w:p>
      <w:pPr>
        <w:keepLines/>
        <w:spacing w:after="160"/>
      </w:pPr>
      <w:r>
        <w:rPr>
          <w:rFonts w:ascii="Aptos" w:hAnsi="Aptos"/>
          <w:i/>
          <w:color w:val="6B7280"/>
          <w:sz w:val="18"/>
        </w:rPr>
        <w:t>My answer: ______    Confidence: 1  2  3</w:t>
      </w:r>
    </w:p>
    <w:p>
      <w:pPr>
        <w:keepNext/>
        <w:spacing w:before="160" w:after="80"/>
        <w:shd w:fill="0E7490" w:val="clear"/>
      </w:pPr>
      <w:r>
        <w:rPr>
          <w:rFonts w:ascii="Aptos" w:hAnsi="Aptos"/>
          <w:b/>
          <w:color w:val="FFFFFF"/>
          <w:sz w:val="17"/>
        </w:rPr>
        <w:t>LCSW-WB01-Q006 | Application | Moderate | Primary concept: Medical urgency and interdisciplinary response</w:t>
      </w:r>
    </w:p>
    <w:p>
      <w:pPr>
        <w:keepNext/>
        <w:keepLines/>
      </w:pPr>
      <w:r>
        <w:rPr>
          <w:rFonts w:ascii="Aptos" w:hAnsi="Aptos"/>
          <w:b/>
          <w:color w:val="17365D"/>
          <w:sz w:val="21"/>
        </w:rPr>
        <w:t>6. A hospitalized client taking several medications develops new slurred speech, unsteady gait, and marked drowsiness. What should the social worker do first?</w:t>
      </w:r>
    </w:p>
    <w:p>
      <w:pPr>
        <w:keepNext/>
        <w:keepLines/>
        <w:spacing w:after="40"/>
        <w:ind w:left="288"/>
      </w:pPr>
      <w:r>
        <w:t>A. Review the discharge plan</w:t>
      </w:r>
    </w:p>
    <w:p>
      <w:pPr>
        <w:keepNext/>
        <w:keepLines/>
        <w:spacing w:after="40"/>
        <w:ind w:left="288"/>
      </w:pPr>
      <w:r>
        <w:t>B. Explore whether the client is dissatisfied with treatment</w:t>
      </w:r>
    </w:p>
    <w:p>
      <w:pPr>
        <w:keepNext/>
        <w:keepLines/>
        <w:spacing w:after="40"/>
        <w:ind w:left="288"/>
      </w:pPr>
      <w:r>
        <w:t>C. Notify the appropriate medical or prescribing professional for prompt evaluation</w:t>
      </w:r>
    </w:p>
    <w:p>
      <w:pPr>
        <w:keepNext/>
        <w:keepLines/>
        <w:spacing w:after="40"/>
        <w:ind w:left="288"/>
      </w:pPr>
      <w:r>
        <w:t>D. Begin a behavior plan to increase alertness</w:t>
      </w:r>
    </w:p>
    <w:p>
      <w:pPr>
        <w:keepLines/>
        <w:spacing w:after="160"/>
      </w:pPr>
      <w:r>
        <w:rPr>
          <w:rFonts w:ascii="Aptos" w:hAnsi="Aptos"/>
          <w:i/>
          <w:color w:val="6B7280"/>
          <w:sz w:val="18"/>
        </w:rPr>
        <w:t>My answer: ______    Confidence: 1  2  3</w:t>
      </w:r>
    </w:p>
    <w:p>
      <w:pPr>
        <w:keepNext/>
        <w:spacing w:before="160" w:after="80"/>
        <w:shd w:fill="0E7490" w:val="clear"/>
      </w:pPr>
      <w:r>
        <w:rPr>
          <w:rFonts w:ascii="Aptos" w:hAnsi="Aptos"/>
          <w:b/>
          <w:color w:val="FFFFFF"/>
          <w:sz w:val="17"/>
        </w:rPr>
        <w:t>LCSW-WB01-Q007 | Scenario | Moderate | Primary concept: Engagement after service-system disruption</w:t>
      </w:r>
    </w:p>
    <w:p>
      <w:pPr>
        <w:keepNext/>
        <w:keepLines/>
      </w:pPr>
      <w:r>
        <w:rPr>
          <w:rFonts w:ascii="Aptos" w:hAnsi="Aptos"/>
          <w:b/>
          <w:color w:val="17365D"/>
          <w:sz w:val="21"/>
        </w:rPr>
        <w:t>7. A 17-year-old in foster care has had several placement changes and says, “Every worker promises things and then disappears.” The youth refuses to discuss service goals. What should the social worker do first?</w:t>
      </w:r>
    </w:p>
    <w:p>
      <w:pPr>
        <w:keepNext/>
        <w:keepLines/>
        <w:spacing w:after="40"/>
        <w:ind w:left="288"/>
      </w:pPr>
      <w:r>
        <w:t>A. Develop the service plan without the youth to avoid delay</w:t>
      </w:r>
    </w:p>
    <w:p>
      <w:pPr>
        <w:keepNext/>
        <w:keepLines/>
        <w:spacing w:after="40"/>
        <w:ind w:left="288"/>
      </w:pPr>
      <w:r>
        <w:t>B. Explain that participation is required</w:t>
      </w:r>
    </w:p>
    <w:p>
      <w:pPr>
        <w:keepNext/>
        <w:keepLines/>
        <w:spacing w:after="40"/>
        <w:ind w:left="288"/>
      </w:pPr>
      <w:r>
        <w:t>C. Refer the youth to another worker immediately</w:t>
      </w:r>
    </w:p>
    <w:p>
      <w:pPr>
        <w:keepNext/>
        <w:keepLines/>
        <w:spacing w:after="40"/>
        <w:ind w:left="288"/>
      </w:pPr>
      <w:r>
        <w:t>D. Acknowledge the youth’s experience and invite discussion of what would make the relationship feel more trustworthy</w:t>
      </w:r>
    </w:p>
    <w:p>
      <w:pPr>
        <w:keepLines/>
        <w:spacing w:after="160"/>
      </w:pPr>
      <w:r>
        <w:rPr>
          <w:rFonts w:ascii="Aptos" w:hAnsi="Aptos"/>
          <w:i/>
          <w:color w:val="6B7280"/>
          <w:sz w:val="18"/>
        </w:rPr>
        <w:t>My answer: ______    Confidence: 1  2  3</w:t>
      </w:r>
    </w:p>
    <w:p>
      <w:pPr>
        <w:keepNext/>
        <w:spacing w:before="160" w:after="80"/>
        <w:shd w:fill="0E7490" w:val="clear"/>
      </w:pPr>
      <w:r>
        <w:rPr>
          <w:rFonts w:ascii="Aptos" w:hAnsi="Aptos"/>
          <w:b/>
          <w:color w:val="FFFFFF"/>
          <w:sz w:val="17"/>
        </w:rPr>
        <w:t>LCSW-WB01-Q008 | Scenario | Moderate | Primary concept: Environmental stressors and child functioning</w:t>
      </w:r>
    </w:p>
    <w:p>
      <w:pPr>
        <w:keepNext/>
        <w:keepLines/>
      </w:pPr>
      <w:r>
        <w:rPr>
          <w:rFonts w:ascii="Aptos" w:hAnsi="Aptos"/>
          <w:b/>
          <w:color w:val="17365D"/>
          <w:sz w:val="21"/>
        </w:rPr>
        <w:t>8. A school social worker meets with a child referred for disruptive behavior. The caregiver reports recent job loss, food insecurity, and an eviction notice. What should the social worker do next?</w:t>
      </w:r>
    </w:p>
    <w:p>
      <w:pPr>
        <w:keepNext/>
        <w:keepLines/>
        <w:spacing w:after="40"/>
        <w:ind w:left="288"/>
      </w:pPr>
      <w:r>
        <w:t>A. Focus only on the child’s classroom behavior because that was the referral reason</w:t>
      </w:r>
    </w:p>
    <w:p>
      <w:pPr>
        <w:keepNext/>
        <w:keepLines/>
        <w:spacing w:after="40"/>
        <w:ind w:left="288"/>
      </w:pPr>
      <w:r>
        <w:t>B. Assess the family’s immediate needs and how the environmental stressors are affecting the child and caregiver</w:t>
      </w:r>
    </w:p>
    <w:p>
      <w:pPr>
        <w:keepNext/>
        <w:keepLines/>
        <w:spacing w:after="40"/>
        <w:ind w:left="288"/>
      </w:pPr>
      <w:r>
        <w:t>C. Tell the caregiver to solve the housing problem before services can begin</w:t>
      </w:r>
    </w:p>
    <w:p>
      <w:pPr>
        <w:keepLines/>
        <w:spacing w:after="160"/>
      </w:pPr>
      <w:r>
        <w:rPr>
          <w:rFonts w:ascii="Aptos" w:hAnsi="Aptos"/>
          <w:i/>
          <w:color w:val="6B7280"/>
          <w:sz w:val="18"/>
        </w:rPr>
        <w:t>My answer: ______    Confidence: 1  2  3</w:t>
      </w:r>
    </w:p>
    <w:p>
      <w:pPr>
        <w:keepNext/>
        <w:spacing w:before="160" w:after="80"/>
        <w:shd w:fill="0E7490" w:val="clear"/>
      </w:pPr>
      <w:r>
        <w:rPr>
          <w:rFonts w:ascii="Aptos" w:hAnsi="Aptos"/>
          <w:b/>
          <w:color w:val="FFFFFF"/>
          <w:sz w:val="17"/>
        </w:rPr>
        <w:t>LCSW-WB01-Q009 | Scenario | Moderate | Primary concept: Digital boundaries with a former client</w:t>
      </w:r>
    </w:p>
    <w:p>
      <w:pPr>
        <w:keepNext/>
        <w:keepLines/>
      </w:pPr>
      <w:r>
        <w:rPr>
          <w:rFonts w:ascii="Aptos" w:hAnsi="Aptos"/>
          <w:b/>
          <w:color w:val="17365D"/>
          <w:sz w:val="21"/>
        </w:rPr>
        <w:t>9. Two months after services end, a former client sends a social worker an invitation to join a private social-media group and states that refusing would feel rejecting. What is the best response?</w:t>
      </w:r>
    </w:p>
    <w:p>
      <w:pPr>
        <w:keepNext/>
        <w:keepLines/>
        <w:spacing w:after="40"/>
        <w:ind w:left="288"/>
      </w:pPr>
      <w:r>
        <w:t>A. Join the group to avoid harming the former client</w:t>
      </w:r>
    </w:p>
    <w:p>
      <w:pPr>
        <w:keepNext/>
        <w:keepLines/>
        <w:spacing w:after="40"/>
        <w:ind w:left="288"/>
      </w:pPr>
      <w:r>
        <w:t>B. Ignore the invitation so no boundary discussion is necessary</w:t>
      </w:r>
    </w:p>
    <w:p>
      <w:pPr>
        <w:keepNext/>
        <w:keepLines/>
        <w:spacing w:after="40"/>
        <w:ind w:left="288"/>
      </w:pPr>
      <w:r>
        <w:t>C. Respond briefly, maintain the professional boundary, and explain the decision in a respectful manner</w:t>
      </w:r>
    </w:p>
    <w:p>
      <w:pPr>
        <w:keepNext/>
        <w:keepLines/>
        <w:spacing w:after="40"/>
        <w:ind w:left="288"/>
      </w:pPr>
      <w:r>
        <w:t>D. Ask another former client whether joining would be acceptable</w:t>
      </w:r>
    </w:p>
    <w:p>
      <w:pPr>
        <w:keepLines/>
        <w:spacing w:after="160"/>
      </w:pPr>
      <w:r>
        <w:rPr>
          <w:rFonts w:ascii="Aptos" w:hAnsi="Aptos"/>
          <w:i/>
          <w:color w:val="6B7280"/>
          <w:sz w:val="18"/>
        </w:rPr>
        <w:t>My answer: ______    Confidence: 1  2  3</w:t>
      </w:r>
    </w:p>
    <w:p>
      <w:pPr>
        <w:keepNext/>
        <w:spacing w:before="160" w:after="80"/>
        <w:shd w:fill="0E7490" w:val="clear"/>
      </w:pPr>
      <w:r>
        <w:rPr>
          <w:rFonts w:ascii="Aptos" w:hAnsi="Aptos"/>
          <w:b/>
          <w:color w:val="FFFFFF"/>
          <w:sz w:val="17"/>
        </w:rPr>
        <w:t>LCSW-WB01-Q010 | Integrated | Challenge | Primary concept: Vulnerable-adult safety, caregiving, and resources</w:t>
      </w:r>
    </w:p>
    <w:p>
      <w:pPr>
        <w:keepNext/>
        <w:keepLines/>
      </w:pPr>
      <w:r>
        <w:rPr>
          <w:rFonts w:ascii="Aptos" w:hAnsi="Aptos"/>
          <w:b/>
          <w:color w:val="17365D"/>
          <w:sz w:val="21"/>
        </w:rPr>
        <w:t>10. A home-based social worker meets with an older adult and an exhausted adult child who provides most daily care. The home is cluttered, medications are disorganized, and the older adult has missed meals. The caregiver says, “I cannot keep doing this,” but denies intentionally withholding care. What should the social worker do first?</w:t>
      </w:r>
    </w:p>
    <w:p>
      <w:pPr>
        <w:keepNext/>
        <w:keepLines/>
        <w:spacing w:after="40"/>
        <w:ind w:left="288"/>
      </w:pPr>
      <w:r>
        <w:t>A. Recommend that the older adult move to residential care without further assessment</w:t>
      </w:r>
    </w:p>
    <w:p>
      <w:pPr>
        <w:keepNext/>
        <w:keepLines/>
        <w:spacing w:after="40"/>
        <w:ind w:left="288"/>
      </w:pPr>
      <w:r>
        <w:t>B. Provide the caregiver with a self-care handout and schedule a visit next month</w:t>
      </w:r>
    </w:p>
    <w:p>
      <w:pPr>
        <w:keepNext/>
        <w:keepLines/>
        <w:spacing w:after="40"/>
        <w:ind w:left="288"/>
      </w:pPr>
      <w:r>
        <w:t>C. Immediately conclude that the caregiver is abusive and terminate the visit to make a report</w:t>
      </w:r>
    </w:p>
    <w:p>
      <w:pPr>
        <w:keepNext/>
        <w:keepLines/>
        <w:spacing w:after="40"/>
        <w:ind w:left="288"/>
      </w:pPr>
      <w:r>
        <w:t>D. Assess the older adult’s immediate safety, capacity, medical and nutritional needs, the caregiver’s functioning and stress, available supports, and whether protective reporting or emergency action is required</w:t>
      </w:r>
    </w:p>
    <w:p>
      <w:pPr>
        <w:keepLines/>
        <w:spacing w:after="160"/>
      </w:pPr>
      <w:r>
        <w:rPr>
          <w:rFonts w:ascii="Aptos" w:hAnsi="Aptos"/>
          <w:i/>
          <w:color w:val="6B7280"/>
          <w:sz w:val="18"/>
        </w:rPr>
        <w:t>My answer: ______    Confidence: 1  2  3</w:t>
      </w:r>
    </w:p>
    <w:p>
      <w:pPr>
        <w:pStyle w:val="Heading1"/>
        <w:keepNext/>
        <w:pageBreakBefore/>
      </w:pPr>
      <w:r>
        <w:t>Answer Key and Detailed Rationales</w:t>
      </w:r>
    </w:p>
    <w:p>
      <w:pPr>
        <w:pStyle w:val="Heading2"/>
        <w:keepNext/>
      </w:pPr>
      <w:r>
        <w:t>Question 1 (LCSW-WB01-Q001)</w:t>
      </w:r>
    </w:p>
    <w:p>
      <w:pPr>
        <w:keepNext/>
      </w:pPr>
      <w:r>
        <w:rPr>
          <w:rFonts w:ascii="Aptos" w:hAnsi="Aptos"/>
          <w:b/>
          <w:color w:val="0E7490"/>
          <w:sz w:val="20"/>
        </w:rPr>
        <w:t>Correct Answer: A</w:t>
      </w:r>
    </w:p>
    <w:p>
      <w:pPr>
        <w:keepNext/>
        <w:keepLines/>
        <w:spacing w:after="60"/>
        <w:ind w:left="216"/>
      </w:pPr>
      <w:r>
        <w:rPr>
          <w:rFonts w:ascii="Aptos" w:hAnsi="Aptos"/>
          <w:b/>
          <w:color w:val="17365D"/>
          <w:sz w:val="19"/>
        </w:rPr>
        <w:t>A. FIRST requires sequencing. The candidate selects the earliest action necessary for the task, subject to supported safety and ethical priorities.</w:t>
      </w:r>
      <w:r>
        <w:rPr>
          <w:rFonts w:ascii="Aptos" w:hAnsi="Aptos"/>
          <w:color w:val="1F2937"/>
          <w:sz w:val="19"/>
        </w:rPr>
      </w:r>
    </w:p>
    <w:p>
      <w:pPr>
        <w:keepNext/>
        <w:keepLines/>
        <w:spacing w:after="60"/>
        <w:ind w:left="216"/>
      </w:pPr>
      <w:r>
        <w:rPr>
          <w:rFonts w:ascii="Aptos" w:hAnsi="Aptos"/>
          <w:b/>
          <w:color w:val="17365D"/>
          <w:sz w:val="19"/>
        </w:rPr>
        <w:t>B. A long-term intervention may be appropriate later but may not be the first step.</w:t>
      </w:r>
      <w:r>
        <w:rPr>
          <w:rFonts w:ascii="Aptos" w:hAnsi="Aptos"/>
          <w:color w:val="1F2937"/>
          <w:sz w:val="19"/>
        </w:rPr>
      </w:r>
    </w:p>
    <w:p>
      <w:pPr>
        <w:keepNext/>
        <w:keepLines/>
        <w:spacing w:after="60"/>
        <w:ind w:left="216"/>
      </w:pPr>
      <w:r>
        <w:rPr>
          <w:rFonts w:ascii="Aptos" w:hAnsi="Aptos"/>
          <w:b/>
          <w:color w:val="17365D"/>
          <w:sz w:val="19"/>
        </w:rPr>
        <w:t>C. More services do not make an answer better. Services should fit assessed needs and client priorities.</w:t>
      </w:r>
      <w:r>
        <w:rPr>
          <w:rFonts w:ascii="Aptos" w:hAnsi="Aptos"/>
          <w:color w:val="1F2937"/>
          <w:sz w:val="19"/>
        </w:rPr>
      </w:r>
    </w:p>
    <w:p>
      <w:pPr>
        <w:keepNext w:val="0"/>
        <w:keepLines/>
        <w:spacing w:after="60"/>
        <w:ind w:left="216"/>
      </w:pPr>
      <w:r>
        <w:rPr>
          <w:rFonts w:ascii="Aptos" w:hAnsi="Aptos"/>
          <w:b/>
          <w:color w:val="17365D"/>
          <w:sz w:val="19"/>
        </w:rPr>
        <w:t>D. Risk elimination is not always possible and may conflict with self-determination, proportionality, or the facts.</w:t>
      </w:r>
      <w:r>
        <w:rPr>
          <w:rFonts w:ascii="Aptos" w:hAnsi="Aptos"/>
          <w:color w:val="1F2937"/>
          <w:sz w:val="19"/>
        </w:rPr>
      </w:r>
    </w:p>
    <w:tbl>
      <w:tblPr>
        <w:tblW w:type="auto" w:w="0"/>
        <w:jc w:val="center"/>
        <w:tblLayout w:type="autofit"/>
        <w:tblLook w:firstColumn="1" w:firstRow="1" w:lastColumn="0" w:lastRow="0" w:noHBand="0" w:noVBand="1" w:val="04A0"/>
      </w:tblPr>
      <w:tblGrid>
        <w:gridCol w:w="10080"/>
      </w:tblGrid>
      <w:tr>
        <w:trPr>
          <w:cantSplit w:val="true"/>
        </w:trPr>
        <w:tc>
          <w:tcPr>
            <w:tcW w:type="dxa" w:w="10080"/>
            <w:shd w:fill="D9EAF7"/>
            <w:tcBorders>
              <w:top w:val="single" w:sz="6" w:color="A7BDC6"/>
              <w:left w:val="single" w:sz="6" w:color="A7BDC6"/>
              <w:bottom w:val="single" w:sz="6" w:color="A7BDC6"/>
              <w:right w:val="single" w:sz="6" w:color="A7BDC6"/>
              <w:insideH w:val="single" w:sz="6" w:color="A7BDC6"/>
              <w:insideV w:val="single" w:sz="6" w:color="A7BDC6"/>
            </w:tcBorders>
          </w:tcPr>
          <w:p>
            <w:r>
              <w:rPr>
                <w:rFonts w:ascii="Aptos" w:hAnsi="Aptos"/>
                <w:b/>
                <w:color w:val="1F4E78"/>
                <w:sz w:val="19"/>
              </w:rPr>
              <w:t xml:space="preserve">EXAM STRATEGY: </w:t>
            </w:r>
            <w:r>
              <w:rPr>
                <w:rFonts w:ascii="Aptos" w:hAnsi="Aptos"/>
                <w:color w:val="1F2937"/>
                <w:sz w:val="19"/>
              </w:rPr>
              <w:t>Define the earliest necessary action. Eliminate options that are useful later but skip safety, clarification, or assessment.</w:t>
            </w:r>
          </w:p>
        </w:tc>
      </w:tr>
    </w:tbl>
    <w:p/>
    <w:p>
      <w:pPr>
        <w:pStyle w:val="Heading2"/>
        <w:keepNext/>
      </w:pPr>
      <w:r>
        <w:t>Question 2 (LCSW-WB01-Q002)</w:t>
      </w:r>
    </w:p>
    <w:p>
      <w:pPr>
        <w:keepNext/>
      </w:pPr>
      <w:r>
        <w:rPr>
          <w:rFonts w:ascii="Aptos" w:hAnsi="Aptos"/>
          <w:b/>
          <w:color w:val="0E7490"/>
          <w:sz w:val="20"/>
        </w:rPr>
        <w:t>Correct Answer: D</w:t>
      </w:r>
    </w:p>
    <w:p>
      <w:pPr>
        <w:keepNext/>
        <w:keepLines/>
        <w:spacing w:after="60"/>
        <w:ind w:left="216"/>
      </w:pPr>
      <w:r>
        <w:rPr>
          <w:rFonts w:ascii="Aptos" w:hAnsi="Aptos"/>
          <w:b/>
          <w:color w:val="17365D"/>
          <w:sz w:val="19"/>
        </w:rPr>
        <w:t>A. This describes the ASWB format used before August 3, 2026.</w:t>
      </w:r>
      <w:r>
        <w:rPr>
          <w:rFonts w:ascii="Aptos" w:hAnsi="Aptos"/>
          <w:color w:val="1F2937"/>
          <w:sz w:val="19"/>
        </w:rPr>
      </w:r>
    </w:p>
    <w:p>
      <w:pPr>
        <w:keepNext/>
        <w:keepLines/>
        <w:spacing w:after="60"/>
        <w:ind w:left="216"/>
      </w:pPr>
      <w:r>
        <w:rPr>
          <w:rFonts w:ascii="Aptos" w:hAnsi="Aptos"/>
          <w:b/>
          <w:color w:val="17365D"/>
          <w:sz w:val="19"/>
        </w:rPr>
        <w:t>B. There are 110 scored questions, but the examination presents 12 additional unscored questions.</w:t>
      </w:r>
      <w:r>
        <w:rPr>
          <w:rFonts w:ascii="Aptos" w:hAnsi="Aptos"/>
          <w:color w:val="1F2937"/>
          <w:sz w:val="19"/>
        </w:rPr>
      </w:r>
    </w:p>
    <w:p>
      <w:pPr>
        <w:keepNext/>
        <w:keepLines/>
        <w:spacing w:after="60"/>
        <w:ind w:left="216"/>
      </w:pPr>
      <w:r>
        <w:rPr>
          <w:rFonts w:ascii="Aptos" w:hAnsi="Aptos"/>
          <w:b/>
          <w:color w:val="17365D"/>
          <w:sz w:val="19"/>
        </w:rPr>
        <w:t>C. This is the current total and pretest count for the California LMFT Clinical Examination, not the ASWB Clinical Examination.</w:t>
      </w:r>
      <w:r>
        <w:rPr>
          <w:rFonts w:ascii="Aptos" w:hAnsi="Aptos"/>
          <w:color w:val="1F2937"/>
          <w:sz w:val="19"/>
        </w:rPr>
      </w:r>
    </w:p>
    <w:p>
      <w:pPr>
        <w:keepNext w:val="0"/>
        <w:keepLines/>
        <w:spacing w:after="60"/>
        <w:ind w:left="216"/>
      </w:pPr>
      <w:r>
        <w:rPr>
          <w:rFonts w:ascii="Aptos" w:hAnsi="Aptos"/>
          <w:b/>
          <w:color w:val="17365D"/>
          <w:sz w:val="19"/>
        </w:rPr>
        <w:t>D. The 2026 ASWB guidebook lists 122 total questions, including 12 unscored questions, leaving 110 scored questions.</w:t>
      </w:r>
      <w:r>
        <w:rPr>
          <w:rFonts w:ascii="Aptos" w:hAnsi="Aptos"/>
          <w:color w:val="1F2937"/>
          <w:sz w:val="19"/>
        </w:rPr>
      </w:r>
    </w:p>
    <w:tbl>
      <w:tblPr>
        <w:tblW w:type="auto" w:w="0"/>
        <w:jc w:val="center"/>
        <w:tblLayout w:type="autofit"/>
        <w:tblLook w:firstColumn="1" w:firstRow="1" w:lastColumn="0" w:lastRow="0" w:noHBand="0" w:noVBand="1" w:val="04A0"/>
      </w:tblPr>
      <w:tblGrid>
        <w:gridCol w:w="10080"/>
      </w:tblGrid>
      <w:tr>
        <w:trPr>
          <w:cantSplit w:val="true"/>
        </w:trPr>
        <w:tc>
          <w:tcPr>
            <w:tcW w:type="dxa" w:w="10080"/>
            <w:shd w:fill="D9EAF7"/>
            <w:tcBorders>
              <w:top w:val="single" w:sz="6" w:color="A7BDC6"/>
              <w:left w:val="single" w:sz="6" w:color="A7BDC6"/>
              <w:bottom w:val="single" w:sz="6" w:color="A7BDC6"/>
              <w:right w:val="single" w:sz="6" w:color="A7BDC6"/>
              <w:insideH w:val="single" w:sz="6" w:color="A7BDC6"/>
              <w:insideV w:val="single" w:sz="6" w:color="A7BDC6"/>
            </w:tcBorders>
          </w:tcPr>
          <w:p>
            <w:r>
              <w:rPr>
                <w:rFonts w:ascii="Aptos" w:hAnsi="Aptos"/>
                <w:b/>
                <w:color w:val="1F4E78"/>
                <w:sz w:val="19"/>
              </w:rPr>
              <w:t xml:space="preserve">EXAM STRATEGY: </w:t>
            </w:r>
            <w:r>
              <w:rPr>
                <w:rFonts w:ascii="Aptos" w:hAnsi="Aptos"/>
                <w:color w:val="1F2937"/>
                <w:sz w:val="19"/>
              </w:rPr>
              <w:t>Match the answer to the exact task and profession-specific lens; eliminate unsupported assumptions and off-task responses.</w:t>
            </w:r>
          </w:p>
        </w:tc>
      </w:tr>
    </w:tbl>
    <w:p/>
    <w:p>
      <w:pPr>
        <w:pStyle w:val="Heading2"/>
        <w:keepNext/>
      </w:pPr>
      <w:r>
        <w:t>Question 3 (LCSW-WB01-Q003)</w:t>
      </w:r>
    </w:p>
    <w:p>
      <w:pPr>
        <w:keepNext/>
      </w:pPr>
      <w:r>
        <w:rPr>
          <w:rFonts w:ascii="Aptos" w:hAnsi="Aptos"/>
          <w:b/>
          <w:color w:val="0E7490"/>
          <w:sz w:val="20"/>
        </w:rPr>
        <w:t>Correct Answer: C</w:t>
      </w:r>
    </w:p>
    <w:p>
      <w:pPr>
        <w:keepNext/>
        <w:keepLines/>
        <w:spacing w:after="60"/>
        <w:ind w:left="216"/>
      </w:pPr>
      <w:r>
        <w:rPr>
          <w:rFonts w:ascii="Aptos" w:hAnsi="Aptos"/>
          <w:b/>
          <w:color w:val="17365D"/>
          <w:sz w:val="19"/>
        </w:rPr>
        <w:t>A. Recall focuses primarily on remembering or recognizing information.</w:t>
      </w:r>
      <w:r>
        <w:rPr>
          <w:rFonts w:ascii="Aptos" w:hAnsi="Aptos"/>
          <w:color w:val="1F2937"/>
          <w:sz w:val="19"/>
        </w:rPr>
      </w:r>
    </w:p>
    <w:p>
      <w:pPr>
        <w:keepNext/>
        <w:keepLines/>
        <w:spacing w:after="60"/>
        <w:ind w:left="216"/>
      </w:pPr>
      <w:r>
        <w:rPr>
          <w:rFonts w:ascii="Aptos" w:hAnsi="Aptos"/>
          <w:b/>
          <w:color w:val="17365D"/>
          <w:sz w:val="19"/>
        </w:rPr>
        <w:t>B. Simple recognition does not capture the integration and prioritization required by the stem.</w:t>
      </w:r>
      <w:r>
        <w:rPr>
          <w:rFonts w:ascii="Aptos" w:hAnsi="Aptos"/>
          <w:color w:val="1F2937"/>
          <w:sz w:val="19"/>
        </w:rPr>
      </w:r>
    </w:p>
    <w:p>
      <w:pPr>
        <w:keepNext w:val="0"/>
        <w:keepLines/>
        <w:spacing w:after="60"/>
        <w:ind w:left="216"/>
      </w:pPr>
      <w:r>
        <w:rPr>
          <w:rFonts w:ascii="Aptos" w:hAnsi="Aptos"/>
          <w:b/>
          <w:color w:val="17365D"/>
          <w:sz w:val="19"/>
        </w:rPr>
        <w:t>C. Reasoning requires organizing information in context, comparing plausible options, and making a professional judgment.</w:t>
      </w:r>
      <w:r>
        <w:rPr>
          <w:rFonts w:ascii="Aptos" w:hAnsi="Aptos"/>
          <w:color w:val="1F2937"/>
          <w:sz w:val="19"/>
        </w:rPr>
      </w:r>
    </w:p>
    <w:tbl>
      <w:tblPr>
        <w:tblW w:type="auto" w:w="0"/>
        <w:jc w:val="center"/>
        <w:tblLayout w:type="autofit"/>
        <w:tblLook w:firstColumn="1" w:firstRow="1" w:lastColumn="0" w:lastRow="0" w:noHBand="0" w:noVBand="1" w:val="04A0"/>
      </w:tblPr>
      <w:tblGrid>
        <w:gridCol w:w="10080"/>
      </w:tblGrid>
      <w:tr>
        <w:trPr>
          <w:cantSplit w:val="true"/>
        </w:trPr>
        <w:tc>
          <w:tcPr>
            <w:tcW w:type="dxa" w:w="10080"/>
            <w:shd w:fill="D9EAF7"/>
            <w:tcBorders>
              <w:top w:val="single" w:sz="6" w:color="A7BDC6"/>
              <w:left w:val="single" w:sz="6" w:color="A7BDC6"/>
              <w:bottom w:val="single" w:sz="6" w:color="A7BDC6"/>
              <w:right w:val="single" w:sz="6" w:color="A7BDC6"/>
              <w:insideH w:val="single" w:sz="6" w:color="A7BDC6"/>
              <w:insideV w:val="single" w:sz="6" w:color="A7BDC6"/>
            </w:tcBorders>
          </w:tcPr>
          <w:p>
            <w:r>
              <w:rPr>
                <w:rFonts w:ascii="Aptos" w:hAnsi="Aptos"/>
                <w:b/>
                <w:color w:val="1F4E78"/>
                <w:sz w:val="19"/>
              </w:rPr>
              <w:t xml:space="preserve">EXAM STRATEGY: </w:t>
            </w:r>
            <w:r>
              <w:rPr>
                <w:rFonts w:ascii="Aptos" w:hAnsi="Aptos"/>
                <w:color w:val="1F2937"/>
                <w:sz w:val="19"/>
              </w:rPr>
              <w:t>Match the answer to the exact task and profession-specific lens; eliminate unsupported assumptions and off-task responses.</w:t>
            </w:r>
          </w:p>
        </w:tc>
      </w:tr>
    </w:tbl>
    <w:p/>
    <w:p>
      <w:pPr>
        <w:pStyle w:val="Heading2"/>
        <w:keepNext/>
      </w:pPr>
      <w:r>
        <w:t>Question 4 (LCSW-WB01-Q004)</w:t>
      </w:r>
    </w:p>
    <w:p>
      <w:pPr>
        <w:keepNext/>
      </w:pPr>
      <w:r>
        <w:rPr>
          <w:rFonts w:ascii="Aptos" w:hAnsi="Aptos"/>
          <w:b/>
          <w:color w:val="0E7490"/>
          <w:sz w:val="20"/>
        </w:rPr>
        <w:t>Correct Answer: B</w:t>
      </w:r>
    </w:p>
    <w:p>
      <w:pPr>
        <w:keepNext/>
        <w:keepLines/>
        <w:spacing w:after="60"/>
        <w:ind w:left="216"/>
      </w:pPr>
      <w:r>
        <w:rPr>
          <w:rFonts w:ascii="Aptos" w:hAnsi="Aptos"/>
          <w:b/>
          <w:color w:val="17365D"/>
          <w:sz w:val="19"/>
        </w:rPr>
        <w:t>A. A shelter list may be useful if homelessness is imminent, but the social worker should first clarify the actual risk and needs.</w:t>
      </w:r>
      <w:r>
        <w:rPr>
          <w:rFonts w:ascii="Aptos" w:hAnsi="Aptos"/>
          <w:color w:val="1F2937"/>
          <w:sz w:val="19"/>
        </w:rPr>
      </w:r>
    </w:p>
    <w:p>
      <w:pPr>
        <w:keepNext/>
        <w:keepLines/>
        <w:spacing w:after="60"/>
        <w:ind w:left="216"/>
      </w:pPr>
      <w:r>
        <w:rPr>
          <w:rFonts w:ascii="Aptos" w:hAnsi="Aptos"/>
          <w:b/>
          <w:color w:val="17365D"/>
          <w:sz w:val="19"/>
        </w:rPr>
        <w:t>B. This person-in-environment assessment identifies urgency, available resources, barriers, and client priorities before selecting services.</w:t>
      </w:r>
      <w:r>
        <w:rPr>
          <w:rFonts w:ascii="Aptos" w:hAnsi="Aptos"/>
          <w:color w:val="1F2937"/>
          <w:sz w:val="19"/>
        </w:rPr>
      </w:r>
    </w:p>
    <w:p>
      <w:pPr>
        <w:keepNext/>
        <w:keepLines/>
        <w:spacing w:after="60"/>
        <w:ind w:left="216"/>
      </w:pPr>
      <w:r>
        <w:rPr>
          <w:rFonts w:ascii="Aptos" w:hAnsi="Aptos"/>
          <w:b/>
          <w:color w:val="17365D"/>
          <w:sz w:val="19"/>
        </w:rPr>
        <w:t>C. The option assumes family support is available and appropriate.</w:t>
      </w:r>
      <w:r>
        <w:rPr>
          <w:rFonts w:ascii="Aptos" w:hAnsi="Aptos"/>
          <w:color w:val="1F2937"/>
          <w:sz w:val="19"/>
        </w:rPr>
      </w:r>
    </w:p>
    <w:p>
      <w:pPr>
        <w:keepNext w:val="0"/>
        <w:keepLines/>
        <w:spacing w:after="60"/>
        <w:ind w:left="216"/>
      </w:pPr>
      <w:r>
        <w:rPr>
          <w:rFonts w:ascii="Aptos" w:hAnsi="Aptos"/>
          <w:b/>
          <w:color w:val="17365D"/>
          <w:sz w:val="19"/>
        </w:rPr>
        <w:t>D. Financial anxiety may be relevant, but psychotherapy does not replace assessment of the material crisis.</w:t>
      </w:r>
      <w:r>
        <w:rPr>
          <w:rFonts w:ascii="Aptos" w:hAnsi="Aptos"/>
          <w:color w:val="1F2937"/>
          <w:sz w:val="19"/>
        </w:rPr>
      </w:r>
    </w:p>
    <w:tbl>
      <w:tblPr>
        <w:tblW w:type="auto" w:w="0"/>
        <w:jc w:val="center"/>
        <w:tblLayout w:type="autofit"/>
        <w:tblLook w:firstColumn="1" w:firstRow="1" w:lastColumn="0" w:lastRow="0" w:noHBand="0" w:noVBand="1" w:val="04A0"/>
      </w:tblPr>
      <w:tblGrid>
        <w:gridCol w:w="10080"/>
      </w:tblGrid>
      <w:tr>
        <w:trPr>
          <w:cantSplit w:val="true"/>
        </w:trPr>
        <w:tc>
          <w:tcPr>
            <w:tcW w:type="dxa" w:w="10080"/>
            <w:shd w:fill="D9EAF7"/>
            <w:tcBorders>
              <w:top w:val="single" w:sz="6" w:color="A7BDC6"/>
              <w:left w:val="single" w:sz="6" w:color="A7BDC6"/>
              <w:bottom w:val="single" w:sz="6" w:color="A7BDC6"/>
              <w:right w:val="single" w:sz="6" w:color="A7BDC6"/>
              <w:insideH w:val="single" w:sz="6" w:color="A7BDC6"/>
              <w:insideV w:val="single" w:sz="6" w:color="A7BDC6"/>
            </w:tcBorders>
          </w:tcPr>
          <w:p>
            <w:r>
              <w:rPr>
                <w:rFonts w:ascii="Aptos" w:hAnsi="Aptos"/>
                <w:b/>
                <w:color w:val="1F4E78"/>
                <w:sz w:val="19"/>
              </w:rPr>
              <w:t xml:space="preserve">EXAM STRATEGY: </w:t>
            </w:r>
            <w:r>
              <w:rPr>
                <w:rFonts w:ascii="Aptos" w:hAnsi="Aptos"/>
                <w:color w:val="1F2937"/>
                <w:sz w:val="19"/>
              </w:rPr>
              <w:t>Define the earliest necessary action. Eliminate options that are useful later but skip safety, clarification, or assessment.</w:t>
            </w:r>
          </w:p>
        </w:tc>
      </w:tr>
    </w:tbl>
    <w:p/>
    <w:p>
      <w:pPr>
        <w:pStyle w:val="Heading2"/>
        <w:keepNext/>
      </w:pPr>
      <w:r>
        <w:t>Question 5 (LCSW-WB01-Q005)</w:t>
      </w:r>
    </w:p>
    <w:p>
      <w:pPr>
        <w:keepNext/>
      </w:pPr>
      <w:r>
        <w:rPr>
          <w:rFonts w:ascii="Aptos" w:hAnsi="Aptos"/>
          <w:b/>
          <w:color w:val="0E7490"/>
          <w:sz w:val="20"/>
        </w:rPr>
        <w:t>Correct Answer: A</w:t>
      </w:r>
    </w:p>
    <w:p>
      <w:pPr>
        <w:keepNext/>
        <w:keepLines/>
        <w:spacing w:after="60"/>
        <w:ind w:left="216"/>
      </w:pPr>
      <w:r>
        <w:rPr>
          <w:rFonts w:ascii="Aptos" w:hAnsi="Aptos"/>
          <w:b/>
          <w:color w:val="17365D"/>
          <w:sz w:val="19"/>
        </w:rPr>
        <w:t>A. This response addresses safety, provides support, and respects the client’s decision-making authority.</w:t>
      </w:r>
      <w:r>
        <w:rPr>
          <w:rFonts w:ascii="Aptos" w:hAnsi="Aptos"/>
          <w:color w:val="1F2937"/>
          <w:sz w:val="19"/>
        </w:rPr>
      </w:r>
    </w:p>
    <w:p>
      <w:pPr>
        <w:keepNext/>
        <w:keepLines/>
        <w:spacing w:after="60"/>
        <w:ind w:left="216"/>
      </w:pPr>
      <w:r>
        <w:rPr>
          <w:rFonts w:ascii="Aptos" w:hAnsi="Aptos"/>
          <w:b/>
          <w:color w:val="17365D"/>
          <w:sz w:val="19"/>
        </w:rPr>
        <w:t>B. The facts do not establish that unilateral law-enforcement contact is required or the best first response.</w:t>
      </w:r>
      <w:r>
        <w:rPr>
          <w:rFonts w:ascii="Aptos" w:hAnsi="Aptos"/>
          <w:color w:val="1F2937"/>
          <w:sz w:val="19"/>
        </w:rPr>
      </w:r>
    </w:p>
    <w:p>
      <w:pPr>
        <w:keepNext w:val="0"/>
        <w:keepLines/>
        <w:spacing w:after="60"/>
        <w:ind w:left="216"/>
      </w:pPr>
      <w:r>
        <w:rPr>
          <w:rFonts w:ascii="Aptos" w:hAnsi="Aptos"/>
          <w:b/>
          <w:color w:val="17365D"/>
          <w:sz w:val="19"/>
        </w:rPr>
        <w:t>C. Directing a competent adult’s decision without a legal basis disregards self-determination.</w:t>
      </w:r>
      <w:r>
        <w:rPr>
          <w:rFonts w:ascii="Aptos" w:hAnsi="Aptos"/>
          <w:color w:val="1F2937"/>
          <w:sz w:val="19"/>
        </w:rPr>
      </w:r>
    </w:p>
    <w:tbl>
      <w:tblPr>
        <w:tblW w:type="auto" w:w="0"/>
        <w:jc w:val="center"/>
        <w:tblLayout w:type="autofit"/>
        <w:tblLook w:firstColumn="1" w:firstRow="1" w:lastColumn="0" w:lastRow="0" w:noHBand="0" w:noVBand="1" w:val="04A0"/>
      </w:tblPr>
      <w:tblGrid>
        <w:gridCol w:w="10080"/>
      </w:tblGrid>
      <w:tr>
        <w:trPr>
          <w:cantSplit w:val="true"/>
        </w:trPr>
        <w:tc>
          <w:tcPr>
            <w:tcW w:type="dxa" w:w="10080"/>
            <w:shd w:fill="D9EAF7"/>
            <w:tcBorders>
              <w:top w:val="single" w:sz="6" w:color="A7BDC6"/>
              <w:left w:val="single" w:sz="6" w:color="A7BDC6"/>
              <w:bottom w:val="single" w:sz="6" w:color="A7BDC6"/>
              <w:right w:val="single" w:sz="6" w:color="A7BDC6"/>
              <w:insideH w:val="single" w:sz="6" w:color="A7BDC6"/>
              <w:insideV w:val="single" w:sz="6" w:color="A7BDC6"/>
            </w:tcBorders>
          </w:tcPr>
          <w:p>
            <w:r>
              <w:rPr>
                <w:rFonts w:ascii="Aptos" w:hAnsi="Aptos"/>
                <w:b/>
                <w:color w:val="1F4E78"/>
                <w:sz w:val="19"/>
              </w:rPr>
              <w:t xml:space="preserve">EXAM STRATEGY: </w:t>
            </w:r>
            <w:r>
              <w:rPr>
                <w:rFonts w:ascii="Aptos" w:hAnsi="Aptos"/>
                <w:color w:val="1F2937"/>
                <w:sz w:val="19"/>
              </w:rPr>
              <w:t>Define the earliest necessary action. Eliminate options that are useful later but skip safety, clarification, or assessment.</w:t>
            </w:r>
          </w:p>
        </w:tc>
      </w:tr>
    </w:tbl>
    <w:p/>
    <w:p>
      <w:pPr>
        <w:pStyle w:val="Heading2"/>
        <w:keepNext/>
      </w:pPr>
      <w:r>
        <w:t>Question 6 (LCSW-WB01-Q006)</w:t>
      </w:r>
    </w:p>
    <w:p>
      <w:pPr>
        <w:keepNext/>
      </w:pPr>
      <w:r>
        <w:rPr>
          <w:rFonts w:ascii="Aptos" w:hAnsi="Aptos"/>
          <w:b/>
          <w:color w:val="0E7490"/>
          <w:sz w:val="20"/>
        </w:rPr>
        <w:t>Correct Answer: C</w:t>
      </w:r>
    </w:p>
    <w:p>
      <w:pPr>
        <w:keepNext/>
        <w:keepLines/>
        <w:spacing w:after="60"/>
        <w:ind w:left="216"/>
      </w:pPr>
      <w:r>
        <w:rPr>
          <w:rFonts w:ascii="Aptos" w:hAnsi="Aptos"/>
          <w:b/>
          <w:color w:val="17365D"/>
          <w:sz w:val="19"/>
        </w:rPr>
        <w:t>A. Discharge planning is not the first priority when new potentially serious symptoms emerge.</w:t>
      </w:r>
      <w:r>
        <w:rPr>
          <w:rFonts w:ascii="Aptos" w:hAnsi="Aptos"/>
          <w:color w:val="1F2937"/>
          <w:sz w:val="19"/>
        </w:rPr>
      </w:r>
    </w:p>
    <w:p>
      <w:pPr>
        <w:keepNext/>
        <w:keepLines/>
        <w:spacing w:after="60"/>
        <w:ind w:left="216"/>
      </w:pPr>
      <w:r>
        <w:rPr>
          <w:rFonts w:ascii="Aptos" w:hAnsi="Aptos"/>
          <w:b/>
          <w:color w:val="17365D"/>
          <w:sz w:val="19"/>
        </w:rPr>
        <w:t>B. Treatment satisfaction does not address the potentially urgent medical or medication-related change.</w:t>
      </w:r>
      <w:r>
        <w:rPr>
          <w:rFonts w:ascii="Aptos" w:hAnsi="Aptos"/>
          <w:color w:val="1F2937"/>
          <w:sz w:val="19"/>
        </w:rPr>
      </w:r>
    </w:p>
    <w:p>
      <w:pPr>
        <w:keepNext/>
        <w:keepLines/>
        <w:spacing w:after="60"/>
        <w:ind w:left="216"/>
      </w:pPr>
      <w:r>
        <w:rPr>
          <w:rFonts w:ascii="Aptos" w:hAnsi="Aptos"/>
          <w:b/>
          <w:color w:val="17365D"/>
          <w:sz w:val="19"/>
        </w:rPr>
        <w:t>C. New neurological and sedation symptoms require prompt medical or medication evaluation.</w:t>
      </w:r>
      <w:r>
        <w:rPr>
          <w:rFonts w:ascii="Aptos" w:hAnsi="Aptos"/>
          <w:color w:val="1F2937"/>
          <w:sz w:val="19"/>
        </w:rPr>
      </w:r>
    </w:p>
    <w:p>
      <w:pPr>
        <w:keepNext w:val="0"/>
        <w:keepLines/>
        <w:spacing w:after="60"/>
        <w:ind w:left="216"/>
      </w:pPr>
      <w:r>
        <w:rPr>
          <w:rFonts w:ascii="Aptos" w:hAnsi="Aptos"/>
          <w:b/>
          <w:color w:val="17365D"/>
          <w:sz w:val="19"/>
        </w:rPr>
        <w:t>D. A behavior plan is inappropriate before ruling out an acute medical or medication problem.</w:t>
      </w:r>
      <w:r>
        <w:rPr>
          <w:rFonts w:ascii="Aptos" w:hAnsi="Aptos"/>
          <w:color w:val="1F2937"/>
          <w:sz w:val="19"/>
        </w:rPr>
      </w:r>
    </w:p>
    <w:tbl>
      <w:tblPr>
        <w:tblW w:type="auto" w:w="0"/>
        <w:jc w:val="center"/>
        <w:tblLayout w:type="autofit"/>
        <w:tblLook w:firstColumn="1" w:firstRow="1" w:lastColumn="0" w:lastRow="0" w:noHBand="0" w:noVBand="1" w:val="04A0"/>
      </w:tblPr>
      <w:tblGrid>
        <w:gridCol w:w="10080"/>
      </w:tblGrid>
      <w:tr>
        <w:trPr>
          <w:cantSplit w:val="true"/>
        </w:trPr>
        <w:tc>
          <w:tcPr>
            <w:tcW w:type="dxa" w:w="10080"/>
            <w:shd w:fill="D9EAF7"/>
            <w:tcBorders>
              <w:top w:val="single" w:sz="6" w:color="A7BDC6"/>
              <w:left w:val="single" w:sz="6" w:color="A7BDC6"/>
              <w:bottom w:val="single" w:sz="6" w:color="A7BDC6"/>
              <w:right w:val="single" w:sz="6" w:color="A7BDC6"/>
              <w:insideH w:val="single" w:sz="6" w:color="A7BDC6"/>
              <w:insideV w:val="single" w:sz="6" w:color="A7BDC6"/>
            </w:tcBorders>
          </w:tcPr>
          <w:p>
            <w:r>
              <w:rPr>
                <w:rFonts w:ascii="Aptos" w:hAnsi="Aptos"/>
                <w:b/>
                <w:color w:val="1F4E78"/>
                <w:sz w:val="19"/>
              </w:rPr>
              <w:t xml:space="preserve">EXAM STRATEGY: </w:t>
            </w:r>
            <w:r>
              <w:rPr>
                <w:rFonts w:ascii="Aptos" w:hAnsi="Aptos"/>
                <w:color w:val="1F2937"/>
                <w:sz w:val="19"/>
              </w:rPr>
              <w:t>Define the earliest necessary action. Eliminate options that are useful later but skip safety, clarification, or assessment.</w:t>
            </w:r>
          </w:p>
        </w:tc>
      </w:tr>
    </w:tbl>
    <w:p/>
    <w:p>
      <w:pPr>
        <w:pStyle w:val="Heading2"/>
        <w:keepNext/>
      </w:pPr>
      <w:r>
        <w:t>Question 7 (LCSW-WB01-Q007)</w:t>
      </w:r>
    </w:p>
    <w:p>
      <w:pPr>
        <w:keepNext/>
      </w:pPr>
      <w:r>
        <w:rPr>
          <w:rFonts w:ascii="Aptos" w:hAnsi="Aptos"/>
          <w:b/>
          <w:color w:val="0E7490"/>
          <w:sz w:val="20"/>
        </w:rPr>
        <w:t>Correct Answer: D</w:t>
      </w:r>
    </w:p>
    <w:p>
      <w:pPr>
        <w:keepNext/>
        <w:keepLines/>
        <w:spacing w:after="60"/>
        <w:ind w:left="216"/>
      </w:pPr>
      <w:r>
        <w:rPr>
          <w:rFonts w:ascii="Aptos" w:hAnsi="Aptos"/>
          <w:b/>
          <w:color w:val="17365D"/>
          <w:sz w:val="19"/>
        </w:rPr>
        <w:t>A. Creating a plan without the youth undermines self-determination and may reduce effectiveness.</w:t>
      </w:r>
      <w:r>
        <w:rPr>
          <w:rFonts w:ascii="Aptos" w:hAnsi="Aptos"/>
          <w:color w:val="1F2937"/>
          <w:sz w:val="19"/>
        </w:rPr>
      </w:r>
    </w:p>
    <w:p>
      <w:pPr>
        <w:keepNext/>
        <w:keepLines/>
        <w:spacing w:after="60"/>
        <w:ind w:left="216"/>
      </w:pPr>
      <w:r>
        <w:rPr>
          <w:rFonts w:ascii="Aptos" w:hAnsi="Aptos"/>
          <w:b/>
          <w:color w:val="17365D"/>
          <w:sz w:val="19"/>
        </w:rPr>
        <w:t>B. Emphasizing requirements without addressing the youth’s experience is likely to deepen mistrust.</w:t>
      </w:r>
      <w:r>
        <w:rPr>
          <w:rFonts w:ascii="Aptos" w:hAnsi="Aptos"/>
          <w:color w:val="1F2937"/>
          <w:sz w:val="19"/>
        </w:rPr>
      </w:r>
    </w:p>
    <w:p>
      <w:pPr>
        <w:keepNext/>
        <w:keepLines/>
        <w:spacing w:after="60"/>
        <w:ind w:left="216"/>
      </w:pPr>
      <w:r>
        <w:rPr>
          <w:rFonts w:ascii="Aptos" w:hAnsi="Aptos"/>
          <w:b/>
          <w:color w:val="17365D"/>
          <w:sz w:val="19"/>
        </w:rPr>
        <w:t>C. Immediate referral repeats the relational pattern and is not supported by the facts.</w:t>
      </w:r>
      <w:r>
        <w:rPr>
          <w:rFonts w:ascii="Aptos" w:hAnsi="Aptos"/>
          <w:color w:val="1F2937"/>
          <w:sz w:val="19"/>
        </w:rPr>
      </w:r>
    </w:p>
    <w:p>
      <w:pPr>
        <w:keepNext w:val="0"/>
        <w:keepLines/>
        <w:spacing w:after="60"/>
        <w:ind w:left="216"/>
      </w:pPr>
      <w:r>
        <w:rPr>
          <w:rFonts w:ascii="Aptos" w:hAnsi="Aptos"/>
          <w:b/>
          <w:color w:val="17365D"/>
          <w:sz w:val="19"/>
        </w:rPr>
        <w:t>D. Acknowledging the pattern and exploring conditions for trust supports engagement and client participation.</w:t>
      </w:r>
      <w:r>
        <w:rPr>
          <w:rFonts w:ascii="Aptos" w:hAnsi="Aptos"/>
          <w:color w:val="1F2937"/>
          <w:sz w:val="19"/>
        </w:rPr>
      </w:r>
    </w:p>
    <w:tbl>
      <w:tblPr>
        <w:tblW w:type="auto" w:w="0"/>
        <w:jc w:val="center"/>
        <w:tblLayout w:type="autofit"/>
        <w:tblLook w:firstColumn="1" w:firstRow="1" w:lastColumn="0" w:lastRow="0" w:noHBand="0" w:noVBand="1" w:val="04A0"/>
      </w:tblPr>
      <w:tblGrid>
        <w:gridCol w:w="10080"/>
      </w:tblGrid>
      <w:tr>
        <w:trPr>
          <w:cantSplit w:val="true"/>
        </w:trPr>
        <w:tc>
          <w:tcPr>
            <w:tcW w:type="dxa" w:w="10080"/>
            <w:shd w:fill="D9EAF7"/>
            <w:tcBorders>
              <w:top w:val="single" w:sz="6" w:color="A7BDC6"/>
              <w:left w:val="single" w:sz="6" w:color="A7BDC6"/>
              <w:bottom w:val="single" w:sz="6" w:color="A7BDC6"/>
              <w:right w:val="single" w:sz="6" w:color="A7BDC6"/>
              <w:insideH w:val="single" w:sz="6" w:color="A7BDC6"/>
              <w:insideV w:val="single" w:sz="6" w:color="A7BDC6"/>
            </w:tcBorders>
          </w:tcPr>
          <w:p>
            <w:r>
              <w:rPr>
                <w:rFonts w:ascii="Aptos" w:hAnsi="Aptos"/>
                <w:b/>
                <w:color w:val="1F4E78"/>
                <w:sz w:val="19"/>
              </w:rPr>
              <w:t xml:space="preserve">EXAM STRATEGY: </w:t>
            </w:r>
            <w:r>
              <w:rPr>
                <w:rFonts w:ascii="Aptos" w:hAnsi="Aptos"/>
                <w:color w:val="1F2937"/>
                <w:sz w:val="19"/>
              </w:rPr>
              <w:t>Define the earliest necessary action. Eliminate options that are useful later but skip safety, clarification, or assessment.</w:t>
            </w:r>
          </w:p>
        </w:tc>
      </w:tr>
    </w:tbl>
    <w:p/>
    <w:p>
      <w:pPr>
        <w:pStyle w:val="Heading2"/>
        <w:keepNext/>
      </w:pPr>
      <w:r>
        <w:t>Question 8 (LCSW-WB01-Q008)</w:t>
      </w:r>
    </w:p>
    <w:p>
      <w:pPr>
        <w:keepNext/>
      </w:pPr>
      <w:r>
        <w:rPr>
          <w:rFonts w:ascii="Aptos" w:hAnsi="Aptos"/>
          <w:b/>
          <w:color w:val="0E7490"/>
          <w:sz w:val="20"/>
        </w:rPr>
        <w:t>Correct Answer: B</w:t>
      </w:r>
    </w:p>
    <w:p>
      <w:pPr>
        <w:keepNext/>
        <w:keepLines/>
        <w:spacing w:after="60"/>
        <w:ind w:left="216"/>
      </w:pPr>
      <w:r>
        <w:rPr>
          <w:rFonts w:ascii="Aptos" w:hAnsi="Aptos"/>
          <w:b/>
          <w:color w:val="17365D"/>
          <w:sz w:val="19"/>
        </w:rPr>
        <w:t>A. The referral concern should be assessed within the broader family and environmental context.</w:t>
      </w:r>
      <w:r>
        <w:rPr>
          <w:rFonts w:ascii="Aptos" w:hAnsi="Aptos"/>
          <w:color w:val="1F2937"/>
          <w:sz w:val="19"/>
        </w:rPr>
      </w:r>
    </w:p>
    <w:p>
      <w:pPr>
        <w:keepNext/>
        <w:keepLines/>
        <w:spacing w:after="60"/>
        <w:ind w:left="216"/>
      </w:pPr>
      <w:r>
        <w:rPr>
          <w:rFonts w:ascii="Aptos" w:hAnsi="Aptos"/>
          <w:b/>
          <w:color w:val="17365D"/>
          <w:sz w:val="19"/>
        </w:rPr>
        <w:t>B. This response uses a person-in-environment lens and identifies both immediate needs and effects on functioning.</w:t>
      </w:r>
      <w:r>
        <w:rPr>
          <w:rFonts w:ascii="Aptos" w:hAnsi="Aptos"/>
          <w:color w:val="1F2937"/>
          <w:sz w:val="19"/>
        </w:rPr>
      </w:r>
    </w:p>
    <w:p>
      <w:pPr>
        <w:keepNext w:val="0"/>
        <w:keepLines/>
        <w:spacing w:after="60"/>
        <w:ind w:left="216"/>
      </w:pPr>
      <w:r>
        <w:rPr>
          <w:rFonts w:ascii="Aptos" w:hAnsi="Aptos"/>
          <w:b/>
          <w:color w:val="17365D"/>
          <w:sz w:val="19"/>
        </w:rPr>
        <w:t>C. Conditioning services on resolution of the crisis is not supportive and ignores the social worker’s role in assessment and coordination.</w:t>
      </w:r>
      <w:r>
        <w:rPr>
          <w:rFonts w:ascii="Aptos" w:hAnsi="Aptos"/>
          <w:color w:val="1F2937"/>
          <w:sz w:val="19"/>
        </w:rPr>
      </w:r>
    </w:p>
    <w:tbl>
      <w:tblPr>
        <w:tblW w:type="auto" w:w="0"/>
        <w:jc w:val="center"/>
        <w:tblLayout w:type="autofit"/>
        <w:tblLook w:firstColumn="1" w:firstRow="1" w:lastColumn="0" w:lastRow="0" w:noHBand="0" w:noVBand="1" w:val="04A0"/>
      </w:tblPr>
      <w:tblGrid>
        <w:gridCol w:w="10080"/>
      </w:tblGrid>
      <w:tr>
        <w:trPr>
          <w:cantSplit w:val="true"/>
        </w:trPr>
        <w:tc>
          <w:tcPr>
            <w:tcW w:type="dxa" w:w="10080"/>
            <w:shd w:fill="D9EAF7"/>
            <w:tcBorders>
              <w:top w:val="single" w:sz="6" w:color="A7BDC6"/>
              <w:left w:val="single" w:sz="6" w:color="A7BDC6"/>
              <w:bottom w:val="single" w:sz="6" w:color="A7BDC6"/>
              <w:right w:val="single" w:sz="6" w:color="A7BDC6"/>
              <w:insideH w:val="single" w:sz="6" w:color="A7BDC6"/>
              <w:insideV w:val="single" w:sz="6" w:color="A7BDC6"/>
            </w:tcBorders>
          </w:tcPr>
          <w:p>
            <w:r>
              <w:rPr>
                <w:rFonts w:ascii="Aptos" w:hAnsi="Aptos"/>
                <w:b/>
                <w:color w:val="1F4E78"/>
                <w:sz w:val="19"/>
              </w:rPr>
              <w:t xml:space="preserve">EXAM STRATEGY: </w:t>
            </w:r>
            <w:r>
              <w:rPr>
                <w:rFonts w:ascii="Aptos" w:hAnsi="Aptos"/>
                <w:color w:val="1F2937"/>
                <w:sz w:val="19"/>
              </w:rPr>
              <w:t>Honor what the vignette says has already occurred, then choose the step that logically advances the process.</w:t>
            </w:r>
          </w:p>
        </w:tc>
      </w:tr>
    </w:tbl>
    <w:p/>
    <w:p>
      <w:pPr>
        <w:pStyle w:val="Heading2"/>
        <w:keepNext/>
      </w:pPr>
      <w:r>
        <w:t>Question 9 (LCSW-WB01-Q009)</w:t>
      </w:r>
    </w:p>
    <w:p>
      <w:pPr>
        <w:keepNext/>
      </w:pPr>
      <w:r>
        <w:rPr>
          <w:rFonts w:ascii="Aptos" w:hAnsi="Aptos"/>
          <w:b/>
          <w:color w:val="0E7490"/>
          <w:sz w:val="20"/>
        </w:rPr>
        <w:t>Correct Answer: C</w:t>
      </w:r>
    </w:p>
    <w:p>
      <w:pPr>
        <w:keepNext/>
        <w:keepLines/>
        <w:spacing w:after="60"/>
        <w:ind w:left="216"/>
      </w:pPr>
      <w:r>
        <w:rPr>
          <w:rFonts w:ascii="Aptos" w:hAnsi="Aptos"/>
          <w:b/>
          <w:color w:val="17365D"/>
          <w:sz w:val="19"/>
        </w:rPr>
        <w:t>A. Former-client discomfort does not justify entering a potentially problematic digital relationship.</w:t>
      </w:r>
      <w:r>
        <w:rPr>
          <w:rFonts w:ascii="Aptos" w:hAnsi="Aptos"/>
          <w:color w:val="1F2937"/>
          <w:sz w:val="19"/>
        </w:rPr>
      </w:r>
    </w:p>
    <w:p>
      <w:pPr>
        <w:keepNext/>
        <w:keepLines/>
        <w:spacing w:after="60"/>
        <w:ind w:left="216"/>
      </w:pPr>
      <w:r>
        <w:rPr>
          <w:rFonts w:ascii="Aptos" w:hAnsi="Aptos"/>
          <w:b/>
          <w:color w:val="17365D"/>
          <w:sz w:val="19"/>
        </w:rPr>
        <w:t>B. Silence avoids clarity and may be confusing.</w:t>
      </w:r>
      <w:r>
        <w:rPr>
          <w:rFonts w:ascii="Aptos" w:hAnsi="Aptos"/>
          <w:color w:val="1F2937"/>
          <w:sz w:val="19"/>
        </w:rPr>
      </w:r>
    </w:p>
    <w:p>
      <w:pPr>
        <w:keepNext/>
        <w:keepLines/>
        <w:spacing w:after="60"/>
        <w:ind w:left="216"/>
      </w:pPr>
      <w:r>
        <w:rPr>
          <w:rFonts w:ascii="Aptos" w:hAnsi="Aptos"/>
          <w:b/>
          <w:color w:val="17365D"/>
          <w:sz w:val="19"/>
        </w:rPr>
        <w:t>C. This response maintains the boundary while communicating respectfully and transparently.</w:t>
      </w:r>
      <w:r>
        <w:rPr>
          <w:rFonts w:ascii="Aptos" w:hAnsi="Aptos"/>
          <w:color w:val="1F2937"/>
          <w:sz w:val="19"/>
        </w:rPr>
      </w:r>
    </w:p>
    <w:p>
      <w:pPr>
        <w:keepNext w:val="0"/>
        <w:keepLines/>
        <w:spacing w:after="60"/>
        <w:ind w:left="216"/>
      </w:pPr>
      <w:r>
        <w:rPr>
          <w:rFonts w:ascii="Aptos" w:hAnsi="Aptos"/>
          <w:b/>
          <w:color w:val="17365D"/>
          <w:sz w:val="19"/>
        </w:rPr>
        <w:t>D. Another client cannot determine the ethical appropriateness of the boundary.</w:t>
      </w:r>
      <w:r>
        <w:rPr>
          <w:rFonts w:ascii="Aptos" w:hAnsi="Aptos"/>
          <w:color w:val="1F2937"/>
          <w:sz w:val="19"/>
        </w:rPr>
      </w:r>
    </w:p>
    <w:tbl>
      <w:tblPr>
        <w:tblW w:type="auto" w:w="0"/>
        <w:jc w:val="center"/>
        <w:tblLayout w:type="autofit"/>
        <w:tblLook w:firstColumn="1" w:firstRow="1" w:lastColumn="0" w:lastRow="0" w:noHBand="0" w:noVBand="1" w:val="04A0"/>
      </w:tblPr>
      <w:tblGrid>
        <w:gridCol w:w="10080"/>
      </w:tblGrid>
      <w:tr>
        <w:trPr>
          <w:cantSplit w:val="true"/>
        </w:trPr>
        <w:tc>
          <w:tcPr>
            <w:tcW w:type="dxa" w:w="10080"/>
            <w:shd w:fill="D9EAF7"/>
            <w:tcBorders>
              <w:top w:val="single" w:sz="6" w:color="A7BDC6"/>
              <w:left w:val="single" w:sz="6" w:color="A7BDC6"/>
              <w:bottom w:val="single" w:sz="6" w:color="A7BDC6"/>
              <w:right w:val="single" w:sz="6" w:color="A7BDC6"/>
              <w:insideH w:val="single" w:sz="6" w:color="A7BDC6"/>
              <w:insideV w:val="single" w:sz="6" w:color="A7BDC6"/>
            </w:tcBorders>
          </w:tcPr>
          <w:p>
            <w:r>
              <w:rPr>
                <w:rFonts w:ascii="Aptos" w:hAnsi="Aptos"/>
                <w:b/>
                <w:color w:val="1F4E78"/>
                <w:sz w:val="19"/>
              </w:rPr>
              <w:t xml:space="preserve">EXAM STRATEGY: </w:t>
            </w:r>
            <w:r>
              <w:rPr>
                <w:rFonts w:ascii="Aptos" w:hAnsi="Aptos"/>
                <w:color w:val="1F2937"/>
                <w:sz w:val="19"/>
              </w:rPr>
              <w:t>Compare fit, proportionality, and support in the facts. Do not select an option merely because it is more intensive or comprehensive.</w:t>
            </w:r>
          </w:p>
        </w:tc>
      </w:tr>
    </w:tbl>
    <w:p/>
    <w:p>
      <w:pPr>
        <w:pStyle w:val="Heading2"/>
        <w:keepNext/>
      </w:pPr>
      <w:r>
        <w:t>Question 10 (LCSW-WB01-Q010)</w:t>
      </w:r>
    </w:p>
    <w:p>
      <w:pPr>
        <w:keepNext/>
      </w:pPr>
      <w:r>
        <w:rPr>
          <w:rFonts w:ascii="Aptos" w:hAnsi="Aptos"/>
          <w:b/>
          <w:color w:val="0E7490"/>
          <w:sz w:val="20"/>
        </w:rPr>
        <w:t>Correct Answer: D</w:t>
      </w:r>
    </w:p>
    <w:p>
      <w:pPr>
        <w:keepNext/>
        <w:keepLines/>
        <w:spacing w:after="60"/>
        <w:ind w:left="216"/>
      </w:pPr>
      <w:r>
        <w:rPr>
          <w:rFonts w:ascii="Aptos" w:hAnsi="Aptos"/>
          <w:b/>
          <w:color w:val="17365D"/>
          <w:sz w:val="19"/>
        </w:rPr>
        <w:t>A. Residential placement should not be imposed without assessment, capacity, preferences, and alternatives.</w:t>
      </w:r>
      <w:r>
        <w:rPr>
          <w:rFonts w:ascii="Aptos" w:hAnsi="Aptos"/>
          <w:color w:val="1F2937"/>
          <w:sz w:val="19"/>
        </w:rPr>
      </w:r>
    </w:p>
    <w:p>
      <w:pPr>
        <w:keepNext/>
        <w:keepLines/>
        <w:spacing w:after="60"/>
        <w:ind w:left="216"/>
      </w:pPr>
      <w:r>
        <w:rPr>
          <w:rFonts w:ascii="Aptos" w:hAnsi="Aptos"/>
          <w:b/>
          <w:color w:val="17365D"/>
          <w:sz w:val="19"/>
        </w:rPr>
        <w:t>B. A handout and delayed follow-up are insufficient for the immediate safety concerns.</w:t>
      </w:r>
      <w:r>
        <w:rPr>
          <w:rFonts w:ascii="Aptos" w:hAnsi="Aptos"/>
          <w:color w:val="1F2937"/>
          <w:sz w:val="19"/>
        </w:rPr>
      </w:r>
    </w:p>
    <w:p>
      <w:pPr>
        <w:keepNext/>
        <w:keepLines/>
        <w:spacing w:after="60"/>
        <w:ind w:left="216"/>
      </w:pPr>
      <w:r>
        <w:rPr>
          <w:rFonts w:ascii="Aptos" w:hAnsi="Aptos"/>
          <w:b/>
          <w:color w:val="17365D"/>
          <w:sz w:val="19"/>
        </w:rPr>
        <w:t>C. The concerns are serious, but this option concludes abuse before completing the focused safety and reporting assessment.</w:t>
      </w:r>
      <w:r>
        <w:rPr>
          <w:rFonts w:ascii="Aptos" w:hAnsi="Aptos"/>
          <w:color w:val="1F2937"/>
          <w:sz w:val="19"/>
        </w:rPr>
      </w:r>
    </w:p>
    <w:p>
      <w:pPr>
        <w:keepNext w:val="0"/>
        <w:keepLines/>
        <w:spacing w:after="60"/>
        <w:ind w:left="216"/>
      </w:pPr>
      <w:r>
        <w:rPr>
          <w:rFonts w:ascii="Aptos" w:hAnsi="Aptos"/>
          <w:b/>
          <w:color w:val="17365D"/>
          <w:sz w:val="19"/>
        </w:rPr>
        <w:t>D. This assesses immediate danger, vulnerable-adult needs, caregiver capacity, resources, and the threshold for protective or emergency action.</w:t>
      </w:r>
      <w:r>
        <w:rPr>
          <w:rFonts w:ascii="Aptos" w:hAnsi="Aptos"/>
          <w:color w:val="1F2937"/>
          <w:sz w:val="19"/>
        </w:rPr>
      </w:r>
    </w:p>
    <w:tbl>
      <w:tblPr>
        <w:tblW w:type="auto" w:w="0"/>
        <w:jc w:val="center"/>
        <w:tblLayout w:type="autofit"/>
        <w:tblLook w:firstColumn="1" w:firstRow="1" w:lastColumn="0" w:lastRow="0" w:noHBand="0" w:noVBand="1" w:val="04A0"/>
      </w:tblPr>
      <w:tblGrid>
        <w:gridCol w:w="10080"/>
      </w:tblGrid>
      <w:tr>
        <w:trPr>
          <w:cantSplit w:val="true"/>
        </w:trPr>
        <w:tc>
          <w:tcPr>
            <w:tcW w:type="dxa" w:w="10080"/>
            <w:shd w:fill="D9EAF7"/>
            <w:tcBorders>
              <w:top w:val="single" w:sz="6" w:color="A7BDC6"/>
              <w:left w:val="single" w:sz="6" w:color="A7BDC6"/>
              <w:bottom w:val="single" w:sz="6" w:color="A7BDC6"/>
              <w:right w:val="single" w:sz="6" w:color="A7BDC6"/>
              <w:insideH w:val="single" w:sz="6" w:color="A7BDC6"/>
              <w:insideV w:val="single" w:sz="6" w:color="A7BDC6"/>
            </w:tcBorders>
          </w:tcPr>
          <w:p>
            <w:r>
              <w:rPr>
                <w:rFonts w:ascii="Aptos" w:hAnsi="Aptos"/>
                <w:b/>
                <w:color w:val="1F4E78"/>
                <w:sz w:val="19"/>
              </w:rPr>
              <w:t xml:space="preserve">EXAM STRATEGY: </w:t>
            </w:r>
            <w:r>
              <w:rPr>
                <w:rFonts w:ascii="Aptos" w:hAnsi="Aptos"/>
                <w:color w:val="1F2937"/>
                <w:sz w:val="19"/>
              </w:rPr>
              <w:t>Define the earliest necessary action. Eliminate options that are useful later but skip safety, clarification, or assessment.</w:t>
            </w:r>
          </w:p>
        </w:tc>
      </w:tr>
    </w:tbl>
    <w:p/>
    <w:p>
      <w:pPr>
        <w:pStyle w:val="Heading1"/>
        <w:keepNext/>
      </w:pPr>
      <w:r>
        <w:t>Score and Study Plan</w:t>
      </w:r>
    </w:p>
    <w:tbl>
      <w:tblPr>
        <w:tblStyle w:val="TableGrid"/>
        <w:tblW w:type="auto" w:w="0"/>
        <w:jc w:val="center"/>
        <w:tblLook w:firstColumn="1" w:firstRow="1" w:lastColumn="0" w:lastRow="0" w:noHBand="0" w:noVBand="1" w:val="04A0"/>
      </w:tblPr>
      <w:tblGrid>
        <w:gridCol w:w="3360"/>
        <w:gridCol w:w="3360"/>
        <w:gridCol w:w="3360"/>
      </w:tblGrid>
      <w:tr>
        <w:trPr>
          <w:tblHeader w:val="true"/>
          <w:cantSplit w:val="true"/>
        </w:trPr>
        <w:tc>
          <w:tcPr>
            <w:tcW w:type="dxa" w:w="1440"/>
            <w:shd w:fill="17365D"/>
            <w:tcBorders>
              <w:top w:val="single" w:sz="6" w:color="B8C4CE"/>
              <w:left w:val="single" w:sz="6" w:color="B8C4CE"/>
              <w:bottom w:val="single" w:sz="6" w:color="B8C4CE"/>
              <w:right w:val="single" w:sz="6" w:color="B8C4CE"/>
              <w:insideH w:val="single" w:sz="6" w:color="B8C4CE"/>
              <w:insideV w:val="single" w:sz="6" w:color="B8C4CE"/>
            </w:tcBorders>
            <w:vAlign w:val="center"/>
            <w:tcMar>
              <w:top w:w="40" w:type="dxa"/>
              <w:bottom w:w="40" w:type="dxa"/>
              <w:left w:w="70" w:type="dxa"/>
              <w:right w:w="70" w:type="dxa"/>
            </w:tcMar>
          </w:tcPr>
          <w:p>
            <w:pPr>
              <w:spacing w:before="0" w:after="0" w:line="240" w:lineRule="auto"/>
              <w:jc w:val="center"/>
            </w:pPr>
            <w:r>
              <w:rPr>
                <w:rFonts w:ascii="Aptos" w:hAnsi="Aptos"/>
                <w:b/>
                <w:color w:val="FFFFFF"/>
                <w:sz w:val="17"/>
              </w:rPr>
              <w:t>Score</w:t>
            </w:r>
          </w:p>
        </w:tc>
        <w:tc>
          <w:tcPr>
            <w:tcW w:type="dxa" w:w="3168"/>
            <w:shd w:fill="17365D"/>
            <w:tcBorders>
              <w:top w:val="single" w:sz="6" w:color="B8C4CE"/>
              <w:left w:val="single" w:sz="6" w:color="B8C4CE"/>
              <w:bottom w:val="single" w:sz="6" w:color="B8C4CE"/>
              <w:right w:val="single" w:sz="6" w:color="B8C4CE"/>
              <w:insideH w:val="single" w:sz="6" w:color="B8C4CE"/>
              <w:insideV w:val="single" w:sz="6" w:color="B8C4CE"/>
            </w:tcBorders>
            <w:vAlign w:val="center"/>
            <w:tcMar>
              <w:top w:w="40" w:type="dxa"/>
              <w:bottom w:w="40" w:type="dxa"/>
              <w:left w:w="70" w:type="dxa"/>
              <w:right w:w="70" w:type="dxa"/>
            </w:tcMar>
          </w:tcPr>
          <w:p>
            <w:pPr>
              <w:spacing w:before="0" w:after="0" w:line="240" w:lineRule="auto"/>
              <w:jc w:val="center"/>
            </w:pPr>
            <w:r>
              <w:rPr>
                <w:rFonts w:ascii="Aptos" w:hAnsi="Aptos"/>
                <w:b/>
                <w:color w:val="FFFFFF"/>
                <w:sz w:val="17"/>
              </w:rPr>
              <w:t>Interpretation</w:t>
            </w:r>
          </w:p>
        </w:tc>
        <w:tc>
          <w:tcPr>
            <w:tcW w:type="dxa" w:w="5184"/>
            <w:shd w:fill="17365D"/>
            <w:tcBorders>
              <w:top w:val="single" w:sz="6" w:color="B8C4CE"/>
              <w:left w:val="single" w:sz="6" w:color="B8C4CE"/>
              <w:bottom w:val="single" w:sz="6" w:color="B8C4CE"/>
              <w:right w:val="single" w:sz="6" w:color="B8C4CE"/>
              <w:insideH w:val="single" w:sz="6" w:color="B8C4CE"/>
              <w:insideV w:val="single" w:sz="6" w:color="B8C4CE"/>
            </w:tcBorders>
            <w:vAlign w:val="center"/>
            <w:tcMar>
              <w:top w:w="40" w:type="dxa"/>
              <w:bottom w:w="40" w:type="dxa"/>
              <w:left w:w="70" w:type="dxa"/>
              <w:right w:w="70" w:type="dxa"/>
            </w:tcMar>
          </w:tcPr>
          <w:p>
            <w:pPr>
              <w:spacing w:before="0" w:after="0" w:line="240" w:lineRule="auto"/>
              <w:jc w:val="center"/>
            </w:pPr>
            <w:r>
              <w:rPr>
                <w:rFonts w:ascii="Aptos" w:hAnsi="Aptos"/>
                <w:b/>
                <w:color w:val="FFFFFF"/>
                <w:sz w:val="17"/>
              </w:rPr>
              <w:t>Next Step</w:t>
            </w:r>
          </w:p>
        </w:tc>
      </w:tr>
      <w:tr>
        <w:trPr>
          <w:cantSplit w:val="true"/>
        </w:trPr>
        <w:tc>
          <w:tcPr>
            <w:tcW w:type="dxa" w:w="1440"/>
            <w:tcBorders>
              <w:top w:val="single" w:sz="6" w:color="B8C4CE"/>
              <w:left w:val="single" w:sz="6" w:color="B8C4CE"/>
              <w:bottom w:val="single" w:sz="6" w:color="B8C4CE"/>
              <w:right w:val="single" w:sz="6" w:color="B8C4CE"/>
              <w:insideH w:val="single" w:sz="6" w:color="B8C4CE"/>
              <w:insideV w:val="single" w:sz="6" w:color="B8C4CE"/>
            </w:tcBorders>
            <w:vAlign w:val="center"/>
            <w:tcMar>
              <w:top w:w="40" w:type="dxa"/>
              <w:bottom w:w="40" w:type="dxa"/>
              <w:left w:w="70" w:type="dxa"/>
              <w:right w:w="70" w:type="dxa"/>
            </w:tcMar>
          </w:tcPr>
          <w:p>
            <w:pPr>
              <w:spacing w:before="0" w:after="0" w:line="240" w:lineRule="auto"/>
            </w:pPr>
            <w:r>
              <w:rPr>
                <w:rFonts w:ascii="Aptos" w:hAnsi="Aptos"/>
                <w:b/>
                <w:color w:val="1F2937"/>
                <w:sz w:val="17"/>
              </w:rPr>
              <w:t>9–10</w:t>
            </w:r>
          </w:p>
        </w:tc>
        <w:tc>
          <w:tcPr>
            <w:tcW w:type="dxa" w:w="3168"/>
            <w:tcBorders>
              <w:top w:val="single" w:sz="6" w:color="B8C4CE"/>
              <w:left w:val="single" w:sz="6" w:color="B8C4CE"/>
              <w:bottom w:val="single" w:sz="6" w:color="B8C4CE"/>
              <w:right w:val="single" w:sz="6" w:color="B8C4CE"/>
              <w:insideH w:val="single" w:sz="6" w:color="B8C4CE"/>
              <w:insideV w:val="single" w:sz="6" w:color="B8C4CE"/>
            </w:tcBorders>
            <w:vAlign w:val="center"/>
            <w:tcMar>
              <w:top w:w="40" w:type="dxa"/>
              <w:bottom w:w="40" w:type="dxa"/>
              <w:left w:w="70" w:type="dxa"/>
              <w:right w:w="70" w:type="dxa"/>
            </w:tcMar>
          </w:tcPr>
          <w:p>
            <w:pPr>
              <w:spacing w:before="0" w:after="0" w:line="240" w:lineRule="auto"/>
            </w:pPr>
            <w:r>
              <w:rPr>
                <w:rFonts w:ascii="Aptos" w:hAnsi="Aptos"/>
                <w:b w:val="0"/>
                <w:color w:val="1F2937"/>
                <w:sz w:val="17"/>
              </w:rPr>
              <w:t>Strong foundation</w:t>
            </w:r>
          </w:p>
        </w:tc>
        <w:tc>
          <w:tcPr>
            <w:tcW w:type="dxa" w:w="5184"/>
            <w:tcBorders>
              <w:top w:val="single" w:sz="6" w:color="B8C4CE"/>
              <w:left w:val="single" w:sz="6" w:color="B8C4CE"/>
              <w:bottom w:val="single" w:sz="6" w:color="B8C4CE"/>
              <w:right w:val="single" w:sz="6" w:color="B8C4CE"/>
              <w:insideH w:val="single" w:sz="6" w:color="B8C4CE"/>
              <w:insideV w:val="single" w:sz="6" w:color="B8C4CE"/>
            </w:tcBorders>
            <w:vAlign w:val="center"/>
            <w:tcMar>
              <w:top w:w="40" w:type="dxa"/>
              <w:bottom w:w="40" w:type="dxa"/>
              <w:left w:w="70" w:type="dxa"/>
              <w:right w:w="70" w:type="dxa"/>
            </w:tcMar>
          </w:tcPr>
          <w:p>
            <w:pPr>
              <w:spacing w:before="0" w:after="0" w:line="240" w:lineRule="auto"/>
            </w:pPr>
            <w:r>
              <w:rPr>
                <w:rFonts w:ascii="Aptos" w:hAnsi="Aptos"/>
                <w:b w:val="0"/>
                <w:color w:val="1F2937"/>
                <w:sz w:val="17"/>
              </w:rPr>
              <w:t>Continue to Workbook 2 and review any low-confidence item.</w:t>
            </w:r>
          </w:p>
        </w:tc>
      </w:tr>
      <w:tr>
        <w:trPr>
          <w:cantSplit w:val="true"/>
        </w:trPr>
        <w:tc>
          <w:tcPr>
            <w:tcW w:type="dxa" w:w="1440"/>
            <w:tcBorders>
              <w:top w:val="single" w:sz="6" w:color="B8C4CE"/>
              <w:left w:val="single" w:sz="6" w:color="B8C4CE"/>
              <w:bottom w:val="single" w:sz="6" w:color="B8C4CE"/>
              <w:right w:val="single" w:sz="6" w:color="B8C4CE"/>
              <w:insideH w:val="single" w:sz="6" w:color="B8C4CE"/>
              <w:insideV w:val="single" w:sz="6" w:color="B8C4CE"/>
            </w:tcBorders>
            <w:shd w:fill="F3F4F6"/>
            <w:vAlign w:val="center"/>
            <w:tcMar>
              <w:top w:w="40" w:type="dxa"/>
              <w:bottom w:w="40" w:type="dxa"/>
              <w:left w:w="70" w:type="dxa"/>
              <w:right w:w="70" w:type="dxa"/>
            </w:tcMar>
          </w:tcPr>
          <w:p>
            <w:pPr>
              <w:spacing w:before="0" w:after="0" w:line="240" w:lineRule="auto"/>
            </w:pPr>
            <w:r>
              <w:rPr>
                <w:rFonts w:ascii="Aptos" w:hAnsi="Aptos"/>
                <w:b/>
                <w:color w:val="1F2937"/>
                <w:sz w:val="17"/>
              </w:rPr>
              <w:t>7–8</w:t>
            </w:r>
          </w:p>
        </w:tc>
        <w:tc>
          <w:tcPr>
            <w:tcW w:type="dxa" w:w="3168"/>
            <w:tcBorders>
              <w:top w:val="single" w:sz="6" w:color="B8C4CE"/>
              <w:left w:val="single" w:sz="6" w:color="B8C4CE"/>
              <w:bottom w:val="single" w:sz="6" w:color="B8C4CE"/>
              <w:right w:val="single" w:sz="6" w:color="B8C4CE"/>
              <w:insideH w:val="single" w:sz="6" w:color="B8C4CE"/>
              <w:insideV w:val="single" w:sz="6" w:color="B8C4CE"/>
            </w:tcBorders>
            <w:shd w:fill="F3F4F6"/>
            <w:vAlign w:val="center"/>
            <w:tcMar>
              <w:top w:w="40" w:type="dxa"/>
              <w:bottom w:w="40" w:type="dxa"/>
              <w:left w:w="70" w:type="dxa"/>
              <w:right w:w="70" w:type="dxa"/>
            </w:tcMar>
          </w:tcPr>
          <w:p>
            <w:pPr>
              <w:spacing w:before="0" w:after="0" w:line="240" w:lineRule="auto"/>
            </w:pPr>
            <w:r>
              <w:rPr>
                <w:rFonts w:ascii="Aptos" w:hAnsi="Aptos"/>
                <w:b w:val="0"/>
                <w:color w:val="1F2937"/>
                <w:sz w:val="17"/>
              </w:rPr>
              <w:t>Developing mastery</w:t>
            </w:r>
          </w:p>
        </w:tc>
        <w:tc>
          <w:tcPr>
            <w:tcW w:type="dxa" w:w="5184"/>
            <w:tcBorders>
              <w:top w:val="single" w:sz="6" w:color="B8C4CE"/>
              <w:left w:val="single" w:sz="6" w:color="B8C4CE"/>
              <w:bottom w:val="single" w:sz="6" w:color="B8C4CE"/>
              <w:right w:val="single" w:sz="6" w:color="B8C4CE"/>
              <w:insideH w:val="single" w:sz="6" w:color="B8C4CE"/>
              <w:insideV w:val="single" w:sz="6" w:color="B8C4CE"/>
            </w:tcBorders>
            <w:shd w:fill="F3F4F6"/>
            <w:vAlign w:val="center"/>
            <w:tcMar>
              <w:top w:w="40" w:type="dxa"/>
              <w:bottom w:w="40" w:type="dxa"/>
              <w:left w:w="70" w:type="dxa"/>
              <w:right w:w="70" w:type="dxa"/>
            </w:tcMar>
          </w:tcPr>
          <w:p>
            <w:pPr>
              <w:spacing w:before="0" w:after="0" w:line="240" w:lineRule="auto"/>
            </w:pPr>
            <w:r>
              <w:rPr>
                <w:rFonts w:ascii="Aptos" w:hAnsi="Aptos"/>
                <w:b w:val="0"/>
                <w:color w:val="1F2937"/>
                <w:sz w:val="17"/>
              </w:rPr>
              <w:t>Review qualifiers, self-determination, and assessment-before-referral traps.</w:t>
            </w:r>
          </w:p>
        </w:tc>
      </w:tr>
      <w:tr>
        <w:trPr>
          <w:cantSplit w:val="true"/>
        </w:trPr>
        <w:tc>
          <w:tcPr>
            <w:tcW w:type="dxa" w:w="1440"/>
            <w:tcBorders>
              <w:top w:val="single" w:sz="6" w:color="B8C4CE"/>
              <w:left w:val="single" w:sz="6" w:color="B8C4CE"/>
              <w:bottom w:val="single" w:sz="6" w:color="B8C4CE"/>
              <w:right w:val="single" w:sz="6" w:color="B8C4CE"/>
              <w:insideH w:val="single" w:sz="6" w:color="B8C4CE"/>
              <w:insideV w:val="single" w:sz="6" w:color="B8C4CE"/>
            </w:tcBorders>
            <w:vAlign w:val="center"/>
            <w:tcMar>
              <w:top w:w="40" w:type="dxa"/>
              <w:bottom w:w="40" w:type="dxa"/>
              <w:left w:w="70" w:type="dxa"/>
              <w:right w:w="70" w:type="dxa"/>
            </w:tcMar>
          </w:tcPr>
          <w:p>
            <w:pPr>
              <w:spacing w:before="0" w:after="0" w:line="240" w:lineRule="auto"/>
            </w:pPr>
            <w:r>
              <w:rPr>
                <w:rFonts w:ascii="Aptos" w:hAnsi="Aptos"/>
                <w:b/>
                <w:color w:val="1F2937"/>
                <w:sz w:val="17"/>
              </w:rPr>
              <w:t>5–6</w:t>
            </w:r>
          </w:p>
        </w:tc>
        <w:tc>
          <w:tcPr>
            <w:tcW w:type="dxa" w:w="3168"/>
            <w:tcBorders>
              <w:top w:val="single" w:sz="6" w:color="B8C4CE"/>
              <w:left w:val="single" w:sz="6" w:color="B8C4CE"/>
              <w:bottom w:val="single" w:sz="6" w:color="B8C4CE"/>
              <w:right w:val="single" w:sz="6" w:color="B8C4CE"/>
              <w:insideH w:val="single" w:sz="6" w:color="B8C4CE"/>
              <w:insideV w:val="single" w:sz="6" w:color="B8C4CE"/>
            </w:tcBorders>
            <w:vAlign w:val="center"/>
            <w:tcMar>
              <w:top w:w="40" w:type="dxa"/>
              <w:bottom w:w="40" w:type="dxa"/>
              <w:left w:w="70" w:type="dxa"/>
              <w:right w:w="70" w:type="dxa"/>
            </w:tcMar>
          </w:tcPr>
          <w:p>
            <w:pPr>
              <w:spacing w:before="0" w:after="0" w:line="240" w:lineRule="auto"/>
            </w:pPr>
            <w:r>
              <w:rPr>
                <w:rFonts w:ascii="Aptos" w:hAnsi="Aptos"/>
                <w:b w:val="0"/>
                <w:color w:val="1F2937"/>
                <w:sz w:val="17"/>
              </w:rPr>
              <w:t>Needs reinforcement</w:t>
            </w:r>
          </w:p>
        </w:tc>
        <w:tc>
          <w:tcPr>
            <w:tcW w:type="dxa" w:w="5184"/>
            <w:tcBorders>
              <w:top w:val="single" w:sz="6" w:color="B8C4CE"/>
              <w:left w:val="single" w:sz="6" w:color="B8C4CE"/>
              <w:bottom w:val="single" w:sz="6" w:color="B8C4CE"/>
              <w:right w:val="single" w:sz="6" w:color="B8C4CE"/>
              <w:insideH w:val="single" w:sz="6" w:color="B8C4CE"/>
              <w:insideV w:val="single" w:sz="6" w:color="B8C4CE"/>
            </w:tcBorders>
            <w:vAlign w:val="center"/>
            <w:tcMar>
              <w:top w:w="40" w:type="dxa"/>
              <w:bottom w:w="40" w:type="dxa"/>
              <w:left w:w="70" w:type="dxa"/>
              <w:right w:w="70" w:type="dxa"/>
            </w:tcMar>
          </w:tcPr>
          <w:p>
            <w:pPr>
              <w:spacing w:before="0" w:after="0" w:line="240" w:lineRule="auto"/>
            </w:pPr>
            <w:r>
              <w:rPr>
                <w:rFonts w:ascii="Aptos" w:hAnsi="Aptos"/>
                <w:b w:val="0"/>
                <w:color w:val="1F2937"/>
                <w:sz w:val="17"/>
              </w:rPr>
              <w:t>Repeat the three-pass method and explain the person-in-environment factors in each missed item.</w:t>
            </w:r>
          </w:p>
        </w:tc>
      </w:tr>
      <w:tr>
        <w:trPr>
          <w:cantSplit w:val="true"/>
        </w:trPr>
        <w:tc>
          <w:tcPr>
            <w:tcW w:type="dxa" w:w="1440"/>
            <w:tcBorders>
              <w:top w:val="single" w:sz="6" w:color="B8C4CE"/>
              <w:left w:val="single" w:sz="6" w:color="B8C4CE"/>
              <w:bottom w:val="single" w:sz="6" w:color="B8C4CE"/>
              <w:right w:val="single" w:sz="6" w:color="B8C4CE"/>
              <w:insideH w:val="single" w:sz="6" w:color="B8C4CE"/>
              <w:insideV w:val="single" w:sz="6" w:color="B8C4CE"/>
            </w:tcBorders>
            <w:shd w:fill="F3F4F6"/>
            <w:vAlign w:val="center"/>
            <w:tcMar>
              <w:top w:w="40" w:type="dxa"/>
              <w:bottom w:w="40" w:type="dxa"/>
              <w:left w:w="70" w:type="dxa"/>
              <w:right w:w="70" w:type="dxa"/>
            </w:tcMar>
          </w:tcPr>
          <w:p>
            <w:pPr>
              <w:spacing w:before="0" w:after="0" w:line="240" w:lineRule="auto"/>
            </w:pPr>
            <w:r>
              <w:rPr>
                <w:rFonts w:ascii="Aptos" w:hAnsi="Aptos"/>
                <w:b/>
                <w:color w:val="1F2937"/>
                <w:sz w:val="17"/>
              </w:rPr>
              <w:t>0–4</w:t>
            </w:r>
          </w:p>
        </w:tc>
        <w:tc>
          <w:tcPr>
            <w:tcW w:type="dxa" w:w="3168"/>
            <w:tcBorders>
              <w:top w:val="single" w:sz="6" w:color="B8C4CE"/>
              <w:left w:val="single" w:sz="6" w:color="B8C4CE"/>
              <w:bottom w:val="single" w:sz="6" w:color="B8C4CE"/>
              <w:right w:val="single" w:sz="6" w:color="B8C4CE"/>
              <w:insideH w:val="single" w:sz="6" w:color="B8C4CE"/>
              <w:insideV w:val="single" w:sz="6" w:color="B8C4CE"/>
            </w:tcBorders>
            <w:shd w:fill="F3F4F6"/>
            <w:vAlign w:val="center"/>
            <w:tcMar>
              <w:top w:w="40" w:type="dxa"/>
              <w:bottom w:w="40" w:type="dxa"/>
              <w:left w:w="70" w:type="dxa"/>
              <w:right w:w="70" w:type="dxa"/>
            </w:tcMar>
          </w:tcPr>
          <w:p>
            <w:pPr>
              <w:spacing w:before="0" w:after="0" w:line="240" w:lineRule="auto"/>
            </w:pPr>
            <w:r>
              <w:rPr>
                <w:rFonts w:ascii="Aptos" w:hAnsi="Aptos"/>
                <w:b w:val="0"/>
                <w:color w:val="1F2937"/>
                <w:sz w:val="17"/>
              </w:rPr>
              <w:t>Rebuild the foundation</w:t>
            </w:r>
          </w:p>
        </w:tc>
        <w:tc>
          <w:tcPr>
            <w:tcW w:type="dxa" w:w="5184"/>
            <w:tcBorders>
              <w:top w:val="single" w:sz="6" w:color="B8C4CE"/>
              <w:left w:val="single" w:sz="6" w:color="B8C4CE"/>
              <w:bottom w:val="single" w:sz="6" w:color="B8C4CE"/>
              <w:right w:val="single" w:sz="6" w:color="B8C4CE"/>
              <w:insideH w:val="single" w:sz="6" w:color="B8C4CE"/>
              <w:insideV w:val="single" w:sz="6" w:color="B8C4CE"/>
            </w:tcBorders>
            <w:shd w:fill="F3F4F6"/>
            <w:vAlign w:val="center"/>
            <w:tcMar>
              <w:top w:w="40" w:type="dxa"/>
              <w:bottom w:w="40" w:type="dxa"/>
              <w:left w:w="70" w:type="dxa"/>
              <w:right w:w="70" w:type="dxa"/>
            </w:tcMar>
          </w:tcPr>
          <w:p>
            <w:pPr>
              <w:spacing w:before="0" w:after="0" w:line="240" w:lineRule="auto"/>
            </w:pPr>
            <w:r>
              <w:rPr>
                <w:rFonts w:ascii="Aptos" w:hAnsi="Aptos"/>
                <w:b w:val="0"/>
                <w:color w:val="1F2937"/>
                <w:sz w:val="17"/>
              </w:rPr>
              <w:t>Reread the chapter and practice identifying the exact task before viewing the options.</w:t>
            </w:r>
          </w:p>
        </w:tc>
      </w:tr>
    </w:tbl>
    <w:p/>
    <w:p>
      <w:pPr>
        <w:pStyle w:val="Heading1"/>
        <w:keepNext/>
      </w:pPr>
      <w:r>
        <w:t>Sources and Currency Note</w:t>
      </w:r>
    </w:p>
    <w:p>
      <w:pPr>
        <w:pStyle w:val="ListBullet"/>
        <w:spacing w:after="60"/>
      </w:pPr>
      <w:r>
        <w:t>Association of Social Work Boards. ASWB Examination Guidebook: 2026 Blueprints for Exams Taken on or After August 3, 2026 (May 2026).</w:t>
      </w:r>
    </w:p>
    <w:p>
      <w:pPr>
        <w:pStyle w:val="ListBullet"/>
        <w:spacing w:after="60"/>
      </w:pPr>
      <w:r>
        <w:t>Association of Social Work Boards. 2026 Changes to the Social Work Licensing Exams (accessed July 23, 2026).</w:t>
      </w:r>
    </w:p>
    <w:p>
      <w:pPr>
        <w:pStyle w:val="ListBullet"/>
        <w:spacing w:after="60"/>
      </w:pPr>
      <w:r>
        <w:t>California Board of Behavioral Sciences. Handbook for Future Licensed Clinical Social Workers (California licensure orientation).</w:t>
      </w:r>
    </w:p>
    <w:p>
      <w:pPr>
        <w:spacing w:before="120"/>
      </w:pPr>
      <w:r>
        <w:rPr>
          <w:i/>
          <w:color w:val="6B7280"/>
          <w:sz w:val="18"/>
        </w:rPr>
        <w:t>ASWB examination structure and content information were checked against official sources on July 23, 2026. The testing date determines the applicable exam blueprint; verify current ASWB and jurisdictional information before registering or testing.</w:t>
      </w:r>
    </w:p>
    <w:sectPr w:rsidR="00FC693F" w:rsidRPr="0006063C" w:rsidSect="00034616">
      <w:headerReference w:type="first" r:id="rId10"/>
      <w:footerReference w:type="first" r:id="rId11"/>
      <w:headerReference w:type="default" r:id="rId12"/>
      <w:footerReference w:type="default" r:id="rId13"/>
      <w:headerReference w:type="even" r:id="rId14"/>
      <w:footerReference w:type="even" r:id="rId15"/>
      <w:pgSz w:w="12240" w:h="15840"/>
      <w:pgMar w:top="936" w:right="1080" w:bottom="936" w:left="1080" w:header="360" w:footer="432"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tbl>
    <w:tblPr>
      <w:tblW w:type="auto" w:w="0"/>
      <w:jc w:val="center"/>
      <w:tblLook w:firstColumn="1" w:firstRow="1" w:lastColumn="0" w:lastRow="0" w:noHBand="0" w:noVBand="1" w:val="04A0"/>
    </w:tblPr>
    <w:tblGrid>
      <w:gridCol w:w="5040"/>
      <w:gridCol w:w="5040"/>
    </w:tblGrid>
    <w:tr>
      <w:tc>
        <w:tcPr>
          <w:tcW w:type="dxa" w:w="5040"/>
        </w:tcPr>
        <w:p>
          <w:r>
            <w:rPr>
              <w:rFonts w:ascii="Aptos" w:hAnsi="Aptos"/>
              <w:color w:val="6B7280"/>
              <w:sz w:val="16"/>
            </w:rPr>
            <w:t>Clinical Training Academy - Student Workbook v1.0</w:t>
          </w:r>
        </w:p>
      </w:tc>
      <w:tc>
        <w:tcPr>
          <w:tcW w:type="dxa" w:w="5040"/>
        </w:tcPr>
        <w:p>
          <w:pPr>
            <w:jc w:val="right"/>
          </w:pPr>
          <w:r>
            <w:rPr>
              <w:rFonts w:ascii="Aptos" w:hAnsi="Aptos"/>
              <w:color w:val="6B7280"/>
              <w:sz w:val="16"/>
            </w:rPr>
            <w:t xml:space="preserve">Page </w:t>
            <w:fldChar w:fldCharType="begin"/>
            <w:instrText xml:space="preserve">PAGE</w:instrText>
            <w:fldChar w:fldCharType="end"/>
          </w:r>
        </w:p>
      </w:tc>
    </w:tr>
  </w:tbl>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t xml:space="preserve">   CTA LCSW Workbook 1 - ASWB Exam Strategy and Applied Reasoning</w:t>
    </w:r>
    <w:r>
      <w:rPr>
        <w:rFonts w:ascii="Aptos" w:hAnsi="Aptos"/>
        <w:b/>
        <w:color w:val="6B7280"/>
        <w:sz w:val="16"/>
      </w:rPr>
    </w: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Aptos" w:hAnsi="Aptos"/>
      <w:color w:val="1F2937"/>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00"/>
      <w:outlineLvl w:val="0"/>
    </w:pPr>
    <w:rPr>
      <w:rFonts w:asciiTheme="majorHAnsi" w:eastAsiaTheme="majorEastAsia" w:hAnsiTheme="majorHAnsi" w:cstheme="majorBidi" w:ascii="Aptos Display" w:hAnsi="Aptos Display"/>
      <w:b/>
      <w:bCs/>
      <w:color w:val="17365D"/>
      <w:sz w:val="32"/>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Aptos" w:hAnsi="Aptos"/>
      <w:b/>
      <w:bCs/>
      <w:color w:val="1F4E78"/>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Aptos" w:hAnsi="Aptos"/>
      <w:b/>
      <w:bCs/>
      <w:color w:val="0E7490"/>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00" w:line="240" w:lineRule="auto" w:before="200"/>
      <w:contextualSpacing/>
    </w:pPr>
    <w:rPr>
      <w:rFonts w:asciiTheme="majorHAnsi" w:eastAsiaTheme="majorEastAsia" w:hAnsiTheme="majorHAnsi" w:cstheme="majorBidi" w:ascii="Aptos Display" w:hAnsi="Aptos Display"/>
      <w:b/>
      <w:color w:val="17365D"/>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TASmallCaps">
    <w:name w:val="CTA Small Caps"/>
    <w:pPr>
      <w:spacing w:after="40"/>
    </w:pPr>
    <w:rPr>
      <w:rFonts w:ascii="Aptos" w:hAnsi="Aptos"/>
      <w:b/>
      <w:color w:val="0E7490"/>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header" Target="header1.xml"/><Relationship Id="rId11" Type="http://schemas.openxmlformats.org/officeDocument/2006/relationships/footer" Target="footer1.xml"/><Relationship Id="rId12" Type="http://schemas.openxmlformats.org/officeDocument/2006/relationships/header" Target="header2.xml"/><Relationship Id="rId13" Type="http://schemas.openxmlformats.org/officeDocument/2006/relationships/footer" Target="footer2.xml"/><Relationship Id="rId14" Type="http://schemas.openxmlformats.org/officeDocument/2006/relationships/header" Target="header3.xml"/><Relationship Id="rId15" Type="http://schemas.openxmlformats.org/officeDocument/2006/relationships/footer" Target="footer3.xml"/></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CTA LCSW Workbook 1: ASWB Exam Strategy and Applied Reasoning</dc:title>
  <dc:subject>ASWB Clinical Examination preparation and applied social work reasoning.</dc:subject>
  <dc:creator>Clinical Training Academy</dc:creator>
  <cp:keywords>Clinical Training Academy, exam preparation, clinical reasoning</cp:keywords>
  <dc:description>Student-facing exam preparation workbook, version 1.0.</dc:description>
  <cp:lastModifiedBy>Clinical Training Academy</cp:lastModifiedBy>
  <cp:revision>1</cp:revision>
  <dcterms:created xsi:type="dcterms:W3CDTF">2013-12-23T23:15:00Z</dcterms:created>
  <dcterms:modified xsi:type="dcterms:W3CDTF">2013-12-23T23:15:00Z</dcterms:modified>
  <cp:category>Student Workbook</cp:category>
</cp:coreProperties>
</file>