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828800" cy="1321942"/>
            <wp:docPr id="1" name="Picture 1" descr="Clinical Training Academy logo" title="Clinical Training Academy logo"/>
            <wp:cNvGraphicFramePr>
              <a:graphicFrameLocks noChangeAspect="1"/>
            </wp:cNvGraphicFramePr>
            <a:graphic>
              <a:graphicData uri="http://schemas.openxmlformats.org/drawingml/2006/picture">
                <pic:pic>
                  <pic:nvPicPr>
                    <pic:cNvPr id="0" name="CTA_Stacked_Logo(3).png"/>
                    <pic:cNvPicPr/>
                  </pic:nvPicPr>
                  <pic:blipFill>
                    <a:blip r:embed="rId9"/>
                    <a:stretch>
                      <a:fillRect/>
                    </a:stretch>
                  </pic:blipFill>
                  <pic:spPr>
                    <a:xfrm>
                      <a:off x="0" y="0"/>
                      <a:ext cx="1828800" cy="1321942"/>
                    </a:xfrm>
                    <a:prstGeom prst="rect"/>
                  </pic:spPr>
                </pic:pic>
              </a:graphicData>
            </a:graphic>
          </wp:inline>
        </w:drawing>
      </w:r>
    </w:p>
    <w:p>
      <w:pPr>
        <w:jc w:val="center"/>
      </w:pPr>
      <w:r>
        <w:t>LCSW ASWB CLINICAL EXAM PREPARATION PROGRAM</w:t>
      </w:r>
    </w:p>
    <w:p>
      <w:pPr>
        <w:jc w:val="center"/>
      </w:pPr>
      <w:r>
        <w:t>Student Workbook</w:t>
      </w:r>
    </w:p>
    <w:p>
      <w:pPr>
        <w:pStyle w:val="Title"/>
        <w:jc w:val="center"/>
      </w:pPr>
      <w:r>
        <w:t>CTA LCSW Workbook 3: Human Development, Diversity, and Person-in-Environment</w:t>
      </w:r>
    </w:p>
    <w:p>
      <w:pPr>
        <w:jc w:val="center"/>
      </w:pPr>
      <w:r>
        <w:rPr>
          <w:rFonts w:ascii="Aptos" w:hAnsi="Aptos"/>
          <w:i/>
          <w:color w:val="4B5563"/>
          <w:sz w:val="24"/>
        </w:rPr>
        <w:t>How to integrate development, identity, social conditions, access, resources, and client choice</w:t>
      </w:r>
    </w:p>
    <w:p/>
    <w:p>
      <w:pPr>
        <w:jc w:val="center"/>
      </w:pPr>
      <w:r>
        <w:t>Version 1.0 - July 2026</w:t>
      </w:r>
    </w:p>
    <w:p/>
    <w:tbl>
      <w:tblPr>
        <w:tblW w:type="auto" w:w="0"/>
        <w:jc w:val="center"/>
        <w:tblLayout w:type="fixed"/>
        <w:tblLook w:firstColumn="1" w:firstRow="1" w:lastColumn="0" w:lastRow="0" w:noHBand="0" w:noVBand="1" w:val="04A0"/>
      </w:tblPr>
      <w:tblGrid>
        <w:gridCol w:w="8352"/>
      </w:tblGrid>
      <w:tr>
        <w:trPr>
          <w:cantSplit w:val="true"/>
        </w:trPr>
        <w:tc>
          <w:tcPr>
            <w:tcW w:type="dxa" w:w="8640"/>
            <w:shd w:fill="FFF7E6" w:val="clear"/>
            <w:tcBorders>
              <w:top w:val="single" w:sz="6" w:color="9EBAD0"/>
              <w:left w:val="single" w:sz="6" w:color="9EBAD0"/>
              <w:bottom w:val="single" w:sz="6" w:color="9EBAD0"/>
              <w:right w:val="single" w:sz="6" w:color="9EBAD0"/>
              <w:insideH w:val="single" w:sz="6" w:color="9EBAD0"/>
              <w:insideV w:val="single" w:sz="6" w:color="9EBAD0"/>
            </w:tcBorders>
            <w:vAlign w:val="center"/>
          </w:tcPr>
          <w:p>
            <w:pPr>
              <w:spacing w:before="100" w:after="100"/>
              <w:jc w:val="left"/>
            </w:pPr>
            <w:r>
              <w:rPr>
                <w:rFonts w:ascii="Aptos" w:hAnsi="Aptos"/>
                <w:b/>
                <w:color w:val="17365D"/>
                <w:sz w:val="19"/>
              </w:rPr>
              <w:t>STUDENT-FACING EXAM PREPARATION MATERIAL</w:t>
            </w:r>
            <w:r>
              <w:rPr>
                <w:rFonts w:ascii="Aptos" w:hAnsi="Aptos"/>
                <w:color w:val="1F2937"/>
                <w:sz w:val="18"/>
              </w:rPr>
              <w:br/>
              <w:t>All practice questions are original CTA items and are not actual licensing-examination questions.</w:t>
            </w:r>
          </w:p>
        </w:tc>
      </w:tr>
    </w:tbl>
    <w:p/>
    <w:p>
      <w:pPr>
        <w:jc w:val="center"/>
      </w:pPr>
      <w:r>
        <w:t>Clinical Training Academy</w:t>
      </w:r>
    </w:p>
    <w:p>
      <w:r>
        <w:br w:type="page"/>
      </w:r>
    </w:p>
    <w:p>
      <w:pPr>
        <w:pStyle w:val="Heading1"/>
      </w:pPr>
      <w:r>
        <w:t>How to Use This Workbook</w:t>
      </w:r>
    </w:p>
    <w:p>
      <w:r>
        <w:t>Use this workbook to assess human development within family, community, institutional, socioeconomic, and environmental contexts. Study the person-in-environment reasoning sequence, complete the context map, answer all 10 questions before viewing the key, and use the rationales to identify whether an error involved individualizing a structural problem, overlooking access or power, bypassing client choice, or referring before assessment.</w:t>
      </w:r>
    </w:p>
    <w:tbl>
      <w:tblPr>
        <w:tblW w:type="auto" w:w="0"/>
        <w:jc w:val="center"/>
        <w:tblLayout w:type="autofit"/>
        <w:tblLook w:firstColumn="1" w:firstRow="1" w:lastColumn="0" w:lastRow="0" w:noHBand="0" w:noVBand="1" w:val="04A0"/>
      </w:tblPr>
      <w:tblGrid>
        <w:gridCol w:w="10080"/>
      </w:tblGrid>
      <w:tr>
        <w:trPr>
          <w:cantSplit w:val="true"/>
        </w:trPr>
        <w:tc>
          <w:tcPr>
            <w:tcW w:type="dxa" w:w="10080"/>
            <w:shd w:fill="EAF5F8" w:val="clear"/>
            <w:tcBorders>
              <w:top w:val="single" w:sz="6" w:color="A7BDC6"/>
              <w:left w:val="single" w:sz="6" w:color="A7BDC6"/>
              <w:bottom w:val="single" w:sz="6" w:color="A7BDC6"/>
              <w:right w:val="single" w:sz="6" w:color="A7BDC6"/>
              <w:insideH w:val="single" w:sz="6" w:color="A7BDC6"/>
              <w:insideV w:val="single" w:sz="6" w:color="A7BDC6"/>
            </w:tcBorders>
            <w:vAlign w:val="center"/>
          </w:tcPr>
          <w:p>
            <w:pPr>
              <w:spacing w:before="100" w:after="100"/>
              <w:jc w:val="left"/>
            </w:pPr>
            <w:r>
              <w:rPr>
                <w:rFonts w:ascii="Aptos" w:hAnsi="Aptos"/>
                <w:b/>
                <w:color w:val="17365D"/>
                <w:sz w:val="19"/>
              </w:rPr>
              <w:t>EDUCATIONAL, NON-AFFILIATION, AND SCOPE NOTICE</w:t>
            </w:r>
            <w:r>
              <w:rPr>
                <w:rFonts w:ascii="Aptos" w:hAnsi="Aptos"/>
                <w:color w:val="1F2937"/>
                <w:sz w:val="18"/>
              </w:rPr>
              <w:br/>
              <w:t>This workbook is an independent educational resource developed by Clinical Training and Supervision Academy. CTA is not affiliated with, endorsed by, or sponsored by the California Board of Behavioral Sciences, Pearson VUE, the Association of Social Work Boards, or any other licensing or testing organization. Completion does not guarantee examination passage. The material is not legal advice, clinical supervision, diagnosis, treatment, or a substitute for consultation with qualified legal, clinical, regulatory, or professional experts. Examination specifications and rules may change; consult current official sources before registering or testing.</w:t>
            </w:r>
          </w:p>
        </w:tc>
      </w:tr>
    </w:tbl>
    <w:tbl>
      <w:tblPr>
        <w:tblW w:type="auto" w:w="0"/>
        <w:jc w:val="center"/>
        <w:tblLayout w:type="autofit"/>
        <w:tblLook w:firstColumn="1" w:firstRow="1" w:lastColumn="0" w:lastRow="0" w:noHBand="0" w:noVBand="1" w:val="04A0"/>
      </w:tblPr>
      <w:tblGrid>
        <w:gridCol w:w="10080"/>
      </w:tblGrid>
      <w:tr>
        <w:trPr>
          <w:cantSplit/>
        </w:trPr>
        <w:tc>
          <w:tcPr>
            <w:tcW w:type="dxa" w:w="10080"/>
            <w:shd w:fill="FFF2CC"/>
            <w:tcBorders>
              <w:top w:val="single" w:sz="6" w:color="A7BDC6"/>
              <w:left w:val="single" w:sz="6" w:color="A7BDC6"/>
              <w:bottom w:val="single" w:sz="6" w:color="A7BDC6"/>
              <w:right w:val="single" w:sz="6" w:color="A7BDC6"/>
              <w:insideH w:val="single" w:sz="6" w:color="A7BDC6"/>
              <w:insideV w:val="single" w:sz="6" w:color="A7BDC6"/>
            </w:tcBorders>
          </w:tcPr>
          <w:p>
            <w:r>
              <w:rPr>
                <w:rFonts w:ascii="Aptos" w:hAnsi="Aptos"/>
                <w:b/>
                <w:color w:val="8A5A00"/>
                <w:sz w:val="19"/>
              </w:rPr>
              <w:t xml:space="preserve">IMPORTANT: </w:t>
            </w:r>
            <w:r>
              <w:rPr>
                <w:rFonts w:ascii="Aptos" w:hAnsi="Aptos"/>
                <w:color w:val="1F2937"/>
                <w:sz w:val="19"/>
              </w:rPr>
              <w:t>Person-in-environment reasoning does not replace clinical assessment. It expands assessment so that symptoms, safety, functioning, relationships, resources, access, power, and social conditions are considered together with client or client-system choice.</w:t>
            </w:r>
          </w:p>
        </w:tc>
      </w:tr>
    </w:tbl>
    <w:p/>
    <w:p>
      <w:pPr>
        <w:pStyle w:val="Heading1"/>
      </w:pPr>
      <w:r>
        <w:t>Learning Objectives</w:t>
      </w:r>
    </w:p>
    <w:p>
      <w:pPr>
        <w:pStyle w:val="ListBullet"/>
      </w:pPr>
      <w:r>
        <w:t>Differentiate chronological age, developmental level, life stage, and family or community context in social work assessment.</w:t>
      </w:r>
    </w:p>
    <w:p>
      <w:pPr>
        <w:pStyle w:val="ListBullet"/>
      </w:pPr>
      <w:r>
        <w:t>Assess how biological, psychological, relational, cultural, socioeconomic, institutional, and environmental factors interact with presenting concerns.</w:t>
      </w:r>
    </w:p>
    <w:p>
      <w:pPr>
        <w:pStyle w:val="ListBullet"/>
      </w:pPr>
      <w:r>
        <w:t>Recognize social determinants, discrimination, displacement, caregiving demands, accessibility needs, and service barriers that affect functioning and outcomes.</w:t>
      </w:r>
    </w:p>
    <w:p>
      <w:pPr>
        <w:pStyle w:val="ListBullet"/>
      </w:pPr>
      <w:r>
        <w:t>Apply cultural humility, intersectionality, anti-oppressive reasoning, client participation, and strengths-based assessment without stereotyping.</w:t>
      </w:r>
    </w:p>
    <w:p>
      <w:pPr>
        <w:pStyle w:val="ListBullet"/>
      </w:pPr>
      <w:r>
        <w:t>Select the best FIRST or NEXT action using a person-in-environment lens before planning, referring, or intervening.</w:t>
      </w:r>
    </w:p>
    <w:p>
      <w:pPr>
        <w:pStyle w:val="Heading1"/>
      </w:pPr>
      <w:r>
        <w:t>Why This Topic Matters</w:t>
      </w:r>
    </w:p>
    <w:p>
      <w:r>
        <w:t>A client’s distress and functioning are shaped by development, relationships, resources, institutions, discrimination, housing, education, employment, health care, migration, caregiving, community, and environmental conditions. ASWB-style questions test whether the social worker evaluates these interactions without losing sight of individual symptoms, safety, strengths, and client choice.</w:t>
      </w:r>
    </w:p>
    <w:tbl>
      <w:tblPr>
        <w:tblW w:type="auto" w:w="0"/>
        <w:jc w:val="center"/>
        <w:tblLayout w:type="autofit"/>
        <w:tblLook w:firstColumn="1" w:firstRow="1" w:lastColumn="0" w:lastRow="0" w:noHBand="0" w:noVBand="1" w:val="04A0"/>
      </w:tblPr>
      <w:tblGrid>
        <w:gridCol w:w="10080"/>
      </w:tblGrid>
      <w:tr>
        <w:trPr>
          <w:cantSplit/>
        </w:trPr>
        <w:tc>
          <w:tcPr>
            <w:tcW w:type="dxa" w:w="10080"/>
            <w:shd w:fill="D9EAF7"/>
            <w:tcBorders>
              <w:top w:val="single" w:sz="6" w:color="A7BDC6"/>
              <w:left w:val="single" w:sz="6" w:color="A7BDC6"/>
              <w:bottom w:val="single" w:sz="6" w:color="A7BDC6"/>
              <w:right w:val="single" w:sz="6" w:color="A7BDC6"/>
              <w:insideH w:val="single" w:sz="6" w:color="A7BDC6"/>
              <w:insideV w:val="single" w:sz="6" w:color="A7BDC6"/>
            </w:tcBorders>
          </w:tcPr>
          <w:p>
            <w:r>
              <w:rPr>
                <w:rFonts w:ascii="Aptos" w:hAnsi="Aptos"/>
                <w:b/>
                <w:color w:val="1F4E78"/>
                <w:sz w:val="19"/>
              </w:rPr>
              <w:t xml:space="preserve">CORE QUESTION: </w:t>
            </w:r>
            <w:r>
              <w:rPr>
                <w:rFonts w:ascii="Aptos" w:hAnsi="Aptos"/>
                <w:color w:val="1F2937"/>
                <w:sz w:val="19"/>
              </w:rPr>
              <w:t>How do development, identity, family or community, structural conditions, access, resources, and client priorities interact in this situation?</w:t>
            </w:r>
          </w:p>
        </w:tc>
      </w:tr>
    </w:tbl>
    <w:p/>
    <w:p>
      <w:pPr>
        <w:pStyle w:val="Heading1"/>
      </w:pPr>
      <w:r>
        <w:t>1. Development in Context</w:t>
      </w:r>
    </w:p>
    <w:p>
      <w:r>
        <w:t>Developmental assessment integrates current functioning, developmental history, milestones, health, relationships, identity, environment, strengths, and the client’s own meaning. Chronological age does not automatically establish developmental capacity or readiness. Changes from baseline, functional impact, and patterns across settings are often more informative.</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1944"/>
            <w:shd w:fill="17365D"/>
            <w:tcBorders>
              <w:top w:val="single" w:sz="6" w:color="B8C4CE"/>
              <w:left w:val="single" w:sz="6" w:color="B8C4CE"/>
              <w:bottom w:val="single" w:sz="6" w:color="B8C4CE"/>
              <w:right w:val="single" w:sz="6" w:color="B8C4CE"/>
              <w:insideH w:val="single" w:sz="6" w:color="B8C4CE"/>
              <w:insideV w:val="single" w:sz="6" w:color="B8C4CE"/>
            </w:tcBorders>
          </w:tcPr>
          <w:p>
            <w:pPr>
              <w:jc w:val="center"/>
            </w:pPr>
            <w:r>
              <w:rPr>
                <w:rFonts w:ascii="Aptos" w:hAnsi="Aptos"/>
                <w:b/>
                <w:color w:val="FFFFFF"/>
                <w:sz w:val="18"/>
              </w:rPr>
              <w:t>Domain</w:t>
            </w:r>
          </w:p>
        </w:tc>
        <w:tc>
          <w:tcPr>
            <w:tcW w:type="dxa" w:w="4392"/>
            <w:shd w:fill="17365D"/>
            <w:tcBorders>
              <w:top w:val="single" w:sz="6" w:color="B8C4CE"/>
              <w:left w:val="single" w:sz="6" w:color="B8C4CE"/>
              <w:bottom w:val="single" w:sz="6" w:color="B8C4CE"/>
              <w:right w:val="single" w:sz="6" w:color="B8C4CE"/>
              <w:insideH w:val="single" w:sz="6" w:color="B8C4CE"/>
              <w:insideV w:val="single" w:sz="6" w:color="B8C4CE"/>
            </w:tcBorders>
          </w:tcPr>
          <w:p>
            <w:pPr>
              <w:jc w:val="center"/>
            </w:pPr>
            <w:r>
              <w:rPr>
                <w:rFonts w:ascii="Aptos" w:hAnsi="Aptos"/>
                <w:b/>
                <w:color w:val="FFFFFF"/>
                <w:sz w:val="18"/>
              </w:rPr>
              <w:t>What to Assess</w:t>
            </w:r>
          </w:p>
        </w:tc>
        <w:tc>
          <w:tcPr>
            <w:tcW w:type="dxa" w:w="3456"/>
            <w:shd w:fill="17365D"/>
            <w:tcBorders>
              <w:top w:val="single" w:sz="6" w:color="B8C4CE"/>
              <w:left w:val="single" w:sz="6" w:color="B8C4CE"/>
              <w:bottom w:val="single" w:sz="6" w:color="B8C4CE"/>
              <w:right w:val="single" w:sz="6" w:color="B8C4CE"/>
              <w:insideH w:val="single" w:sz="6" w:color="B8C4CE"/>
              <w:insideV w:val="single" w:sz="6" w:color="B8C4CE"/>
            </w:tcBorders>
          </w:tcPr>
          <w:p>
            <w:pPr>
              <w:jc w:val="center"/>
            </w:pPr>
            <w:r>
              <w:rPr>
                <w:rFonts w:ascii="Aptos" w:hAnsi="Aptos"/>
                <w:b/>
                <w:color w:val="FFFFFF"/>
                <w:sz w:val="18"/>
              </w:rPr>
              <w:t>Person-in-Environment Question</w:t>
            </w:r>
          </w:p>
        </w:tc>
      </w:tr>
      <w:tr>
        <w:trPr>
          <w:cantSplit/>
        </w:trPr>
        <w:tc>
          <w:tcPr>
            <w:tcW w:type="dxa" w:w="1944"/>
            <w:tcBorders>
              <w:top w:val="single" w:sz="6" w:color="B8C4CE"/>
              <w:left w:val="single" w:sz="6" w:color="B8C4CE"/>
              <w:bottom w:val="single" w:sz="6" w:color="B8C4CE"/>
              <w:right w:val="single" w:sz="6" w:color="B8C4CE"/>
              <w:insideH w:val="single" w:sz="6" w:color="B8C4CE"/>
              <w:insideV w:val="single" w:sz="6" w:color="B8C4CE"/>
            </w:tcBorders>
          </w:tcPr>
          <w:p>
            <w:r>
              <w:rPr>
                <w:rFonts w:ascii="Aptos" w:hAnsi="Aptos"/>
                <w:b/>
                <w:color w:val="1F2937"/>
                <w:sz w:val="18"/>
              </w:rPr>
              <w:t>Physical and health</w:t>
            </w:r>
          </w:p>
        </w:tc>
        <w:tc>
          <w:tcPr>
            <w:tcW w:type="dxa" w:w="4392"/>
            <w:tcBorders>
              <w:top w:val="single" w:sz="6" w:color="B8C4CE"/>
              <w:left w:val="single" w:sz="6" w:color="B8C4CE"/>
              <w:bottom w:val="single" w:sz="6" w:color="B8C4CE"/>
              <w:right w:val="single" w:sz="6" w:color="B8C4CE"/>
              <w:insideH w:val="single" w:sz="6" w:color="B8C4CE"/>
              <w:insideV w:val="single" w:sz="6" w:color="B8C4CE"/>
            </w:tcBorders>
          </w:tcPr>
          <w:p>
            <w:r>
              <w:rPr>
                <w:rFonts w:ascii="Aptos" w:hAnsi="Aptos"/>
                <w:b w:val="0"/>
                <w:color w:val="1F2937"/>
                <w:sz w:val="18"/>
              </w:rPr>
              <w:t>Illness, disability, sleep, pain, medication, nutrition, sensory or motor factors.</w:t>
            </w:r>
          </w:p>
        </w:tc>
        <w:tc>
          <w:tcPr>
            <w:tcW w:type="dxa" w:w="3456"/>
            <w:tcBorders>
              <w:top w:val="single" w:sz="6" w:color="B8C4CE"/>
              <w:left w:val="single" w:sz="6" w:color="B8C4CE"/>
              <w:bottom w:val="single" w:sz="6" w:color="B8C4CE"/>
              <w:right w:val="single" w:sz="6" w:color="B8C4CE"/>
              <w:insideH w:val="single" w:sz="6" w:color="B8C4CE"/>
              <w:insideV w:val="single" w:sz="6" w:color="B8C4CE"/>
            </w:tcBorders>
          </w:tcPr>
          <w:p>
            <w:r>
              <w:rPr>
                <w:rFonts w:ascii="Aptos" w:hAnsi="Aptos"/>
                <w:b w:val="0"/>
                <w:color w:val="1F2937"/>
                <w:sz w:val="18"/>
              </w:rPr>
              <w:t>How do health and access interact with functioning?</w:t>
            </w:r>
          </w:p>
        </w:tc>
      </w:tr>
      <w:tr>
        <w:trPr>
          <w:cantSplit/>
        </w:trPr>
        <w:tc>
          <w:tcPr>
            <w:tcW w:type="dxa" w:w="1944"/>
            <w:tcBorders>
              <w:top w:val="single" w:sz="6" w:color="B8C4CE"/>
              <w:left w:val="single" w:sz="6" w:color="B8C4CE"/>
              <w:bottom w:val="single" w:sz="6" w:color="B8C4CE"/>
              <w:right w:val="single" w:sz="6" w:color="B8C4CE"/>
              <w:insideH w:val="single" w:sz="6" w:color="B8C4CE"/>
              <w:insideV w:val="single" w:sz="6" w:color="B8C4CE"/>
            </w:tcBorders>
            <w:shd w:fill="F3F4F6"/>
          </w:tcPr>
          <w:p>
            <w:r>
              <w:rPr>
                <w:rFonts w:ascii="Aptos" w:hAnsi="Aptos"/>
                <w:b/>
                <w:color w:val="1F2937"/>
                <w:sz w:val="18"/>
              </w:rPr>
              <w:t>Cognitive and learning</w:t>
            </w:r>
          </w:p>
        </w:tc>
        <w:tc>
          <w:tcPr>
            <w:tcW w:type="dxa" w:w="4392"/>
            <w:tcBorders>
              <w:top w:val="single" w:sz="6" w:color="B8C4CE"/>
              <w:left w:val="single" w:sz="6" w:color="B8C4CE"/>
              <w:bottom w:val="single" w:sz="6" w:color="B8C4CE"/>
              <w:right w:val="single" w:sz="6" w:color="B8C4CE"/>
              <w:insideH w:val="single" w:sz="6" w:color="B8C4CE"/>
              <w:insideV w:val="single" w:sz="6" w:color="B8C4CE"/>
            </w:tcBorders>
            <w:shd w:fill="F3F4F6"/>
          </w:tcPr>
          <w:p>
            <w:r>
              <w:rPr>
                <w:rFonts w:ascii="Aptos" w:hAnsi="Aptos"/>
                <w:b w:val="0"/>
                <w:color w:val="1F2937"/>
                <w:sz w:val="18"/>
              </w:rPr>
              <w:t>Attention, language, memory, executive functioning, academic history, and decision-making.</w:t>
            </w:r>
          </w:p>
        </w:tc>
        <w:tc>
          <w:tcPr>
            <w:tcW w:type="dxa" w:w="3456"/>
            <w:tcBorders>
              <w:top w:val="single" w:sz="6" w:color="B8C4CE"/>
              <w:left w:val="single" w:sz="6" w:color="B8C4CE"/>
              <w:bottom w:val="single" w:sz="6" w:color="B8C4CE"/>
              <w:right w:val="single" w:sz="6" w:color="B8C4CE"/>
              <w:insideH w:val="single" w:sz="6" w:color="B8C4CE"/>
              <w:insideV w:val="single" w:sz="6" w:color="B8C4CE"/>
            </w:tcBorders>
            <w:shd w:fill="F3F4F6"/>
          </w:tcPr>
          <w:p>
            <w:r>
              <w:rPr>
                <w:rFonts w:ascii="Aptos" w:hAnsi="Aptos"/>
                <w:b w:val="0"/>
                <w:color w:val="1F2937"/>
                <w:sz w:val="18"/>
              </w:rPr>
              <w:t>Do tasks and services fit demonstrated abilities?</w:t>
            </w:r>
          </w:p>
        </w:tc>
      </w:tr>
      <w:tr>
        <w:trPr>
          <w:cantSplit/>
        </w:trPr>
        <w:tc>
          <w:tcPr>
            <w:tcW w:type="dxa" w:w="1944"/>
            <w:tcBorders>
              <w:top w:val="single" w:sz="6" w:color="B8C4CE"/>
              <w:left w:val="single" w:sz="6" w:color="B8C4CE"/>
              <w:bottom w:val="single" w:sz="6" w:color="B8C4CE"/>
              <w:right w:val="single" w:sz="6" w:color="B8C4CE"/>
              <w:insideH w:val="single" w:sz="6" w:color="B8C4CE"/>
              <w:insideV w:val="single" w:sz="6" w:color="B8C4CE"/>
            </w:tcBorders>
          </w:tcPr>
          <w:p>
            <w:r>
              <w:rPr>
                <w:rFonts w:ascii="Aptos" w:hAnsi="Aptos"/>
                <w:b/>
                <w:color w:val="1F2937"/>
                <w:sz w:val="18"/>
              </w:rPr>
              <w:t>Emotional and behavioral</w:t>
            </w:r>
          </w:p>
        </w:tc>
        <w:tc>
          <w:tcPr>
            <w:tcW w:type="dxa" w:w="4392"/>
            <w:tcBorders>
              <w:top w:val="single" w:sz="6" w:color="B8C4CE"/>
              <w:left w:val="single" w:sz="6" w:color="B8C4CE"/>
              <w:bottom w:val="single" w:sz="6" w:color="B8C4CE"/>
              <w:right w:val="single" w:sz="6" w:color="B8C4CE"/>
              <w:insideH w:val="single" w:sz="6" w:color="B8C4CE"/>
              <w:insideV w:val="single" w:sz="6" w:color="B8C4CE"/>
            </w:tcBorders>
          </w:tcPr>
          <w:p>
            <w:r>
              <w:rPr>
                <w:rFonts w:ascii="Aptos" w:hAnsi="Aptos"/>
                <w:b w:val="0"/>
                <w:color w:val="1F2937"/>
                <w:sz w:val="18"/>
              </w:rPr>
              <w:t>Mood, regulation, coping, behavior, trauma response, and change from baseline.</w:t>
            </w:r>
          </w:p>
        </w:tc>
        <w:tc>
          <w:tcPr>
            <w:tcW w:type="dxa" w:w="3456"/>
            <w:tcBorders>
              <w:top w:val="single" w:sz="6" w:color="B8C4CE"/>
              <w:left w:val="single" w:sz="6" w:color="B8C4CE"/>
              <w:bottom w:val="single" w:sz="6" w:color="B8C4CE"/>
              <w:right w:val="single" w:sz="6" w:color="B8C4CE"/>
              <w:insideH w:val="single" w:sz="6" w:color="B8C4CE"/>
              <w:insideV w:val="single" w:sz="6" w:color="B8C4CE"/>
            </w:tcBorders>
          </w:tcPr>
          <w:p>
            <w:r>
              <w:rPr>
                <w:rFonts w:ascii="Aptos" w:hAnsi="Aptos"/>
                <w:b w:val="0"/>
                <w:color w:val="1F2937"/>
                <w:sz w:val="18"/>
              </w:rPr>
              <w:t>What individual and contextual factors shape the pattern?</w:t>
            </w:r>
          </w:p>
        </w:tc>
      </w:tr>
      <w:tr>
        <w:trPr>
          <w:cantSplit/>
        </w:trPr>
        <w:tc>
          <w:tcPr>
            <w:tcW w:type="dxa" w:w="1944"/>
            <w:tcBorders>
              <w:top w:val="single" w:sz="6" w:color="B8C4CE"/>
              <w:left w:val="single" w:sz="6" w:color="B8C4CE"/>
              <w:bottom w:val="single" w:sz="6" w:color="B8C4CE"/>
              <w:right w:val="single" w:sz="6" w:color="B8C4CE"/>
              <w:insideH w:val="single" w:sz="6" w:color="B8C4CE"/>
              <w:insideV w:val="single" w:sz="6" w:color="B8C4CE"/>
            </w:tcBorders>
            <w:shd w:fill="F3F4F6"/>
          </w:tcPr>
          <w:p>
            <w:r>
              <w:rPr>
                <w:rFonts w:ascii="Aptos" w:hAnsi="Aptos"/>
                <w:b/>
                <w:color w:val="1F2937"/>
                <w:sz w:val="18"/>
              </w:rPr>
              <w:t>Relational and family</w:t>
            </w:r>
          </w:p>
        </w:tc>
        <w:tc>
          <w:tcPr>
            <w:tcW w:type="dxa" w:w="4392"/>
            <w:tcBorders>
              <w:top w:val="single" w:sz="6" w:color="B8C4CE"/>
              <w:left w:val="single" w:sz="6" w:color="B8C4CE"/>
              <w:bottom w:val="single" w:sz="6" w:color="B8C4CE"/>
              <w:right w:val="single" w:sz="6" w:color="B8C4CE"/>
              <w:insideH w:val="single" w:sz="6" w:color="B8C4CE"/>
              <w:insideV w:val="single" w:sz="6" w:color="B8C4CE"/>
            </w:tcBorders>
            <w:shd w:fill="F3F4F6"/>
          </w:tcPr>
          <w:p>
            <w:r>
              <w:rPr>
                <w:rFonts w:ascii="Aptos" w:hAnsi="Aptos"/>
                <w:b w:val="0"/>
                <w:color w:val="1F2937"/>
                <w:sz w:val="18"/>
              </w:rPr>
              <w:t>Caregiving, attachment, roles, conflict, support, isolation, and family transitions.</w:t>
            </w:r>
          </w:p>
        </w:tc>
        <w:tc>
          <w:tcPr>
            <w:tcW w:type="dxa" w:w="3456"/>
            <w:tcBorders>
              <w:top w:val="single" w:sz="6" w:color="B8C4CE"/>
              <w:left w:val="single" w:sz="6" w:color="B8C4CE"/>
              <w:bottom w:val="single" w:sz="6" w:color="B8C4CE"/>
              <w:right w:val="single" w:sz="6" w:color="B8C4CE"/>
              <w:insideH w:val="single" w:sz="6" w:color="B8C4CE"/>
              <w:insideV w:val="single" w:sz="6" w:color="B8C4CE"/>
            </w:tcBorders>
            <w:shd w:fill="F3F4F6"/>
          </w:tcPr>
          <w:p>
            <w:r>
              <w:rPr>
                <w:rFonts w:ascii="Aptos" w:hAnsi="Aptos"/>
                <w:b w:val="0"/>
                <w:color w:val="1F2937"/>
                <w:sz w:val="18"/>
              </w:rPr>
              <w:t>How do relationships affect risk, stress, and resources?</w:t>
            </w:r>
          </w:p>
        </w:tc>
      </w:tr>
      <w:tr>
        <w:trPr>
          <w:cantSplit/>
        </w:trPr>
        <w:tc>
          <w:tcPr>
            <w:tcW w:type="dxa" w:w="1944"/>
            <w:tcBorders>
              <w:top w:val="single" w:sz="6" w:color="B8C4CE"/>
              <w:left w:val="single" w:sz="6" w:color="B8C4CE"/>
              <w:bottom w:val="single" w:sz="6" w:color="B8C4CE"/>
              <w:right w:val="single" w:sz="6" w:color="B8C4CE"/>
              <w:insideH w:val="single" w:sz="6" w:color="B8C4CE"/>
              <w:insideV w:val="single" w:sz="6" w:color="B8C4CE"/>
            </w:tcBorders>
          </w:tcPr>
          <w:p>
            <w:r>
              <w:rPr>
                <w:rFonts w:ascii="Aptos" w:hAnsi="Aptos"/>
                <w:b/>
                <w:color w:val="1F2937"/>
                <w:sz w:val="18"/>
              </w:rPr>
              <w:t>Identity and meaning</w:t>
            </w:r>
          </w:p>
        </w:tc>
        <w:tc>
          <w:tcPr>
            <w:tcW w:type="dxa" w:w="4392"/>
            <w:tcBorders>
              <w:top w:val="single" w:sz="6" w:color="B8C4CE"/>
              <w:left w:val="single" w:sz="6" w:color="B8C4CE"/>
              <w:bottom w:val="single" w:sz="6" w:color="B8C4CE"/>
              <w:right w:val="single" w:sz="6" w:color="B8C4CE"/>
              <w:insideH w:val="single" w:sz="6" w:color="B8C4CE"/>
              <w:insideV w:val="single" w:sz="6" w:color="B8C4CE"/>
            </w:tcBorders>
          </w:tcPr>
          <w:p>
            <w:r>
              <w:rPr>
                <w:rFonts w:ascii="Aptos" w:hAnsi="Aptos"/>
                <w:b w:val="0"/>
                <w:color w:val="1F2937"/>
                <w:sz w:val="18"/>
              </w:rPr>
              <w:t>Race, ethnicity, culture, faith, gender, sexuality, ability, class, immigration, and community.</w:t>
            </w:r>
          </w:p>
        </w:tc>
        <w:tc>
          <w:tcPr>
            <w:tcW w:type="dxa" w:w="3456"/>
            <w:tcBorders>
              <w:top w:val="single" w:sz="6" w:color="B8C4CE"/>
              <w:left w:val="single" w:sz="6" w:color="B8C4CE"/>
              <w:bottom w:val="single" w:sz="6" w:color="B8C4CE"/>
              <w:right w:val="single" w:sz="6" w:color="B8C4CE"/>
              <w:insideH w:val="single" w:sz="6" w:color="B8C4CE"/>
              <w:insideV w:val="single" w:sz="6" w:color="B8C4CE"/>
            </w:tcBorders>
          </w:tcPr>
          <w:p>
            <w:r>
              <w:rPr>
                <w:rFonts w:ascii="Aptos" w:hAnsi="Aptos"/>
                <w:b w:val="0"/>
                <w:color w:val="1F2937"/>
                <w:sz w:val="18"/>
              </w:rPr>
              <w:t>Which identities and meanings are salient to the client?</w:t>
            </w:r>
          </w:p>
        </w:tc>
      </w:tr>
      <w:tr>
        <w:trPr>
          <w:cantSplit/>
        </w:trPr>
        <w:tc>
          <w:tcPr>
            <w:tcW w:type="dxa" w:w="1944"/>
            <w:tcBorders>
              <w:top w:val="single" w:sz="6" w:color="B8C4CE"/>
              <w:left w:val="single" w:sz="6" w:color="B8C4CE"/>
              <w:bottom w:val="single" w:sz="6" w:color="B8C4CE"/>
              <w:right w:val="single" w:sz="6" w:color="B8C4CE"/>
              <w:insideH w:val="single" w:sz="6" w:color="B8C4CE"/>
              <w:insideV w:val="single" w:sz="6" w:color="B8C4CE"/>
            </w:tcBorders>
            <w:shd w:fill="F3F4F6"/>
          </w:tcPr>
          <w:p>
            <w:r>
              <w:rPr>
                <w:rFonts w:ascii="Aptos" w:hAnsi="Aptos"/>
                <w:b/>
                <w:color w:val="1F2937"/>
                <w:sz w:val="18"/>
              </w:rPr>
              <w:t>Environmental and structural</w:t>
            </w:r>
          </w:p>
        </w:tc>
        <w:tc>
          <w:tcPr>
            <w:tcW w:type="dxa" w:w="4392"/>
            <w:tcBorders>
              <w:top w:val="single" w:sz="6" w:color="B8C4CE"/>
              <w:left w:val="single" w:sz="6" w:color="B8C4CE"/>
              <w:bottom w:val="single" w:sz="6" w:color="B8C4CE"/>
              <w:right w:val="single" w:sz="6" w:color="B8C4CE"/>
              <w:insideH w:val="single" w:sz="6" w:color="B8C4CE"/>
              <w:insideV w:val="single" w:sz="6" w:color="B8C4CE"/>
            </w:tcBorders>
            <w:shd w:fill="F3F4F6"/>
          </w:tcPr>
          <w:p>
            <w:r>
              <w:rPr>
                <w:rFonts w:ascii="Aptos" w:hAnsi="Aptos"/>
                <w:b w:val="0"/>
                <w:color w:val="1F2937"/>
                <w:sz w:val="18"/>
              </w:rPr>
              <w:t>Housing, income, education, work, health care, legal systems, services, discrimination, and policy.</w:t>
            </w:r>
          </w:p>
        </w:tc>
        <w:tc>
          <w:tcPr>
            <w:tcW w:type="dxa" w:w="3456"/>
            <w:tcBorders>
              <w:top w:val="single" w:sz="6" w:color="B8C4CE"/>
              <w:left w:val="single" w:sz="6" w:color="B8C4CE"/>
              <w:bottom w:val="single" w:sz="6" w:color="B8C4CE"/>
              <w:right w:val="single" w:sz="6" w:color="B8C4CE"/>
              <w:insideH w:val="single" w:sz="6" w:color="B8C4CE"/>
              <w:insideV w:val="single" w:sz="6" w:color="B8C4CE"/>
            </w:tcBorders>
            <w:shd w:fill="F3F4F6"/>
          </w:tcPr>
          <w:p>
            <w:r>
              <w:rPr>
                <w:rFonts w:ascii="Aptos" w:hAnsi="Aptos"/>
                <w:b w:val="0"/>
                <w:color w:val="1F2937"/>
                <w:sz w:val="18"/>
              </w:rPr>
              <w:t>What barriers, protections, and resources exist outside the person?</w:t>
            </w:r>
          </w:p>
        </w:tc>
      </w:tr>
    </w:tbl>
    <w:p/>
    <w:p>
      <w:pPr>
        <w:pStyle w:val="Heading1"/>
      </w:pPr>
      <w:r>
        <w:t>2. Social Determinants and Material Conditions</w:t>
      </w:r>
    </w:p>
    <w:p>
      <w:r>
        <w:t>Housing, food, transportation, income, education, employment, health care, neighborhood conditions, and service access can directly affect health, stress, safety, engagement, and outcomes. A strong response does not reduce these conditions to motivation or distorted thinking. It assesses concrete need and emotional impact together.</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1944"/>
            <w:shd w:fill="17365D"/>
            <w:tcBorders>
              <w:top w:val="single" w:sz="6" w:color="B8C4CE"/>
              <w:left w:val="single" w:sz="6" w:color="B8C4CE"/>
              <w:bottom w:val="single" w:sz="6" w:color="B8C4CE"/>
              <w:right w:val="single" w:sz="6" w:color="B8C4CE"/>
              <w:insideH w:val="single" w:sz="6" w:color="B8C4CE"/>
              <w:insideV w:val="single" w:sz="6" w:color="B8C4CE"/>
            </w:tcBorders>
          </w:tcPr>
          <w:p>
            <w:pPr>
              <w:jc w:val="center"/>
            </w:pPr>
            <w:r>
              <w:rPr>
                <w:rFonts w:ascii="Aptos" w:hAnsi="Aptos"/>
                <w:b/>
                <w:color w:val="FFFFFF"/>
                <w:sz w:val="18"/>
              </w:rPr>
              <w:t>Context</w:t>
            </w:r>
          </w:p>
        </w:tc>
        <w:tc>
          <w:tcPr>
            <w:tcW w:type="dxa" w:w="4392"/>
            <w:shd w:fill="17365D"/>
            <w:tcBorders>
              <w:top w:val="single" w:sz="6" w:color="B8C4CE"/>
              <w:left w:val="single" w:sz="6" w:color="B8C4CE"/>
              <w:bottom w:val="single" w:sz="6" w:color="B8C4CE"/>
              <w:right w:val="single" w:sz="6" w:color="B8C4CE"/>
              <w:insideH w:val="single" w:sz="6" w:color="B8C4CE"/>
              <w:insideV w:val="single" w:sz="6" w:color="B8C4CE"/>
            </w:tcBorders>
          </w:tcPr>
          <w:p>
            <w:pPr>
              <w:jc w:val="center"/>
            </w:pPr>
            <w:r>
              <w:rPr>
                <w:rFonts w:ascii="Aptos" w:hAnsi="Aptos"/>
                <w:b/>
                <w:color w:val="FFFFFF"/>
                <w:sz w:val="18"/>
              </w:rPr>
              <w:t>What May Matter</w:t>
            </w:r>
          </w:p>
        </w:tc>
        <w:tc>
          <w:tcPr>
            <w:tcW w:type="dxa" w:w="3456"/>
            <w:shd w:fill="17365D"/>
            <w:tcBorders>
              <w:top w:val="single" w:sz="6" w:color="B8C4CE"/>
              <w:left w:val="single" w:sz="6" w:color="B8C4CE"/>
              <w:bottom w:val="single" w:sz="6" w:color="B8C4CE"/>
              <w:right w:val="single" w:sz="6" w:color="B8C4CE"/>
              <w:insideH w:val="single" w:sz="6" w:color="B8C4CE"/>
              <w:insideV w:val="single" w:sz="6" w:color="B8C4CE"/>
            </w:tcBorders>
          </w:tcPr>
          <w:p>
            <w:pPr>
              <w:jc w:val="center"/>
            </w:pPr>
            <w:r>
              <w:rPr>
                <w:rFonts w:ascii="Aptos" w:hAnsi="Aptos"/>
                <w:b/>
                <w:color w:val="FFFFFF"/>
                <w:sz w:val="18"/>
              </w:rPr>
              <w:t>Common Error</w:t>
            </w:r>
          </w:p>
        </w:tc>
      </w:tr>
      <w:tr>
        <w:trPr>
          <w:cantSplit/>
        </w:trPr>
        <w:tc>
          <w:tcPr>
            <w:tcW w:type="dxa" w:w="1944"/>
            <w:tcBorders>
              <w:top w:val="single" w:sz="6" w:color="B8C4CE"/>
              <w:left w:val="single" w:sz="6" w:color="B8C4CE"/>
              <w:bottom w:val="single" w:sz="6" w:color="B8C4CE"/>
              <w:right w:val="single" w:sz="6" w:color="B8C4CE"/>
              <w:insideH w:val="single" w:sz="6" w:color="B8C4CE"/>
              <w:insideV w:val="single" w:sz="6" w:color="B8C4CE"/>
            </w:tcBorders>
          </w:tcPr>
          <w:p>
            <w:r>
              <w:rPr>
                <w:rFonts w:ascii="Aptos" w:hAnsi="Aptos"/>
                <w:b/>
                <w:color w:val="1F2937"/>
                <w:sz w:val="18"/>
              </w:rPr>
              <w:t>Housing and income</w:t>
            </w:r>
          </w:p>
        </w:tc>
        <w:tc>
          <w:tcPr>
            <w:tcW w:type="dxa" w:w="4392"/>
            <w:tcBorders>
              <w:top w:val="single" w:sz="6" w:color="B8C4CE"/>
              <w:left w:val="single" w:sz="6" w:color="B8C4CE"/>
              <w:bottom w:val="single" w:sz="6" w:color="B8C4CE"/>
              <w:right w:val="single" w:sz="6" w:color="B8C4CE"/>
              <w:insideH w:val="single" w:sz="6" w:color="B8C4CE"/>
              <w:insideV w:val="single" w:sz="6" w:color="B8C4CE"/>
            </w:tcBorders>
          </w:tcPr>
          <w:p>
            <w:r>
              <w:rPr>
                <w:rFonts w:ascii="Aptos" w:hAnsi="Aptos"/>
                <w:b w:val="0"/>
                <w:color w:val="1F2937"/>
                <w:sz w:val="18"/>
              </w:rPr>
              <w:t>Affordability, safety, food, transportation, benefits, work constraints, and resource barriers.</w:t>
            </w:r>
          </w:p>
        </w:tc>
        <w:tc>
          <w:tcPr>
            <w:tcW w:type="dxa" w:w="3456"/>
            <w:tcBorders>
              <w:top w:val="single" w:sz="6" w:color="B8C4CE"/>
              <w:left w:val="single" w:sz="6" w:color="B8C4CE"/>
              <w:bottom w:val="single" w:sz="6" w:color="B8C4CE"/>
              <w:right w:val="single" w:sz="6" w:color="B8C4CE"/>
              <w:insideH w:val="single" w:sz="6" w:color="B8C4CE"/>
              <w:insideV w:val="single" w:sz="6" w:color="B8C4CE"/>
            </w:tcBorders>
          </w:tcPr>
          <w:p>
            <w:r>
              <w:rPr>
                <w:rFonts w:ascii="Aptos" w:hAnsi="Aptos"/>
                <w:b w:val="0"/>
                <w:color w:val="1F2937"/>
                <w:sz w:val="18"/>
              </w:rPr>
              <w:t>Treating instability as noncompliance or poor motivation.</w:t>
            </w:r>
          </w:p>
        </w:tc>
      </w:tr>
      <w:tr>
        <w:trPr>
          <w:cantSplit/>
        </w:trPr>
        <w:tc>
          <w:tcPr>
            <w:tcW w:type="dxa" w:w="1944"/>
            <w:tcBorders>
              <w:top w:val="single" w:sz="6" w:color="B8C4CE"/>
              <w:left w:val="single" w:sz="6" w:color="B8C4CE"/>
              <w:bottom w:val="single" w:sz="6" w:color="B8C4CE"/>
              <w:right w:val="single" w:sz="6" w:color="B8C4CE"/>
              <w:insideH w:val="single" w:sz="6" w:color="B8C4CE"/>
              <w:insideV w:val="single" w:sz="6" w:color="B8C4CE"/>
            </w:tcBorders>
            <w:shd w:fill="F3F4F6"/>
          </w:tcPr>
          <w:p>
            <w:r>
              <w:rPr>
                <w:rFonts w:ascii="Aptos" w:hAnsi="Aptos"/>
                <w:b/>
                <w:color w:val="1F2937"/>
                <w:sz w:val="18"/>
              </w:rPr>
              <w:t>School or education</w:t>
            </w:r>
          </w:p>
        </w:tc>
        <w:tc>
          <w:tcPr>
            <w:tcW w:type="dxa" w:w="4392"/>
            <w:tcBorders>
              <w:top w:val="single" w:sz="6" w:color="B8C4CE"/>
              <w:left w:val="single" w:sz="6" w:color="B8C4CE"/>
              <w:bottom w:val="single" w:sz="6" w:color="B8C4CE"/>
              <w:right w:val="single" w:sz="6" w:color="B8C4CE"/>
              <w:insideH w:val="single" w:sz="6" w:color="B8C4CE"/>
              <w:insideV w:val="single" w:sz="6" w:color="B8C4CE"/>
            </w:tcBorders>
            <w:shd w:fill="F3F4F6"/>
          </w:tcPr>
          <w:p>
            <w:r>
              <w:rPr>
                <w:rFonts w:ascii="Aptos" w:hAnsi="Aptos"/>
                <w:b w:val="0"/>
                <w:color w:val="1F2937"/>
                <w:sz w:val="18"/>
              </w:rPr>
              <w:t>Attendance, performance, bullying, learning needs, belonging, and family-school interaction.</w:t>
            </w:r>
          </w:p>
        </w:tc>
        <w:tc>
          <w:tcPr>
            <w:tcW w:type="dxa" w:w="3456"/>
            <w:tcBorders>
              <w:top w:val="single" w:sz="6" w:color="B8C4CE"/>
              <w:left w:val="single" w:sz="6" w:color="B8C4CE"/>
              <w:bottom w:val="single" w:sz="6" w:color="B8C4CE"/>
              <w:right w:val="single" w:sz="6" w:color="B8C4CE"/>
              <w:insideH w:val="single" w:sz="6" w:color="B8C4CE"/>
              <w:insideV w:val="single" w:sz="6" w:color="B8C4CE"/>
            </w:tcBorders>
            <w:shd w:fill="F3F4F6"/>
          </w:tcPr>
          <w:p>
            <w:r>
              <w:rPr>
                <w:rFonts w:ascii="Aptos" w:hAnsi="Aptos"/>
                <w:b w:val="0"/>
                <w:color w:val="1F2937"/>
                <w:sz w:val="18"/>
              </w:rPr>
              <w:t>Focusing only on the identified student.</w:t>
            </w:r>
          </w:p>
        </w:tc>
      </w:tr>
      <w:tr>
        <w:trPr>
          <w:cantSplit/>
        </w:trPr>
        <w:tc>
          <w:tcPr>
            <w:tcW w:type="dxa" w:w="1944"/>
            <w:tcBorders>
              <w:top w:val="single" w:sz="6" w:color="B8C4CE"/>
              <w:left w:val="single" w:sz="6" w:color="B8C4CE"/>
              <w:bottom w:val="single" w:sz="6" w:color="B8C4CE"/>
              <w:right w:val="single" w:sz="6" w:color="B8C4CE"/>
              <w:insideH w:val="single" w:sz="6" w:color="B8C4CE"/>
              <w:insideV w:val="single" w:sz="6" w:color="B8C4CE"/>
            </w:tcBorders>
          </w:tcPr>
          <w:p>
            <w:r>
              <w:rPr>
                <w:rFonts w:ascii="Aptos" w:hAnsi="Aptos"/>
                <w:b/>
                <w:color w:val="1F2937"/>
                <w:sz w:val="18"/>
              </w:rPr>
              <w:t>Employment</w:t>
            </w:r>
          </w:p>
        </w:tc>
        <w:tc>
          <w:tcPr>
            <w:tcW w:type="dxa" w:w="4392"/>
            <w:tcBorders>
              <w:top w:val="single" w:sz="6" w:color="B8C4CE"/>
              <w:left w:val="single" w:sz="6" w:color="B8C4CE"/>
              <w:bottom w:val="single" w:sz="6" w:color="B8C4CE"/>
              <w:right w:val="single" w:sz="6" w:color="B8C4CE"/>
              <w:insideH w:val="single" w:sz="6" w:color="B8C4CE"/>
              <w:insideV w:val="single" w:sz="6" w:color="B8C4CE"/>
            </w:tcBorders>
          </w:tcPr>
          <w:p>
            <w:r>
              <w:rPr>
                <w:rFonts w:ascii="Aptos" w:hAnsi="Aptos"/>
                <w:b w:val="0"/>
                <w:color w:val="1F2937"/>
                <w:sz w:val="18"/>
              </w:rPr>
              <w:t>Job loss, workload, injury, discrimination, retirement, income, and meaning.</w:t>
            </w:r>
          </w:p>
        </w:tc>
        <w:tc>
          <w:tcPr>
            <w:tcW w:type="dxa" w:w="3456"/>
            <w:tcBorders>
              <w:top w:val="single" w:sz="6" w:color="B8C4CE"/>
              <w:left w:val="single" w:sz="6" w:color="B8C4CE"/>
              <w:bottom w:val="single" w:sz="6" w:color="B8C4CE"/>
              <w:right w:val="single" w:sz="6" w:color="B8C4CE"/>
              <w:insideH w:val="single" w:sz="6" w:color="B8C4CE"/>
              <w:insideV w:val="single" w:sz="6" w:color="B8C4CE"/>
            </w:tcBorders>
          </w:tcPr>
          <w:p>
            <w:r>
              <w:rPr>
                <w:rFonts w:ascii="Aptos" w:hAnsi="Aptos"/>
                <w:b w:val="0"/>
                <w:color w:val="1F2937"/>
                <w:sz w:val="18"/>
              </w:rPr>
              <w:t>Ignoring material consequences.</w:t>
            </w:r>
          </w:p>
        </w:tc>
      </w:tr>
      <w:tr>
        <w:trPr>
          <w:cantSplit/>
        </w:trPr>
        <w:tc>
          <w:tcPr>
            <w:tcW w:type="dxa" w:w="1944"/>
            <w:tcBorders>
              <w:top w:val="single" w:sz="6" w:color="B8C4CE"/>
              <w:left w:val="single" w:sz="6" w:color="B8C4CE"/>
              <w:bottom w:val="single" w:sz="6" w:color="B8C4CE"/>
              <w:right w:val="single" w:sz="6" w:color="B8C4CE"/>
              <w:insideH w:val="single" w:sz="6" w:color="B8C4CE"/>
              <w:insideV w:val="single" w:sz="6" w:color="B8C4CE"/>
            </w:tcBorders>
            <w:shd w:fill="F3F4F6"/>
          </w:tcPr>
          <w:p>
            <w:r>
              <w:rPr>
                <w:rFonts w:ascii="Aptos" w:hAnsi="Aptos"/>
                <w:b/>
                <w:color w:val="1F2937"/>
                <w:sz w:val="18"/>
              </w:rPr>
              <w:t>Health care</w:t>
            </w:r>
          </w:p>
        </w:tc>
        <w:tc>
          <w:tcPr>
            <w:tcW w:type="dxa" w:w="4392"/>
            <w:tcBorders>
              <w:top w:val="single" w:sz="6" w:color="B8C4CE"/>
              <w:left w:val="single" w:sz="6" w:color="B8C4CE"/>
              <w:bottom w:val="single" w:sz="6" w:color="B8C4CE"/>
              <w:right w:val="single" w:sz="6" w:color="B8C4CE"/>
              <w:insideH w:val="single" w:sz="6" w:color="B8C4CE"/>
              <w:insideV w:val="single" w:sz="6" w:color="B8C4CE"/>
            </w:tcBorders>
            <w:shd w:fill="F3F4F6"/>
          </w:tcPr>
          <w:p>
            <w:r>
              <w:rPr>
                <w:rFonts w:ascii="Aptos" w:hAnsi="Aptos"/>
                <w:b w:val="0"/>
                <w:color w:val="1F2937"/>
                <w:sz w:val="18"/>
              </w:rPr>
              <w:t>Insurance, transportation, language, disability access, trust, discrimination, and coordination.</w:t>
            </w:r>
          </w:p>
        </w:tc>
        <w:tc>
          <w:tcPr>
            <w:tcW w:type="dxa" w:w="3456"/>
            <w:tcBorders>
              <w:top w:val="single" w:sz="6" w:color="B8C4CE"/>
              <w:left w:val="single" w:sz="6" w:color="B8C4CE"/>
              <w:bottom w:val="single" w:sz="6" w:color="B8C4CE"/>
              <w:right w:val="single" w:sz="6" w:color="B8C4CE"/>
              <w:insideH w:val="single" w:sz="6" w:color="B8C4CE"/>
              <w:insideV w:val="single" w:sz="6" w:color="B8C4CE"/>
            </w:tcBorders>
            <w:shd w:fill="F3F4F6"/>
          </w:tcPr>
          <w:p>
            <w:r>
              <w:rPr>
                <w:rFonts w:ascii="Aptos" w:hAnsi="Aptos"/>
                <w:b w:val="0"/>
                <w:color w:val="1F2937"/>
                <w:sz w:val="18"/>
              </w:rPr>
              <w:t>Assuming missed care means resistance.</w:t>
            </w:r>
          </w:p>
        </w:tc>
      </w:tr>
      <w:tr>
        <w:trPr>
          <w:cantSplit/>
        </w:trPr>
        <w:tc>
          <w:tcPr>
            <w:tcW w:type="dxa" w:w="1944"/>
            <w:tcBorders>
              <w:top w:val="single" w:sz="6" w:color="B8C4CE"/>
              <w:left w:val="single" w:sz="6" w:color="B8C4CE"/>
              <w:bottom w:val="single" w:sz="6" w:color="B8C4CE"/>
              <w:right w:val="single" w:sz="6" w:color="B8C4CE"/>
              <w:insideH w:val="single" w:sz="6" w:color="B8C4CE"/>
              <w:insideV w:val="single" w:sz="6" w:color="B8C4CE"/>
            </w:tcBorders>
          </w:tcPr>
          <w:p>
            <w:r>
              <w:rPr>
                <w:rFonts w:ascii="Aptos" w:hAnsi="Aptos"/>
                <w:b/>
                <w:color w:val="1F2937"/>
                <w:sz w:val="18"/>
              </w:rPr>
              <w:t>Legal and institutional systems</w:t>
            </w:r>
          </w:p>
        </w:tc>
        <w:tc>
          <w:tcPr>
            <w:tcW w:type="dxa" w:w="4392"/>
            <w:tcBorders>
              <w:top w:val="single" w:sz="6" w:color="B8C4CE"/>
              <w:left w:val="single" w:sz="6" w:color="B8C4CE"/>
              <w:bottom w:val="single" w:sz="6" w:color="B8C4CE"/>
              <w:right w:val="single" w:sz="6" w:color="B8C4CE"/>
              <w:insideH w:val="single" w:sz="6" w:color="B8C4CE"/>
              <w:insideV w:val="single" w:sz="6" w:color="B8C4CE"/>
            </w:tcBorders>
          </w:tcPr>
          <w:p>
            <w:r>
              <w:rPr>
                <w:rFonts w:ascii="Aptos" w:hAnsi="Aptos"/>
                <w:b w:val="0"/>
                <w:color w:val="1F2937"/>
                <w:sz w:val="18"/>
              </w:rPr>
              <w:t>Incarceration, custody, probation, child welfare, immigration, and institutional power.</w:t>
            </w:r>
          </w:p>
        </w:tc>
        <w:tc>
          <w:tcPr>
            <w:tcW w:type="dxa" w:w="3456"/>
            <w:tcBorders>
              <w:top w:val="single" w:sz="6" w:color="B8C4CE"/>
              <w:left w:val="single" w:sz="6" w:color="B8C4CE"/>
              <w:bottom w:val="single" w:sz="6" w:color="B8C4CE"/>
              <w:right w:val="single" w:sz="6" w:color="B8C4CE"/>
              <w:insideH w:val="single" w:sz="6" w:color="B8C4CE"/>
              <w:insideV w:val="single" w:sz="6" w:color="B8C4CE"/>
            </w:tcBorders>
          </w:tcPr>
          <w:p>
            <w:r>
              <w:rPr>
                <w:rFonts w:ascii="Aptos" w:hAnsi="Aptos"/>
                <w:b w:val="0"/>
                <w:color w:val="1F2937"/>
                <w:sz w:val="18"/>
              </w:rPr>
              <w:t>Giving legal advice or ignoring role and coercion.</w:t>
            </w:r>
          </w:p>
        </w:tc>
      </w:tr>
      <w:tr>
        <w:trPr>
          <w:cantSplit/>
        </w:trPr>
        <w:tc>
          <w:tcPr>
            <w:tcW w:type="dxa" w:w="1944"/>
            <w:tcBorders>
              <w:top w:val="single" w:sz="6" w:color="B8C4CE"/>
              <w:left w:val="single" w:sz="6" w:color="B8C4CE"/>
              <w:bottom w:val="single" w:sz="6" w:color="B8C4CE"/>
              <w:right w:val="single" w:sz="6" w:color="B8C4CE"/>
              <w:insideH w:val="single" w:sz="6" w:color="B8C4CE"/>
              <w:insideV w:val="single" w:sz="6" w:color="B8C4CE"/>
            </w:tcBorders>
            <w:shd w:fill="F3F4F6"/>
          </w:tcPr>
          <w:p>
            <w:r>
              <w:rPr>
                <w:rFonts w:ascii="Aptos" w:hAnsi="Aptos"/>
                <w:b/>
                <w:color w:val="1F2937"/>
                <w:sz w:val="18"/>
              </w:rPr>
              <w:t>Environment and disaster</w:t>
            </w:r>
          </w:p>
        </w:tc>
        <w:tc>
          <w:tcPr>
            <w:tcW w:type="dxa" w:w="4392"/>
            <w:tcBorders>
              <w:top w:val="single" w:sz="6" w:color="B8C4CE"/>
              <w:left w:val="single" w:sz="6" w:color="B8C4CE"/>
              <w:bottom w:val="single" w:sz="6" w:color="B8C4CE"/>
              <w:right w:val="single" w:sz="6" w:color="B8C4CE"/>
              <w:insideH w:val="single" w:sz="6" w:color="B8C4CE"/>
              <w:insideV w:val="single" w:sz="6" w:color="B8C4CE"/>
            </w:tcBorders>
            <w:shd w:fill="F3F4F6"/>
          </w:tcPr>
          <w:p>
            <w:r>
              <w:rPr>
                <w:rFonts w:ascii="Aptos" w:hAnsi="Aptos"/>
                <w:b w:val="0"/>
                <w:color w:val="1F2937"/>
                <w:sz w:val="18"/>
              </w:rPr>
              <w:t>Displacement, exposure, job loss, school disruption, community resources, and inequity.</w:t>
            </w:r>
          </w:p>
        </w:tc>
        <w:tc>
          <w:tcPr>
            <w:tcW w:type="dxa" w:w="3456"/>
            <w:tcBorders>
              <w:top w:val="single" w:sz="6" w:color="B8C4CE"/>
              <w:left w:val="single" w:sz="6" w:color="B8C4CE"/>
              <w:bottom w:val="single" w:sz="6" w:color="B8C4CE"/>
              <w:right w:val="single" w:sz="6" w:color="B8C4CE"/>
              <w:insideH w:val="single" w:sz="6" w:color="B8C4CE"/>
              <w:insideV w:val="single" w:sz="6" w:color="B8C4CE"/>
            </w:tcBorders>
            <w:shd w:fill="F3F4F6"/>
          </w:tcPr>
          <w:p>
            <w:r>
              <w:rPr>
                <w:rFonts w:ascii="Aptos" w:hAnsi="Aptos"/>
                <w:b w:val="0"/>
                <w:color w:val="1F2937"/>
                <w:sz w:val="18"/>
              </w:rPr>
              <w:t>Assessing only individual symptoms.</w:t>
            </w:r>
          </w:p>
        </w:tc>
      </w:tr>
    </w:tbl>
    <w:p/>
    <w:p>
      <w:pPr>
        <w:pStyle w:val="Heading1"/>
      </w:pPr>
      <w:r>
        <w:t>3. Culture, Identity, Intersectionality, and Power</w:t>
      </w:r>
    </w:p>
    <w:p>
      <w:r>
        <w:t>Culture influences how distress is described, what services are acceptable, and which relationships or explanations carry authority. Intersectionality recognizes that identities and social positions interact. Power, privilege, bias, microaggressions, discrimination, and exclusion may affect mental health, trust, participation, and access, but the social worker should assess the client’s experience rather than presume a specific effect.</w:t>
      </w:r>
    </w:p>
    <w:p>
      <w:pPr>
        <w:pStyle w:val="ListBullet"/>
        <w:spacing w:after="60"/>
      </w:pPr>
      <w:r>
        <w:t>Ask which identities, communities, traditions, and relationships are most relevant now.</w:t>
      </w:r>
    </w:p>
    <w:p>
      <w:pPr>
        <w:pStyle w:val="ListBullet"/>
        <w:spacing w:after="60"/>
      </w:pPr>
      <w:r>
        <w:t>Explore support, conflict, discrimination, concealment, pressure, privilege, or belonging.</w:t>
      </w:r>
    </w:p>
    <w:p>
      <w:pPr>
        <w:pStyle w:val="ListBullet"/>
        <w:spacing w:after="60"/>
      </w:pPr>
      <w:r>
        <w:t>Identify how institutional practices affect access, safety, and trust.</w:t>
      </w:r>
    </w:p>
    <w:p>
      <w:pPr>
        <w:pStyle w:val="ListBullet"/>
        <w:spacing w:after="60"/>
      </w:pPr>
      <w:r>
        <w:t>Distinguish client values from professional values and avoid imposing either acceptance or rejection of a belief system.</w:t>
      </w:r>
    </w:p>
    <w:p>
      <w:pPr>
        <w:pStyle w:val="ListBullet"/>
        <w:spacing w:after="60"/>
      </w:pPr>
      <w:r>
        <w:t>Identify within-group differences; shared identity does not establish shared beliefs or experience.</w:t>
      </w:r>
    </w:p>
    <w:p>
      <w:pPr>
        <w:pStyle w:val="ListBullet"/>
        <w:spacing w:after="60"/>
      </w:pPr>
      <w:r>
        <w:t>Use anti-oppressive and anti-racist principles to examine barriers and power while preserving the client’s own priorities.</w:t>
      </w:r>
    </w:p>
    <w:tbl>
      <w:tblPr>
        <w:tblW w:type="auto" w:w="0"/>
        <w:jc w:val="center"/>
        <w:tblLayout w:type="autofit"/>
        <w:tblLook w:firstColumn="1" w:firstRow="1" w:lastColumn="0" w:lastRow="0" w:noHBand="0" w:noVBand="1" w:val="04A0"/>
      </w:tblPr>
      <w:tblGrid>
        <w:gridCol w:w="10080"/>
      </w:tblGrid>
      <w:tr>
        <w:trPr>
          <w:cantSplit/>
        </w:trPr>
        <w:tc>
          <w:tcPr>
            <w:tcW w:type="dxa" w:w="10080"/>
            <w:shd w:fill="D9EDEB"/>
            <w:tcBorders>
              <w:top w:val="single" w:sz="6" w:color="A7BDC6"/>
              <w:left w:val="single" w:sz="6" w:color="A7BDC6"/>
              <w:bottom w:val="single" w:sz="6" w:color="A7BDC6"/>
              <w:right w:val="single" w:sz="6" w:color="A7BDC6"/>
              <w:insideH w:val="single" w:sz="6" w:color="A7BDC6"/>
              <w:insideV w:val="single" w:sz="6" w:color="A7BDC6"/>
            </w:tcBorders>
          </w:tcPr>
          <w:p>
            <w:r>
              <w:rPr>
                <w:rFonts w:ascii="Aptos" w:hAnsi="Aptos"/>
                <w:b/>
                <w:color w:val="0E7490"/>
                <w:sz w:val="19"/>
              </w:rPr>
              <w:t xml:space="preserve">REMEMBER: </w:t>
            </w:r>
            <w:r>
              <w:rPr>
                <w:rFonts w:ascii="Aptos" w:hAnsi="Aptos"/>
                <w:color w:val="1F2937"/>
                <w:sz w:val="19"/>
              </w:rPr>
              <w:t>Cultural humility means curiosity, self-reflection, acknowledgement of limits, openness to correction, and use of the client’s meaning as data.</w:t>
            </w:r>
          </w:p>
        </w:tc>
      </w:tr>
    </w:tbl>
    <w:p/>
    <w:p>
      <w:pPr>
        <w:pStyle w:val="Heading1"/>
      </w:pPr>
      <w:r>
        <w:t>4. Accessibility, Disability, and Neurodiversity</w:t>
      </w:r>
    </w:p>
    <w:p>
      <w:r>
        <w:t>Accessibility includes language, communication, sensory, cognitive, physical, technological, and cultural access. Disability and neurodiversity may affect the format of assessment and intervention without defining the person’s goals or competence. Identify barriers, ask about preferences, adapt the setting or communication, and preserve participation and autonomy.</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2016"/>
            <w:shd w:fill="17365D"/>
            <w:tcBorders>
              <w:top w:val="single" w:sz="6" w:color="B8C4CE"/>
              <w:left w:val="single" w:sz="6" w:color="B8C4CE"/>
              <w:bottom w:val="single" w:sz="6" w:color="B8C4CE"/>
              <w:right w:val="single" w:sz="6" w:color="B8C4CE"/>
              <w:insideH w:val="single" w:sz="6" w:color="B8C4CE"/>
              <w:insideV w:val="single" w:sz="6" w:color="B8C4CE"/>
            </w:tcBorders>
          </w:tcPr>
          <w:p>
            <w:pPr>
              <w:jc w:val="center"/>
            </w:pPr>
            <w:r>
              <w:rPr>
                <w:rFonts w:ascii="Aptos" w:hAnsi="Aptos"/>
                <w:b/>
                <w:color w:val="FFFFFF"/>
                <w:sz w:val="18"/>
              </w:rPr>
              <w:t>Access Area</w:t>
            </w:r>
          </w:p>
        </w:tc>
        <w:tc>
          <w:tcPr>
            <w:tcW w:type="dxa" w:w="4536"/>
            <w:shd w:fill="17365D"/>
            <w:tcBorders>
              <w:top w:val="single" w:sz="6" w:color="B8C4CE"/>
              <w:left w:val="single" w:sz="6" w:color="B8C4CE"/>
              <w:bottom w:val="single" w:sz="6" w:color="B8C4CE"/>
              <w:right w:val="single" w:sz="6" w:color="B8C4CE"/>
              <w:insideH w:val="single" w:sz="6" w:color="B8C4CE"/>
              <w:insideV w:val="single" w:sz="6" w:color="B8C4CE"/>
            </w:tcBorders>
          </w:tcPr>
          <w:p>
            <w:pPr>
              <w:jc w:val="center"/>
            </w:pPr>
            <w:r>
              <w:rPr>
                <w:rFonts w:ascii="Aptos" w:hAnsi="Aptos"/>
                <w:b/>
                <w:color w:val="FFFFFF"/>
                <w:sz w:val="18"/>
              </w:rPr>
              <w:t>Responsive Assessment</w:t>
            </w:r>
          </w:p>
        </w:tc>
        <w:tc>
          <w:tcPr>
            <w:tcW w:type="dxa" w:w="3240"/>
            <w:shd w:fill="17365D"/>
            <w:tcBorders>
              <w:top w:val="single" w:sz="6" w:color="B8C4CE"/>
              <w:left w:val="single" w:sz="6" w:color="B8C4CE"/>
              <w:bottom w:val="single" w:sz="6" w:color="B8C4CE"/>
              <w:right w:val="single" w:sz="6" w:color="B8C4CE"/>
              <w:insideH w:val="single" w:sz="6" w:color="B8C4CE"/>
              <w:insideV w:val="single" w:sz="6" w:color="B8C4CE"/>
            </w:tcBorders>
          </w:tcPr>
          <w:p>
            <w:pPr>
              <w:jc w:val="center"/>
            </w:pPr>
            <w:r>
              <w:rPr>
                <w:rFonts w:ascii="Aptos" w:hAnsi="Aptos"/>
                <w:b/>
                <w:color w:val="FFFFFF"/>
                <w:sz w:val="18"/>
              </w:rPr>
              <w:t>Common Error</w:t>
            </w:r>
          </w:p>
        </w:tc>
      </w:tr>
      <w:tr>
        <w:trPr>
          <w:cantSplit/>
        </w:trPr>
        <w:tc>
          <w:tcPr>
            <w:tcW w:type="dxa" w:w="2016"/>
            <w:tcBorders>
              <w:top w:val="single" w:sz="6" w:color="B8C4CE"/>
              <w:left w:val="single" w:sz="6" w:color="B8C4CE"/>
              <w:bottom w:val="single" w:sz="6" w:color="B8C4CE"/>
              <w:right w:val="single" w:sz="6" w:color="B8C4CE"/>
              <w:insideH w:val="single" w:sz="6" w:color="B8C4CE"/>
              <w:insideV w:val="single" w:sz="6" w:color="B8C4CE"/>
            </w:tcBorders>
          </w:tcPr>
          <w:p>
            <w:r>
              <w:rPr>
                <w:rFonts w:ascii="Aptos" w:hAnsi="Aptos"/>
                <w:b/>
                <w:color w:val="1F2937"/>
                <w:sz w:val="18"/>
              </w:rPr>
              <w:t>Language</w:t>
            </w:r>
          </w:p>
        </w:tc>
        <w:tc>
          <w:tcPr>
            <w:tcW w:type="dxa" w:w="4536"/>
            <w:tcBorders>
              <w:top w:val="single" w:sz="6" w:color="B8C4CE"/>
              <w:left w:val="single" w:sz="6" w:color="B8C4CE"/>
              <w:bottom w:val="single" w:sz="6" w:color="B8C4CE"/>
              <w:right w:val="single" w:sz="6" w:color="B8C4CE"/>
              <w:insideH w:val="single" w:sz="6" w:color="B8C4CE"/>
              <w:insideV w:val="single" w:sz="6" w:color="B8C4CE"/>
            </w:tcBorders>
          </w:tcPr>
          <w:p>
            <w:r>
              <w:rPr>
                <w:rFonts w:ascii="Aptos" w:hAnsi="Aptos"/>
                <w:b w:val="0"/>
                <w:color w:val="1F2937"/>
                <w:sz w:val="18"/>
              </w:rPr>
              <w:t>Assess language preference and arrange qualified interpretation consistent with choice and setting requirements.</w:t>
            </w:r>
          </w:p>
        </w:tc>
        <w:tc>
          <w:tcPr>
            <w:tcW w:type="dxa" w:w="3240"/>
            <w:tcBorders>
              <w:top w:val="single" w:sz="6" w:color="B8C4CE"/>
              <w:left w:val="single" w:sz="6" w:color="B8C4CE"/>
              <w:bottom w:val="single" w:sz="6" w:color="B8C4CE"/>
              <w:right w:val="single" w:sz="6" w:color="B8C4CE"/>
              <w:insideH w:val="single" w:sz="6" w:color="B8C4CE"/>
              <w:insideV w:val="single" w:sz="6" w:color="B8C4CE"/>
            </w:tcBorders>
          </w:tcPr>
          <w:p>
            <w:r>
              <w:rPr>
                <w:rFonts w:ascii="Aptos" w:hAnsi="Aptos"/>
                <w:b w:val="0"/>
                <w:color w:val="1F2937"/>
                <w:sz w:val="18"/>
              </w:rPr>
              <w:t>Automatically using a child or family member for sensitive information.</w:t>
            </w:r>
          </w:p>
        </w:tc>
      </w:tr>
      <w:tr>
        <w:trPr>
          <w:cantSplit/>
        </w:trPr>
        <w:tc>
          <w:tcPr>
            <w:tcW w:type="dxa" w:w="2016"/>
            <w:tcBorders>
              <w:top w:val="single" w:sz="6" w:color="B8C4CE"/>
              <w:left w:val="single" w:sz="6" w:color="B8C4CE"/>
              <w:bottom w:val="single" w:sz="6" w:color="B8C4CE"/>
              <w:right w:val="single" w:sz="6" w:color="B8C4CE"/>
              <w:insideH w:val="single" w:sz="6" w:color="B8C4CE"/>
              <w:insideV w:val="single" w:sz="6" w:color="B8C4CE"/>
            </w:tcBorders>
            <w:shd w:fill="F3F4F6"/>
          </w:tcPr>
          <w:p>
            <w:r>
              <w:rPr>
                <w:rFonts w:ascii="Aptos" w:hAnsi="Aptos"/>
                <w:b/>
                <w:color w:val="1F2937"/>
                <w:sz w:val="18"/>
              </w:rPr>
              <w:t>Hearing or vision</w:t>
            </w:r>
          </w:p>
        </w:tc>
        <w:tc>
          <w:tcPr>
            <w:tcW w:type="dxa" w:w="4536"/>
            <w:tcBorders>
              <w:top w:val="single" w:sz="6" w:color="B8C4CE"/>
              <w:left w:val="single" w:sz="6" w:color="B8C4CE"/>
              <w:bottom w:val="single" w:sz="6" w:color="B8C4CE"/>
              <w:right w:val="single" w:sz="6" w:color="B8C4CE"/>
              <w:insideH w:val="single" w:sz="6" w:color="B8C4CE"/>
              <w:insideV w:val="single" w:sz="6" w:color="B8C4CE"/>
            </w:tcBorders>
            <w:shd w:fill="F3F4F6"/>
          </w:tcPr>
          <w:p>
            <w:r>
              <w:rPr>
                <w:rFonts w:ascii="Aptos" w:hAnsi="Aptos"/>
                <w:b w:val="0"/>
                <w:color w:val="1F2937"/>
                <w:sz w:val="18"/>
              </w:rPr>
              <w:t>Ask about preferred communication and accessible materials.</w:t>
            </w:r>
          </w:p>
        </w:tc>
        <w:tc>
          <w:tcPr>
            <w:tcW w:type="dxa" w:w="3240"/>
            <w:tcBorders>
              <w:top w:val="single" w:sz="6" w:color="B8C4CE"/>
              <w:left w:val="single" w:sz="6" w:color="B8C4CE"/>
              <w:bottom w:val="single" w:sz="6" w:color="B8C4CE"/>
              <w:right w:val="single" w:sz="6" w:color="B8C4CE"/>
              <w:insideH w:val="single" w:sz="6" w:color="B8C4CE"/>
              <w:insideV w:val="single" w:sz="6" w:color="B8C4CE"/>
            </w:tcBorders>
            <w:shd w:fill="F3F4F6"/>
          </w:tcPr>
          <w:p>
            <w:r>
              <w:rPr>
                <w:rFonts w:ascii="Aptos" w:hAnsi="Aptos"/>
                <w:b w:val="0"/>
                <w:color w:val="1F2937"/>
                <w:sz w:val="18"/>
              </w:rPr>
              <w:t>Assuming one accommodation fits all clients.</w:t>
            </w:r>
          </w:p>
        </w:tc>
      </w:tr>
      <w:tr>
        <w:trPr>
          <w:cantSplit/>
        </w:trPr>
        <w:tc>
          <w:tcPr>
            <w:tcW w:type="dxa" w:w="2016"/>
            <w:tcBorders>
              <w:top w:val="single" w:sz="6" w:color="B8C4CE"/>
              <w:left w:val="single" w:sz="6" w:color="B8C4CE"/>
              <w:bottom w:val="single" w:sz="6" w:color="B8C4CE"/>
              <w:right w:val="single" w:sz="6" w:color="B8C4CE"/>
              <w:insideH w:val="single" w:sz="6" w:color="B8C4CE"/>
              <w:insideV w:val="single" w:sz="6" w:color="B8C4CE"/>
            </w:tcBorders>
          </w:tcPr>
          <w:p>
            <w:r>
              <w:rPr>
                <w:rFonts w:ascii="Aptos" w:hAnsi="Aptos"/>
                <w:b/>
                <w:color w:val="1F2937"/>
                <w:sz w:val="18"/>
              </w:rPr>
              <w:t>Mobility or chronic illness</w:t>
            </w:r>
          </w:p>
        </w:tc>
        <w:tc>
          <w:tcPr>
            <w:tcW w:type="dxa" w:w="4536"/>
            <w:tcBorders>
              <w:top w:val="single" w:sz="6" w:color="B8C4CE"/>
              <w:left w:val="single" w:sz="6" w:color="B8C4CE"/>
              <w:bottom w:val="single" w:sz="6" w:color="B8C4CE"/>
              <w:right w:val="single" w:sz="6" w:color="B8C4CE"/>
              <w:insideH w:val="single" w:sz="6" w:color="B8C4CE"/>
              <w:insideV w:val="single" w:sz="6" w:color="B8C4CE"/>
            </w:tcBorders>
          </w:tcPr>
          <w:p>
            <w:r>
              <w:rPr>
                <w:rFonts w:ascii="Aptos" w:hAnsi="Aptos"/>
                <w:b w:val="0"/>
                <w:color w:val="1F2937"/>
                <w:sz w:val="18"/>
              </w:rPr>
              <w:t>Assess physical access, fatigue, pain, transportation, scheduling, and care needs.</w:t>
            </w:r>
          </w:p>
        </w:tc>
        <w:tc>
          <w:tcPr>
            <w:tcW w:type="dxa" w:w="3240"/>
            <w:tcBorders>
              <w:top w:val="single" w:sz="6" w:color="B8C4CE"/>
              <w:left w:val="single" w:sz="6" w:color="B8C4CE"/>
              <w:bottom w:val="single" w:sz="6" w:color="B8C4CE"/>
              <w:right w:val="single" w:sz="6" w:color="B8C4CE"/>
              <w:insideH w:val="single" w:sz="6" w:color="B8C4CE"/>
              <w:insideV w:val="single" w:sz="6" w:color="B8C4CE"/>
            </w:tcBorders>
          </w:tcPr>
          <w:p>
            <w:r>
              <w:rPr>
                <w:rFonts w:ascii="Aptos" w:hAnsi="Aptos"/>
                <w:b w:val="0"/>
                <w:color w:val="1F2937"/>
                <w:sz w:val="18"/>
              </w:rPr>
              <w:t>Interpreting missed appointments before assessing barriers.</w:t>
            </w:r>
          </w:p>
        </w:tc>
      </w:tr>
      <w:tr>
        <w:trPr>
          <w:cantSplit/>
        </w:trPr>
        <w:tc>
          <w:tcPr>
            <w:tcW w:type="dxa" w:w="2016"/>
            <w:tcBorders>
              <w:top w:val="single" w:sz="6" w:color="B8C4CE"/>
              <w:left w:val="single" w:sz="6" w:color="B8C4CE"/>
              <w:bottom w:val="single" w:sz="6" w:color="B8C4CE"/>
              <w:right w:val="single" w:sz="6" w:color="B8C4CE"/>
              <w:insideH w:val="single" w:sz="6" w:color="B8C4CE"/>
              <w:insideV w:val="single" w:sz="6" w:color="B8C4CE"/>
            </w:tcBorders>
            <w:shd w:fill="F3F4F6"/>
          </w:tcPr>
          <w:p>
            <w:r>
              <w:rPr>
                <w:rFonts w:ascii="Aptos" w:hAnsi="Aptos"/>
                <w:b/>
                <w:color w:val="1F2937"/>
                <w:sz w:val="18"/>
              </w:rPr>
              <w:t>Cognitive or learning needs</w:t>
            </w:r>
          </w:p>
        </w:tc>
        <w:tc>
          <w:tcPr>
            <w:tcW w:type="dxa" w:w="4536"/>
            <w:tcBorders>
              <w:top w:val="single" w:sz="6" w:color="B8C4CE"/>
              <w:left w:val="single" w:sz="6" w:color="B8C4CE"/>
              <w:bottom w:val="single" w:sz="6" w:color="B8C4CE"/>
              <w:right w:val="single" w:sz="6" w:color="B8C4CE"/>
              <w:insideH w:val="single" w:sz="6" w:color="B8C4CE"/>
              <w:insideV w:val="single" w:sz="6" w:color="B8C4CE"/>
            </w:tcBorders>
            <w:shd w:fill="F3F4F6"/>
          </w:tcPr>
          <w:p>
            <w:r>
              <w:rPr>
                <w:rFonts w:ascii="Aptos" w:hAnsi="Aptos"/>
                <w:b w:val="0"/>
                <w:color w:val="1F2937"/>
                <w:sz w:val="18"/>
              </w:rPr>
              <w:t>Use clear language, repetition, visuals, pacing, and supported decision-making as appropriate.</w:t>
            </w:r>
          </w:p>
        </w:tc>
        <w:tc>
          <w:tcPr>
            <w:tcW w:type="dxa" w:w="3240"/>
            <w:tcBorders>
              <w:top w:val="single" w:sz="6" w:color="B8C4CE"/>
              <w:left w:val="single" w:sz="6" w:color="B8C4CE"/>
              <w:bottom w:val="single" w:sz="6" w:color="B8C4CE"/>
              <w:right w:val="single" w:sz="6" w:color="B8C4CE"/>
              <w:insideH w:val="single" w:sz="6" w:color="B8C4CE"/>
              <w:insideV w:val="single" w:sz="6" w:color="B8C4CE"/>
            </w:tcBorders>
            <w:shd w:fill="F3F4F6"/>
          </w:tcPr>
          <w:p>
            <w:r>
              <w:rPr>
                <w:rFonts w:ascii="Aptos" w:hAnsi="Aptos"/>
                <w:b w:val="0"/>
                <w:color w:val="1F2937"/>
                <w:sz w:val="18"/>
              </w:rPr>
              <w:t>Confusing communication differences with lack of capacity.</w:t>
            </w:r>
          </w:p>
        </w:tc>
      </w:tr>
      <w:tr>
        <w:trPr>
          <w:cantSplit/>
        </w:trPr>
        <w:tc>
          <w:tcPr>
            <w:tcW w:type="dxa" w:w="2016"/>
            <w:tcBorders>
              <w:top w:val="single" w:sz="6" w:color="B8C4CE"/>
              <w:left w:val="single" w:sz="6" w:color="B8C4CE"/>
              <w:bottom w:val="single" w:sz="6" w:color="B8C4CE"/>
              <w:right w:val="single" w:sz="6" w:color="B8C4CE"/>
              <w:insideH w:val="single" w:sz="6" w:color="B8C4CE"/>
              <w:insideV w:val="single" w:sz="6" w:color="B8C4CE"/>
            </w:tcBorders>
          </w:tcPr>
          <w:p>
            <w:r>
              <w:rPr>
                <w:rFonts w:ascii="Aptos" w:hAnsi="Aptos"/>
                <w:b/>
                <w:color w:val="1F2937"/>
                <w:sz w:val="18"/>
              </w:rPr>
              <w:t>Neurodiversity</w:t>
            </w:r>
          </w:p>
        </w:tc>
        <w:tc>
          <w:tcPr>
            <w:tcW w:type="dxa" w:w="4536"/>
            <w:tcBorders>
              <w:top w:val="single" w:sz="6" w:color="B8C4CE"/>
              <w:left w:val="single" w:sz="6" w:color="B8C4CE"/>
              <w:bottom w:val="single" w:sz="6" w:color="B8C4CE"/>
              <w:right w:val="single" w:sz="6" w:color="B8C4CE"/>
              <w:insideH w:val="single" w:sz="6" w:color="B8C4CE"/>
              <w:insideV w:val="single" w:sz="6" w:color="B8C4CE"/>
            </w:tcBorders>
          </w:tcPr>
          <w:p>
            <w:r>
              <w:rPr>
                <w:rFonts w:ascii="Aptos" w:hAnsi="Aptos"/>
                <w:b w:val="0"/>
                <w:color w:val="1F2937"/>
                <w:sz w:val="18"/>
              </w:rPr>
              <w:t>Assess sensory needs, communication style, executive functioning, strengths, and environmental fit.</w:t>
            </w:r>
          </w:p>
        </w:tc>
        <w:tc>
          <w:tcPr>
            <w:tcW w:type="dxa" w:w="3240"/>
            <w:tcBorders>
              <w:top w:val="single" w:sz="6" w:color="B8C4CE"/>
              <w:left w:val="single" w:sz="6" w:color="B8C4CE"/>
              <w:bottom w:val="single" w:sz="6" w:color="B8C4CE"/>
              <w:right w:val="single" w:sz="6" w:color="B8C4CE"/>
              <w:insideH w:val="single" w:sz="6" w:color="B8C4CE"/>
              <w:insideV w:val="single" w:sz="6" w:color="B8C4CE"/>
            </w:tcBorders>
          </w:tcPr>
          <w:p>
            <w:r>
              <w:rPr>
                <w:rFonts w:ascii="Aptos" w:hAnsi="Aptos"/>
                <w:b w:val="0"/>
                <w:color w:val="1F2937"/>
                <w:sz w:val="18"/>
              </w:rPr>
              <w:t>Treating difference as a behavior problem without context.</w:t>
            </w:r>
          </w:p>
        </w:tc>
      </w:tr>
    </w:tbl>
    <w:p/>
    <w:p>
      <w:pPr>
        <w:pStyle w:val="Heading1"/>
      </w:pPr>
      <w:r>
        <w:t>5. Trauma, Historical Context, and Resilience</w:t>
      </w:r>
    </w:p>
    <w:p>
      <w:r>
        <w:t>Trauma may be acute, chronic, complex, intergenerational, historical, or collective. Context influences exposure, meaning, available resources, and recovery. Do not assume trauma from identity, migration, military service, foster care, or community status; assess what occurred and its impact. Resilience may be individual, family, cultural, spiritual, community, or institutional.</w:t>
      </w:r>
    </w:p>
    <w:p>
      <w:pPr>
        <w:pStyle w:val="ListBullet"/>
        <w:spacing w:after="60"/>
      </w:pPr>
      <w:r>
        <w:t>Safety: Current danger, instability, coercion, and basic needs.</w:t>
      </w:r>
    </w:p>
    <w:p>
      <w:pPr>
        <w:pStyle w:val="ListBullet"/>
        <w:spacing w:after="60"/>
      </w:pPr>
      <w:r>
        <w:t>Regulation: Sleep, arousal, avoidance, dissociation, emotion regulation, and coping.</w:t>
      </w:r>
    </w:p>
    <w:p>
      <w:pPr>
        <w:pStyle w:val="ListBullet"/>
        <w:spacing w:after="60"/>
      </w:pPr>
      <w:r>
        <w:t>Connection: Supportive relationships, community, culture, faith, and trusted systems.</w:t>
      </w:r>
    </w:p>
    <w:p>
      <w:pPr>
        <w:pStyle w:val="ListBullet"/>
        <w:spacing w:after="60"/>
      </w:pPr>
      <w:r>
        <w:t>Agency: Choice, pacing, participation, and dignity.</w:t>
      </w:r>
    </w:p>
    <w:p>
      <w:pPr>
        <w:pStyle w:val="ListBullet"/>
        <w:spacing w:after="60"/>
      </w:pPr>
      <w:r>
        <w:t>Context: Ongoing discrimination, poverty, displacement, or institutional response.</w:t>
      </w:r>
    </w:p>
    <w:p>
      <w:pPr>
        <w:pStyle w:val="ListBullet"/>
        <w:spacing w:after="60"/>
      </w:pPr>
      <w:r>
        <w:t>Strengths: Survival skills, resources, and protective factors without minimizing suffering.</w:t>
      </w:r>
    </w:p>
    <w:p>
      <w:pPr>
        <w:pStyle w:val="Heading1"/>
      </w:pPr>
      <w:r>
        <w:t>6. The LCSW Person-in-Environment Lens</w:t>
      </w:r>
    </w:p>
    <w:p>
      <w:r>
        <w:t>ASWB-style reasoning asks the social worker to assess the person and environment, involve the client or client system, identify barriers and strengths, and then choose the least assumptive next action. Resource navigation and clinical assessment often occur together.</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3024"/>
            <w:shd w:fill="17365D"/>
            <w:tcBorders>
              <w:top w:val="single" w:sz="6" w:color="B8C4CE"/>
              <w:left w:val="single" w:sz="6" w:color="B8C4CE"/>
              <w:bottom w:val="single" w:sz="6" w:color="B8C4CE"/>
              <w:right w:val="single" w:sz="6" w:color="B8C4CE"/>
              <w:insideH w:val="single" w:sz="6" w:color="B8C4CE"/>
              <w:insideV w:val="single" w:sz="6" w:color="B8C4CE"/>
            </w:tcBorders>
          </w:tcPr>
          <w:p>
            <w:pPr>
              <w:jc w:val="center"/>
            </w:pPr>
            <w:r>
              <w:rPr>
                <w:rFonts w:ascii="Aptos" w:hAnsi="Aptos"/>
                <w:b/>
                <w:color w:val="FFFFFF"/>
                <w:sz w:val="18"/>
              </w:rPr>
              <w:t>ASWB Content Area</w:t>
            </w:r>
          </w:p>
        </w:tc>
        <w:tc>
          <w:tcPr>
            <w:tcW w:type="dxa" w:w="6768"/>
            <w:shd w:fill="17365D"/>
            <w:tcBorders>
              <w:top w:val="single" w:sz="6" w:color="B8C4CE"/>
              <w:left w:val="single" w:sz="6" w:color="B8C4CE"/>
              <w:bottom w:val="single" w:sz="6" w:color="B8C4CE"/>
              <w:right w:val="single" w:sz="6" w:color="B8C4CE"/>
              <w:insideH w:val="single" w:sz="6" w:color="B8C4CE"/>
              <w:insideV w:val="single" w:sz="6" w:color="B8C4CE"/>
            </w:tcBorders>
          </w:tcPr>
          <w:p>
            <w:pPr>
              <w:jc w:val="center"/>
            </w:pPr>
            <w:r>
              <w:rPr>
                <w:rFonts w:ascii="Aptos" w:hAnsi="Aptos"/>
                <w:b/>
                <w:color w:val="FFFFFF"/>
                <w:sz w:val="18"/>
              </w:rPr>
              <w:t>High-Yield Focus</w:t>
            </w:r>
          </w:p>
        </w:tc>
      </w:tr>
      <w:tr>
        <w:trPr>
          <w:cantSplit/>
        </w:trPr>
        <w:tc>
          <w:tcPr>
            <w:tcW w:type="dxa" w:w="3024"/>
            <w:tcBorders>
              <w:top w:val="single" w:sz="6" w:color="B8C4CE"/>
              <w:left w:val="single" w:sz="6" w:color="B8C4CE"/>
              <w:bottom w:val="single" w:sz="6" w:color="B8C4CE"/>
              <w:right w:val="single" w:sz="6" w:color="B8C4CE"/>
              <w:insideH w:val="single" w:sz="6" w:color="B8C4CE"/>
              <w:insideV w:val="single" w:sz="6" w:color="B8C4CE"/>
            </w:tcBorders>
          </w:tcPr>
          <w:p>
            <w:r>
              <w:rPr>
                <w:rFonts w:ascii="Aptos" w:hAnsi="Aptos"/>
                <w:b/>
                <w:color w:val="1F2937"/>
                <w:sz w:val="18"/>
              </w:rPr>
              <w:t>Diversity and Social Justice</w:t>
            </w:r>
          </w:p>
        </w:tc>
        <w:tc>
          <w:tcPr>
            <w:tcW w:type="dxa" w:w="6768"/>
            <w:tcBorders>
              <w:top w:val="single" w:sz="6" w:color="B8C4CE"/>
              <w:left w:val="single" w:sz="6" w:color="B8C4CE"/>
              <w:bottom w:val="single" w:sz="6" w:color="B8C4CE"/>
              <w:right w:val="single" w:sz="6" w:color="B8C4CE"/>
              <w:insideH w:val="single" w:sz="6" w:color="B8C4CE"/>
              <w:insideV w:val="single" w:sz="6" w:color="B8C4CE"/>
            </w:tcBorders>
          </w:tcPr>
          <w:p>
            <w:r>
              <w:rPr>
                <w:rFonts w:ascii="Aptos" w:hAnsi="Aptos"/>
                <w:b w:val="0"/>
                <w:color w:val="1F2937"/>
                <w:sz w:val="18"/>
              </w:rPr>
              <w:t>Anti-oppressive and anti-racist practice, justice, identity, accessibility, power, privilege, bias, exploitation, immigration, and service delivery.</w:t>
            </w:r>
          </w:p>
        </w:tc>
      </w:tr>
      <w:tr>
        <w:trPr>
          <w:cantSplit/>
        </w:trPr>
        <w:tc>
          <w:tcPr>
            <w:tcW w:type="dxa" w:w="3024"/>
            <w:tcBorders>
              <w:top w:val="single" w:sz="6" w:color="B8C4CE"/>
              <w:left w:val="single" w:sz="6" w:color="B8C4CE"/>
              <w:bottom w:val="single" w:sz="6" w:color="B8C4CE"/>
              <w:right w:val="single" w:sz="6" w:color="B8C4CE"/>
              <w:insideH w:val="single" w:sz="6" w:color="B8C4CE"/>
              <w:insideV w:val="single" w:sz="6" w:color="B8C4CE"/>
            </w:tcBorders>
            <w:shd w:fill="F3F4F6"/>
          </w:tcPr>
          <w:p>
            <w:r>
              <w:rPr>
                <w:rFonts w:ascii="Aptos" w:hAnsi="Aptos"/>
                <w:b/>
                <w:color w:val="1F2937"/>
                <w:sz w:val="18"/>
              </w:rPr>
              <w:t>Assessment Concepts</w:t>
            </w:r>
          </w:p>
        </w:tc>
        <w:tc>
          <w:tcPr>
            <w:tcW w:type="dxa" w:w="6768"/>
            <w:tcBorders>
              <w:top w:val="single" w:sz="6" w:color="B8C4CE"/>
              <w:left w:val="single" w:sz="6" w:color="B8C4CE"/>
              <w:bottom w:val="single" w:sz="6" w:color="B8C4CE"/>
              <w:right w:val="single" w:sz="6" w:color="B8C4CE"/>
              <w:insideH w:val="single" w:sz="6" w:color="B8C4CE"/>
              <w:insideV w:val="single" w:sz="6" w:color="B8C4CE"/>
            </w:tcBorders>
            <w:shd w:fill="F3F4F6"/>
          </w:tcPr>
          <w:p>
            <w:r>
              <w:rPr>
                <w:rFonts w:ascii="Aptos" w:hAnsi="Aptos"/>
                <w:b w:val="0"/>
                <w:color w:val="1F2937"/>
                <w:sz w:val="18"/>
              </w:rPr>
              <w:t>Development, aging, family dynamics, poverty, trauma, displacement, caregiving, ability, spirituality, technology, climate, and social determinants.</w:t>
            </w:r>
          </w:p>
        </w:tc>
      </w:tr>
      <w:tr>
        <w:trPr>
          <w:cantSplit/>
        </w:trPr>
        <w:tc>
          <w:tcPr>
            <w:tcW w:type="dxa" w:w="3024"/>
            <w:tcBorders>
              <w:top w:val="single" w:sz="6" w:color="B8C4CE"/>
              <w:left w:val="single" w:sz="6" w:color="B8C4CE"/>
              <w:bottom w:val="single" w:sz="6" w:color="B8C4CE"/>
              <w:right w:val="single" w:sz="6" w:color="B8C4CE"/>
              <w:insideH w:val="single" w:sz="6" w:color="B8C4CE"/>
              <w:insideV w:val="single" w:sz="6" w:color="B8C4CE"/>
            </w:tcBorders>
          </w:tcPr>
          <w:p>
            <w:r>
              <w:rPr>
                <w:rFonts w:ascii="Aptos" w:hAnsi="Aptos"/>
                <w:b/>
                <w:color w:val="1F2937"/>
                <w:sz w:val="18"/>
              </w:rPr>
              <w:t>Assessment Methods</w:t>
            </w:r>
          </w:p>
        </w:tc>
        <w:tc>
          <w:tcPr>
            <w:tcW w:type="dxa" w:w="6768"/>
            <w:tcBorders>
              <w:top w:val="single" w:sz="6" w:color="B8C4CE"/>
              <w:left w:val="single" w:sz="6" w:color="B8C4CE"/>
              <w:bottom w:val="single" w:sz="6" w:color="B8C4CE"/>
              <w:right w:val="single" w:sz="6" w:color="B8C4CE"/>
              <w:insideH w:val="single" w:sz="6" w:color="B8C4CE"/>
              <w:insideV w:val="single" w:sz="6" w:color="B8C4CE"/>
            </w:tcBorders>
          </w:tcPr>
          <w:p>
            <w:r>
              <w:rPr>
                <w:rFonts w:ascii="Aptos" w:hAnsi="Aptos"/>
                <w:b w:val="0"/>
                <w:color w:val="1F2937"/>
                <w:sz w:val="18"/>
              </w:rPr>
              <w:t>Interviewing, interpreters, client involvement, motivation, resilience, strengths, resources, needs, challenges, and sensitive information.</w:t>
            </w:r>
          </w:p>
        </w:tc>
      </w:tr>
      <w:tr>
        <w:trPr>
          <w:cantSplit/>
        </w:trPr>
        <w:tc>
          <w:tcPr>
            <w:tcW w:type="dxa" w:w="3024"/>
            <w:tcBorders>
              <w:top w:val="single" w:sz="6" w:color="B8C4CE"/>
              <w:left w:val="single" w:sz="6" w:color="B8C4CE"/>
              <w:bottom w:val="single" w:sz="6" w:color="B8C4CE"/>
              <w:right w:val="single" w:sz="6" w:color="B8C4CE"/>
              <w:insideH w:val="single" w:sz="6" w:color="B8C4CE"/>
              <w:insideV w:val="single" w:sz="6" w:color="B8C4CE"/>
            </w:tcBorders>
            <w:shd w:fill="F3F4F6"/>
          </w:tcPr>
          <w:p>
            <w:r>
              <w:rPr>
                <w:rFonts w:ascii="Aptos" w:hAnsi="Aptos"/>
                <w:b/>
                <w:color w:val="1F2937"/>
                <w:sz w:val="18"/>
              </w:rPr>
              <w:t>Assessment Practices</w:t>
            </w:r>
          </w:p>
        </w:tc>
        <w:tc>
          <w:tcPr>
            <w:tcW w:type="dxa" w:w="6768"/>
            <w:tcBorders>
              <w:top w:val="single" w:sz="6" w:color="B8C4CE"/>
              <w:left w:val="single" w:sz="6" w:color="B8C4CE"/>
              <w:bottom w:val="single" w:sz="6" w:color="B8C4CE"/>
              <w:right w:val="single" w:sz="6" w:color="B8C4CE"/>
              <w:insideH w:val="single" w:sz="6" w:color="B8C4CE"/>
              <w:insideV w:val="single" w:sz="6" w:color="B8C4CE"/>
            </w:tcBorders>
            <w:shd w:fill="F3F4F6"/>
          </w:tcPr>
          <w:p>
            <w:r>
              <w:rPr>
                <w:rFonts w:ascii="Aptos" w:hAnsi="Aptos"/>
                <w:b w:val="0"/>
                <w:color w:val="1F2937"/>
                <w:sz w:val="18"/>
              </w:rPr>
              <w:t>Community resources, planning, treatment selection, developmental level, culture, life stage, and culturally responsive planning.</w:t>
            </w:r>
          </w:p>
        </w:tc>
      </w:tr>
    </w:tbl>
    <w:p/>
    <w:tbl>
      <w:tblPr>
        <w:tblW w:type="auto" w:w="0"/>
        <w:jc w:val="center"/>
        <w:tblLayout w:type="autofit"/>
        <w:tblLook w:firstColumn="1" w:firstRow="1" w:lastColumn="0" w:lastRow="0" w:noHBand="0" w:noVBand="1" w:val="04A0"/>
      </w:tblPr>
      <w:tblGrid>
        <w:gridCol w:w="10080"/>
      </w:tblGrid>
      <w:tr>
        <w:trPr>
          <w:cantSplit/>
        </w:trPr>
        <w:tc>
          <w:tcPr>
            <w:tcW w:type="dxa" w:w="10080"/>
            <w:shd w:fill="D9EAF7"/>
            <w:tcBorders>
              <w:top w:val="single" w:sz="6" w:color="A7BDC6"/>
              <w:left w:val="single" w:sz="6" w:color="A7BDC6"/>
              <w:bottom w:val="single" w:sz="6" w:color="A7BDC6"/>
              <w:right w:val="single" w:sz="6" w:color="A7BDC6"/>
              <w:insideH w:val="single" w:sz="6" w:color="A7BDC6"/>
              <w:insideV w:val="single" w:sz="6" w:color="A7BDC6"/>
            </w:tcBorders>
          </w:tcPr>
          <w:p>
            <w:r>
              <w:rPr>
                <w:rFonts w:ascii="Aptos" w:hAnsi="Aptos"/>
                <w:b/>
                <w:color w:val="1F4E78"/>
                <w:sz w:val="19"/>
              </w:rPr>
              <w:t xml:space="preserve">LCSW MEMORY AID: </w:t>
            </w:r>
            <w:r>
              <w:rPr>
                <w:rFonts w:ascii="Aptos" w:hAnsi="Aptos"/>
                <w:color w:val="1F2937"/>
                <w:sz w:val="19"/>
              </w:rPr>
              <w:t>PERSON + DEVELOPMENT + FAMILY/COMMUNITY + STRUCTURAL CONDITIONS + ACCESS + CLIENT CHOICE + RESOURCES = PERSON-IN-ENVIRONMENT REASONING</w:t>
            </w:r>
          </w:p>
        </w:tc>
      </w:tr>
    </w:tbl>
    <w:p/>
    <w:p>
      <w:pPr>
        <w:pStyle w:val="Heading1"/>
      </w:pPr>
      <w:r>
        <w:t>7. Person-in-Environment Reasoning Sequence</w:t>
      </w:r>
    </w:p>
    <w:p>
      <w:pPr>
        <w:spacing w:after="60"/>
        <w:ind w:left="259" w:hanging="259"/>
      </w:pPr>
      <w:r>
        <w:rPr>
          <w:rFonts w:ascii="Aptos" w:hAnsi="Aptos"/>
          <w:b/>
          <w:color w:val="17365D"/>
          <w:sz w:val="21"/>
        </w:rPr>
        <w:t xml:space="preserve">1.  </w:t>
      </w:r>
      <w:r>
        <w:t>Locate the client in time: age, developmental level, life stage, family or community transition, and recent change.</w:t>
      </w:r>
    </w:p>
    <w:p>
      <w:pPr>
        <w:spacing w:after="60"/>
        <w:ind w:left="259" w:hanging="259"/>
      </w:pPr>
      <w:r>
        <w:rPr>
          <w:rFonts w:ascii="Aptos" w:hAnsi="Aptos"/>
          <w:b/>
          <w:color w:val="17365D"/>
          <w:sz w:val="21"/>
        </w:rPr>
        <w:t xml:space="preserve">2.  </w:t>
      </w:r>
      <w:r>
        <w:t>Identify the systems: family, peers, school, work, health care, legal, military, community, culture, and services.</w:t>
      </w:r>
    </w:p>
    <w:p>
      <w:pPr>
        <w:spacing w:after="60"/>
        <w:ind w:left="259" w:hanging="259"/>
      </w:pPr>
      <w:r>
        <w:rPr>
          <w:rFonts w:ascii="Aptos" w:hAnsi="Aptos"/>
          <w:b/>
          <w:color w:val="17365D"/>
          <w:sz w:val="21"/>
        </w:rPr>
        <w:t xml:space="preserve">3.  </w:t>
      </w:r>
      <w:r>
        <w:t>Ask what changed: loss, conflict, discrimination, illness, displacement, role change, or access barrier.</w:t>
      </w:r>
    </w:p>
    <w:p>
      <w:pPr>
        <w:spacing w:after="60"/>
        <w:ind w:left="259" w:hanging="259"/>
      </w:pPr>
      <w:r>
        <w:rPr>
          <w:rFonts w:ascii="Aptos" w:hAnsi="Aptos"/>
          <w:b/>
          <w:color w:val="17365D"/>
          <w:sz w:val="21"/>
        </w:rPr>
        <w:t xml:space="preserve">4.  </w:t>
      </w:r>
      <w:r>
        <w:t>Assess meaning and impact: client perspective, symptoms, functioning, safety, relationships, identity, and goals.</w:t>
      </w:r>
    </w:p>
    <w:p>
      <w:pPr>
        <w:spacing w:after="60"/>
        <w:ind w:left="259" w:hanging="259"/>
      </w:pPr>
      <w:r>
        <w:rPr>
          <w:rFonts w:ascii="Aptos" w:hAnsi="Aptos"/>
          <w:b/>
          <w:color w:val="17365D"/>
          <w:sz w:val="21"/>
        </w:rPr>
        <w:t xml:space="preserve">5.  </w:t>
      </w:r>
      <w:r>
        <w:t>Identify strengths and barriers: coping, support, resources, resilience, accessibility, power, and structural constraints.</w:t>
      </w:r>
    </w:p>
    <w:p>
      <w:pPr>
        <w:spacing w:after="60"/>
        <w:ind w:left="259" w:hanging="259"/>
      </w:pPr>
      <w:r>
        <w:rPr>
          <w:rFonts w:ascii="Aptos" w:hAnsi="Aptos"/>
          <w:b/>
          <w:color w:val="17365D"/>
          <w:sz w:val="21"/>
        </w:rPr>
        <w:t xml:space="preserve">6.  </w:t>
      </w:r>
      <w:r>
        <w:t>Include the client or client system: clarify priorities, preferences, readiness, and choices.</w:t>
      </w:r>
    </w:p>
    <w:p>
      <w:pPr>
        <w:spacing w:after="60"/>
        <w:ind w:left="259" w:hanging="259"/>
      </w:pPr>
      <w:r>
        <w:rPr>
          <w:rFonts w:ascii="Aptos" w:hAnsi="Aptos"/>
          <w:b/>
          <w:color w:val="17365D"/>
          <w:sz w:val="21"/>
        </w:rPr>
        <w:t xml:space="preserve">7.  </w:t>
      </w:r>
      <w:r>
        <w:t>Select the next action: assess further, address urgent needs, adapt access, coordinate resources, plan, refer, or intervene.</w:t>
      </w:r>
    </w:p>
    <w:p>
      <w:pPr>
        <w:pStyle w:val="Heading1"/>
      </w:pPr>
      <w:r>
        <w:t>Worked Example</w:t>
      </w:r>
    </w:p>
    <w:p>
      <w:r>
        <w:t>A parent reports anxiety, missed medical appointments, and difficulty helping a child attend school after the family loses reliable transportation.</w:t>
      </w:r>
    </w:p>
    <w:tbl>
      <w:tblPr>
        <w:tblW w:type="auto" w:w="0"/>
        <w:jc w:val="center"/>
        <w:tblLayout w:type="autofit"/>
        <w:tblLook w:firstColumn="1" w:firstRow="1" w:lastColumn="0" w:lastRow="0" w:noHBand="0" w:noVBand="1" w:val="04A0"/>
      </w:tblPr>
      <w:tblGrid>
        <w:gridCol w:w="10080"/>
      </w:tblGrid>
      <w:tr>
        <w:trPr>
          <w:cantSplit/>
        </w:trPr>
        <w:tc>
          <w:tcPr>
            <w:tcW w:type="dxa" w:w="10080"/>
            <w:shd w:fill="D9EDEB"/>
            <w:tcBorders>
              <w:top w:val="single" w:sz="6" w:color="A7BDC6"/>
              <w:left w:val="single" w:sz="6" w:color="A7BDC6"/>
              <w:bottom w:val="single" w:sz="6" w:color="A7BDC6"/>
              <w:right w:val="single" w:sz="6" w:color="A7BDC6"/>
              <w:insideH w:val="single" w:sz="6" w:color="A7BDC6"/>
              <w:insideV w:val="single" w:sz="6" w:color="A7BDC6"/>
            </w:tcBorders>
          </w:tcPr>
          <w:p>
            <w:r>
              <w:rPr>
                <w:rFonts w:ascii="Aptos" w:hAnsi="Aptos"/>
                <w:b/>
                <w:color w:val="0E7490"/>
                <w:sz w:val="19"/>
              </w:rPr>
              <w:t xml:space="preserve">BEST INITIAL RESPONSE: </w:t>
            </w:r>
            <w:r>
              <w:rPr>
                <w:rFonts w:ascii="Aptos" w:hAnsi="Aptos"/>
                <w:color w:val="1F2937"/>
                <w:sz w:val="19"/>
              </w:rPr>
              <w:t>Assess transportation, medical urgency, school impact, finances, benefits, informal supports, accessibility, client priorities, and the emotional effects of the disruption. Do not label the parent noncompliant or begin anxiety treatment in isolation.</w:t>
            </w:r>
          </w:p>
        </w:tc>
      </w:tr>
    </w:tbl>
    <w:p/>
    <w:p>
      <w:pPr>
        <w:pStyle w:val="Heading1"/>
      </w:pPr>
      <w:r>
        <w:t>Common Exam Traps</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3024"/>
            <w:shd w:fill="17365D"/>
            <w:tcBorders>
              <w:top w:val="single" w:sz="6" w:color="B8C4CE"/>
              <w:left w:val="single" w:sz="6" w:color="B8C4CE"/>
              <w:bottom w:val="single" w:sz="6" w:color="B8C4CE"/>
              <w:right w:val="single" w:sz="6" w:color="B8C4CE"/>
              <w:insideH w:val="single" w:sz="6" w:color="B8C4CE"/>
              <w:insideV w:val="single" w:sz="6" w:color="B8C4CE"/>
            </w:tcBorders>
          </w:tcPr>
          <w:p>
            <w:pPr>
              <w:jc w:val="center"/>
            </w:pPr>
            <w:r>
              <w:rPr>
                <w:rFonts w:ascii="Aptos" w:hAnsi="Aptos"/>
                <w:b/>
                <w:color w:val="FFFFFF"/>
                <w:sz w:val="18"/>
              </w:rPr>
              <w:t>Trap</w:t>
            </w:r>
          </w:p>
        </w:tc>
        <w:tc>
          <w:tcPr>
            <w:tcW w:type="dxa" w:w="6768"/>
            <w:shd w:fill="17365D"/>
            <w:tcBorders>
              <w:top w:val="single" w:sz="6" w:color="B8C4CE"/>
              <w:left w:val="single" w:sz="6" w:color="B8C4CE"/>
              <w:bottom w:val="single" w:sz="6" w:color="B8C4CE"/>
              <w:right w:val="single" w:sz="6" w:color="B8C4CE"/>
              <w:insideH w:val="single" w:sz="6" w:color="B8C4CE"/>
              <w:insideV w:val="single" w:sz="6" w:color="B8C4CE"/>
            </w:tcBorders>
          </w:tcPr>
          <w:p>
            <w:pPr>
              <w:jc w:val="center"/>
            </w:pPr>
            <w:r>
              <w:rPr>
                <w:rFonts w:ascii="Aptos" w:hAnsi="Aptos"/>
                <w:b/>
                <w:color w:val="FFFFFF"/>
                <w:sz w:val="18"/>
              </w:rPr>
              <w:t>Why It Fails</w:t>
            </w:r>
          </w:p>
        </w:tc>
      </w:tr>
      <w:tr>
        <w:trPr>
          <w:cantSplit/>
        </w:trPr>
        <w:tc>
          <w:tcPr>
            <w:tcW w:type="dxa" w:w="3024"/>
            <w:tcBorders>
              <w:top w:val="single" w:sz="6" w:color="B8C4CE"/>
              <w:left w:val="single" w:sz="6" w:color="B8C4CE"/>
              <w:bottom w:val="single" w:sz="6" w:color="B8C4CE"/>
              <w:right w:val="single" w:sz="6" w:color="B8C4CE"/>
              <w:insideH w:val="single" w:sz="6" w:color="B8C4CE"/>
              <w:insideV w:val="single" w:sz="6" w:color="B8C4CE"/>
            </w:tcBorders>
          </w:tcPr>
          <w:p>
            <w:r>
              <w:rPr>
                <w:rFonts w:ascii="Aptos" w:hAnsi="Aptos"/>
                <w:b/>
                <w:color w:val="1F2937"/>
                <w:sz w:val="18"/>
              </w:rPr>
              <w:t>Individualizing structural problems</w:t>
            </w:r>
          </w:p>
        </w:tc>
        <w:tc>
          <w:tcPr>
            <w:tcW w:type="dxa" w:w="6768"/>
            <w:tcBorders>
              <w:top w:val="single" w:sz="6" w:color="B8C4CE"/>
              <w:left w:val="single" w:sz="6" w:color="B8C4CE"/>
              <w:bottom w:val="single" w:sz="6" w:color="B8C4CE"/>
              <w:right w:val="single" w:sz="6" w:color="B8C4CE"/>
              <w:insideH w:val="single" w:sz="6" w:color="B8C4CE"/>
              <w:insideV w:val="single" w:sz="6" w:color="B8C4CE"/>
            </w:tcBorders>
          </w:tcPr>
          <w:p>
            <w:r>
              <w:rPr>
                <w:rFonts w:ascii="Aptos" w:hAnsi="Aptos"/>
                <w:b w:val="0"/>
                <w:color w:val="1F2937"/>
                <w:sz w:val="18"/>
              </w:rPr>
              <w:t>Treats poverty, discrimination, inaccessible care, or housing instability as personal failure.</w:t>
            </w:r>
          </w:p>
        </w:tc>
      </w:tr>
      <w:tr>
        <w:trPr>
          <w:cantSplit/>
        </w:trPr>
        <w:tc>
          <w:tcPr>
            <w:tcW w:type="dxa" w:w="3024"/>
            <w:tcBorders>
              <w:top w:val="single" w:sz="6" w:color="B8C4CE"/>
              <w:left w:val="single" w:sz="6" w:color="B8C4CE"/>
              <w:bottom w:val="single" w:sz="6" w:color="B8C4CE"/>
              <w:right w:val="single" w:sz="6" w:color="B8C4CE"/>
              <w:insideH w:val="single" w:sz="6" w:color="B8C4CE"/>
              <w:insideV w:val="single" w:sz="6" w:color="B8C4CE"/>
            </w:tcBorders>
            <w:shd w:fill="F3F4F6"/>
          </w:tcPr>
          <w:p>
            <w:r>
              <w:rPr>
                <w:rFonts w:ascii="Aptos" w:hAnsi="Aptos"/>
                <w:b/>
                <w:color w:val="1F2937"/>
                <w:sz w:val="18"/>
              </w:rPr>
              <w:t>Pathologizing identity or access</w:t>
            </w:r>
          </w:p>
        </w:tc>
        <w:tc>
          <w:tcPr>
            <w:tcW w:type="dxa" w:w="6768"/>
            <w:tcBorders>
              <w:top w:val="single" w:sz="6" w:color="B8C4CE"/>
              <w:left w:val="single" w:sz="6" w:color="B8C4CE"/>
              <w:bottom w:val="single" w:sz="6" w:color="B8C4CE"/>
              <w:right w:val="single" w:sz="6" w:color="B8C4CE"/>
              <w:insideH w:val="single" w:sz="6" w:color="B8C4CE"/>
              <w:insideV w:val="single" w:sz="6" w:color="B8C4CE"/>
            </w:tcBorders>
            <w:shd w:fill="F3F4F6"/>
          </w:tcPr>
          <w:p>
            <w:r>
              <w:rPr>
                <w:rFonts w:ascii="Aptos" w:hAnsi="Aptos"/>
                <w:b w:val="0"/>
                <w:color w:val="1F2937"/>
                <w:sz w:val="18"/>
              </w:rPr>
              <w:t>Misclassifies language, disability, neurodiversity, spirituality, or identity as a symptom or resistance.</w:t>
            </w:r>
          </w:p>
        </w:tc>
      </w:tr>
      <w:tr>
        <w:trPr>
          <w:cantSplit/>
        </w:trPr>
        <w:tc>
          <w:tcPr>
            <w:tcW w:type="dxa" w:w="3024"/>
            <w:tcBorders>
              <w:top w:val="single" w:sz="6" w:color="B8C4CE"/>
              <w:left w:val="single" w:sz="6" w:color="B8C4CE"/>
              <w:bottom w:val="single" w:sz="6" w:color="B8C4CE"/>
              <w:right w:val="single" w:sz="6" w:color="B8C4CE"/>
              <w:insideH w:val="single" w:sz="6" w:color="B8C4CE"/>
              <w:insideV w:val="single" w:sz="6" w:color="B8C4CE"/>
            </w:tcBorders>
          </w:tcPr>
          <w:p>
            <w:r>
              <w:rPr>
                <w:rFonts w:ascii="Aptos" w:hAnsi="Aptos"/>
                <w:b/>
                <w:color w:val="1F2937"/>
                <w:sz w:val="18"/>
              </w:rPr>
              <w:t>Assuming trauma or oppression impact</w:t>
            </w:r>
          </w:p>
        </w:tc>
        <w:tc>
          <w:tcPr>
            <w:tcW w:type="dxa" w:w="6768"/>
            <w:tcBorders>
              <w:top w:val="single" w:sz="6" w:color="B8C4CE"/>
              <w:left w:val="single" w:sz="6" w:color="B8C4CE"/>
              <w:bottom w:val="single" w:sz="6" w:color="B8C4CE"/>
              <w:right w:val="single" w:sz="6" w:color="B8C4CE"/>
              <w:insideH w:val="single" w:sz="6" w:color="B8C4CE"/>
              <w:insideV w:val="single" w:sz="6" w:color="B8C4CE"/>
            </w:tcBorders>
          </w:tcPr>
          <w:p>
            <w:r>
              <w:rPr>
                <w:rFonts w:ascii="Aptos" w:hAnsi="Aptos"/>
                <w:b w:val="0"/>
                <w:color w:val="1F2937"/>
                <w:sz w:val="18"/>
              </w:rPr>
              <w:t>Presumes an experience rather than asking the client how it affects functioning and goals.</w:t>
            </w:r>
          </w:p>
        </w:tc>
      </w:tr>
      <w:tr>
        <w:trPr>
          <w:cantSplit/>
        </w:trPr>
        <w:tc>
          <w:tcPr>
            <w:tcW w:type="dxa" w:w="3024"/>
            <w:tcBorders>
              <w:top w:val="single" w:sz="6" w:color="B8C4CE"/>
              <w:left w:val="single" w:sz="6" w:color="B8C4CE"/>
              <w:bottom w:val="single" w:sz="6" w:color="B8C4CE"/>
              <w:right w:val="single" w:sz="6" w:color="B8C4CE"/>
              <w:insideH w:val="single" w:sz="6" w:color="B8C4CE"/>
              <w:insideV w:val="single" w:sz="6" w:color="B8C4CE"/>
            </w:tcBorders>
            <w:shd w:fill="F3F4F6"/>
          </w:tcPr>
          <w:p>
            <w:r>
              <w:rPr>
                <w:rFonts w:ascii="Aptos" w:hAnsi="Aptos"/>
                <w:b/>
                <w:color w:val="1F2937"/>
                <w:sz w:val="18"/>
              </w:rPr>
              <w:t>Referral before assessment</w:t>
            </w:r>
          </w:p>
        </w:tc>
        <w:tc>
          <w:tcPr>
            <w:tcW w:type="dxa" w:w="6768"/>
            <w:tcBorders>
              <w:top w:val="single" w:sz="6" w:color="B8C4CE"/>
              <w:left w:val="single" w:sz="6" w:color="B8C4CE"/>
              <w:bottom w:val="single" w:sz="6" w:color="B8C4CE"/>
              <w:right w:val="single" w:sz="6" w:color="B8C4CE"/>
              <w:insideH w:val="single" w:sz="6" w:color="B8C4CE"/>
              <w:insideV w:val="single" w:sz="6" w:color="B8C4CE"/>
            </w:tcBorders>
            <w:shd w:fill="F3F4F6"/>
          </w:tcPr>
          <w:p>
            <w:r>
              <w:rPr>
                <w:rFonts w:ascii="Aptos" w:hAnsi="Aptos"/>
                <w:b w:val="0"/>
                <w:color w:val="1F2937"/>
                <w:sz w:val="18"/>
              </w:rPr>
              <w:t>Does not establish need, urgency, eligibility, accessibility, willingness, or client priorities.</w:t>
            </w:r>
          </w:p>
        </w:tc>
      </w:tr>
      <w:tr>
        <w:trPr>
          <w:cantSplit/>
        </w:trPr>
        <w:tc>
          <w:tcPr>
            <w:tcW w:type="dxa" w:w="3024"/>
            <w:tcBorders>
              <w:top w:val="single" w:sz="6" w:color="B8C4CE"/>
              <w:left w:val="single" w:sz="6" w:color="B8C4CE"/>
              <w:bottom w:val="single" w:sz="6" w:color="B8C4CE"/>
              <w:right w:val="single" w:sz="6" w:color="B8C4CE"/>
              <w:insideH w:val="single" w:sz="6" w:color="B8C4CE"/>
              <w:insideV w:val="single" w:sz="6" w:color="B8C4CE"/>
            </w:tcBorders>
          </w:tcPr>
          <w:p>
            <w:r>
              <w:rPr>
                <w:rFonts w:ascii="Aptos" w:hAnsi="Aptos"/>
                <w:b/>
                <w:color w:val="1F2937"/>
                <w:sz w:val="18"/>
              </w:rPr>
              <w:t>Ignoring client participation</w:t>
            </w:r>
          </w:p>
        </w:tc>
        <w:tc>
          <w:tcPr>
            <w:tcW w:type="dxa" w:w="6768"/>
            <w:tcBorders>
              <w:top w:val="single" w:sz="6" w:color="B8C4CE"/>
              <w:left w:val="single" w:sz="6" w:color="B8C4CE"/>
              <w:bottom w:val="single" w:sz="6" w:color="B8C4CE"/>
              <w:right w:val="single" w:sz="6" w:color="B8C4CE"/>
              <w:insideH w:val="single" w:sz="6" w:color="B8C4CE"/>
              <w:insideV w:val="single" w:sz="6" w:color="B8C4CE"/>
            </w:tcBorders>
          </w:tcPr>
          <w:p>
            <w:r>
              <w:rPr>
                <w:rFonts w:ascii="Aptos" w:hAnsi="Aptos"/>
                <w:b w:val="0"/>
                <w:color w:val="1F2937"/>
                <w:sz w:val="18"/>
              </w:rPr>
              <w:t>Creates a plan without the client or client system’s perspective and choices.</w:t>
            </w:r>
          </w:p>
        </w:tc>
      </w:tr>
      <w:tr>
        <w:trPr>
          <w:cantSplit/>
        </w:trPr>
        <w:tc>
          <w:tcPr>
            <w:tcW w:type="dxa" w:w="3024"/>
            <w:tcBorders>
              <w:top w:val="single" w:sz="6" w:color="B8C4CE"/>
              <w:left w:val="single" w:sz="6" w:color="B8C4CE"/>
              <w:bottom w:val="single" w:sz="6" w:color="B8C4CE"/>
              <w:right w:val="single" w:sz="6" w:color="B8C4CE"/>
              <w:insideH w:val="single" w:sz="6" w:color="B8C4CE"/>
              <w:insideV w:val="single" w:sz="6" w:color="B8C4CE"/>
            </w:tcBorders>
            <w:shd w:fill="F3F4F6"/>
          </w:tcPr>
          <w:p>
            <w:r>
              <w:rPr>
                <w:rFonts w:ascii="Aptos" w:hAnsi="Aptos"/>
                <w:b/>
                <w:color w:val="1F2937"/>
                <w:sz w:val="18"/>
              </w:rPr>
              <w:t>Resource-only response</w:t>
            </w:r>
          </w:p>
        </w:tc>
        <w:tc>
          <w:tcPr>
            <w:tcW w:type="dxa" w:w="6768"/>
            <w:tcBorders>
              <w:top w:val="single" w:sz="6" w:color="B8C4CE"/>
              <w:left w:val="single" w:sz="6" w:color="B8C4CE"/>
              <w:bottom w:val="single" w:sz="6" w:color="B8C4CE"/>
              <w:right w:val="single" w:sz="6" w:color="B8C4CE"/>
              <w:insideH w:val="single" w:sz="6" w:color="B8C4CE"/>
              <w:insideV w:val="single" w:sz="6" w:color="B8C4CE"/>
            </w:tcBorders>
            <w:shd w:fill="F3F4F6"/>
          </w:tcPr>
          <w:p>
            <w:r>
              <w:rPr>
                <w:rFonts w:ascii="Aptos" w:hAnsi="Aptos"/>
                <w:b w:val="0"/>
                <w:color w:val="1F2937"/>
                <w:sz w:val="18"/>
              </w:rPr>
              <w:t>Addresses a service need but overlooks symptoms, safety, relationships, or functioning.</w:t>
            </w:r>
          </w:p>
        </w:tc>
      </w:tr>
      <w:tr>
        <w:trPr>
          <w:cantSplit/>
        </w:trPr>
        <w:tc>
          <w:tcPr>
            <w:tcW w:type="dxa" w:w="3024"/>
            <w:tcBorders>
              <w:top w:val="single" w:sz="6" w:color="B8C4CE"/>
              <w:left w:val="single" w:sz="6" w:color="B8C4CE"/>
              <w:bottom w:val="single" w:sz="6" w:color="B8C4CE"/>
              <w:right w:val="single" w:sz="6" w:color="B8C4CE"/>
              <w:insideH w:val="single" w:sz="6" w:color="B8C4CE"/>
              <w:insideV w:val="single" w:sz="6" w:color="B8C4CE"/>
            </w:tcBorders>
          </w:tcPr>
          <w:p>
            <w:r>
              <w:rPr>
                <w:rFonts w:ascii="Aptos" w:hAnsi="Aptos"/>
                <w:b/>
                <w:color w:val="1F2937"/>
                <w:sz w:val="18"/>
              </w:rPr>
              <w:t>Therapy-only response</w:t>
            </w:r>
          </w:p>
        </w:tc>
        <w:tc>
          <w:tcPr>
            <w:tcW w:type="dxa" w:w="6768"/>
            <w:tcBorders>
              <w:top w:val="single" w:sz="6" w:color="B8C4CE"/>
              <w:left w:val="single" w:sz="6" w:color="B8C4CE"/>
              <w:bottom w:val="single" w:sz="6" w:color="B8C4CE"/>
              <w:right w:val="single" w:sz="6" w:color="B8C4CE"/>
              <w:insideH w:val="single" w:sz="6" w:color="B8C4CE"/>
              <w:insideV w:val="single" w:sz="6" w:color="B8C4CE"/>
            </w:tcBorders>
          </w:tcPr>
          <w:p>
            <w:r>
              <w:rPr>
                <w:rFonts w:ascii="Aptos" w:hAnsi="Aptos"/>
                <w:b w:val="0"/>
                <w:color w:val="1F2937"/>
                <w:sz w:val="18"/>
              </w:rPr>
              <w:t>Focuses on intrapsychic treatment while concrete safety, access, housing, or health needs remain unassessed.</w:t>
            </w:r>
          </w:p>
        </w:tc>
      </w:tr>
      <w:tr>
        <w:trPr>
          <w:cantSplit/>
        </w:trPr>
        <w:tc>
          <w:tcPr>
            <w:tcW w:type="dxa" w:w="3024"/>
            <w:tcBorders>
              <w:top w:val="single" w:sz="6" w:color="B8C4CE"/>
              <w:left w:val="single" w:sz="6" w:color="B8C4CE"/>
              <w:bottom w:val="single" w:sz="6" w:color="B8C4CE"/>
              <w:right w:val="single" w:sz="6" w:color="B8C4CE"/>
              <w:insideH w:val="single" w:sz="6" w:color="B8C4CE"/>
              <w:insideV w:val="single" w:sz="6" w:color="B8C4CE"/>
            </w:tcBorders>
            <w:shd w:fill="F3F4F6"/>
          </w:tcPr>
          <w:p>
            <w:r>
              <w:rPr>
                <w:rFonts w:ascii="Aptos" w:hAnsi="Aptos"/>
                <w:b/>
                <w:color w:val="1F2937"/>
                <w:sz w:val="18"/>
              </w:rPr>
              <w:t>Overly broad advocacy</w:t>
            </w:r>
          </w:p>
        </w:tc>
        <w:tc>
          <w:tcPr>
            <w:tcW w:type="dxa" w:w="6768"/>
            <w:tcBorders>
              <w:top w:val="single" w:sz="6" w:color="B8C4CE"/>
              <w:left w:val="single" w:sz="6" w:color="B8C4CE"/>
              <w:bottom w:val="single" w:sz="6" w:color="B8C4CE"/>
              <w:right w:val="single" w:sz="6" w:color="B8C4CE"/>
              <w:insideH w:val="single" w:sz="6" w:color="B8C4CE"/>
              <w:insideV w:val="single" w:sz="6" w:color="B8C4CE"/>
            </w:tcBorders>
            <w:shd w:fill="F3F4F6"/>
          </w:tcPr>
          <w:p>
            <w:r>
              <w:rPr>
                <w:rFonts w:ascii="Aptos" w:hAnsi="Aptos"/>
                <w:b w:val="0"/>
                <w:color w:val="1F2937"/>
                <w:sz w:val="18"/>
              </w:rPr>
              <w:t>Chooses a system action without first clarifying the client’s goals, role, facts, and immediate needs.</w:t>
            </w:r>
          </w:p>
        </w:tc>
      </w:tr>
    </w:tbl>
    <w:p/>
    <w:p>
      <w:pPr>
        <w:pStyle w:val="Heading1"/>
      </w:pPr>
      <w:r>
        <w:t>Person-in-Environment Context Map</w:t>
      </w:r>
    </w:p>
    <w:p>
      <w:r>
        <w:t>Use this worksheet to organize a vignette or practice case before choosing an answer.</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5040"/>
            <w:shd w:fill="17365D"/>
            <w:tcBorders>
              <w:top w:val="single" w:sz="6" w:color="B8C4CE"/>
              <w:left w:val="single" w:sz="6" w:color="B8C4CE"/>
              <w:bottom w:val="single" w:sz="6" w:color="B8C4CE"/>
              <w:right w:val="single" w:sz="6" w:color="B8C4CE"/>
              <w:insideH w:val="single" w:sz="6" w:color="B8C4CE"/>
              <w:insideV w:val="single" w:sz="6" w:color="B8C4CE"/>
            </w:tcBorders>
          </w:tcPr>
          <w:p>
            <w:r>
              <w:rPr>
                <w:rFonts w:ascii="Aptos" w:hAnsi="Aptos"/>
                <w:b/>
                <w:color w:val="FFFFFF"/>
                <w:sz w:val="18"/>
              </w:rPr>
              <w:t>Assessment Prompt</w:t>
            </w:r>
          </w:p>
        </w:tc>
        <w:tc>
          <w:tcPr>
            <w:tcW w:type="dxa" w:w="5040"/>
            <w:shd w:fill="17365D"/>
            <w:tcBorders>
              <w:top w:val="single" w:sz="6" w:color="B8C4CE"/>
              <w:left w:val="single" w:sz="6" w:color="B8C4CE"/>
              <w:bottom w:val="single" w:sz="6" w:color="B8C4CE"/>
              <w:right w:val="single" w:sz="6" w:color="B8C4CE"/>
              <w:insideH w:val="single" w:sz="6" w:color="B8C4CE"/>
              <w:insideV w:val="single" w:sz="6" w:color="B8C4CE"/>
            </w:tcBorders>
          </w:tcPr>
          <w:p>
            <w:r>
              <w:rPr>
                <w:rFonts w:ascii="Aptos" w:hAnsi="Aptos"/>
                <w:b/>
                <w:color w:val="FFFFFF"/>
                <w:sz w:val="18"/>
              </w:rPr>
              <w:t>Student Notes</w:t>
            </w:r>
          </w:p>
        </w:tc>
      </w:tr>
      <w:tr>
        <w:trPr>
          <w:cantSplit/>
        </w:trPr>
        <w:tc>
          <w:tcPr>
            <w:tcW w:type="dxa" w:w="5040"/>
            <w:tcBorders>
              <w:top w:val="single" w:sz="6" w:color="B8C4CE"/>
              <w:left w:val="single" w:sz="6" w:color="B8C4CE"/>
              <w:bottom w:val="single" w:sz="6" w:color="B8C4CE"/>
              <w:right w:val="single" w:sz="6" w:color="B8C4CE"/>
              <w:insideH w:val="single" w:sz="6" w:color="B8C4CE"/>
              <w:insideV w:val="single" w:sz="6" w:color="B8C4CE"/>
            </w:tcBorders>
          </w:tcPr>
          <w:p>
            <w:r>
              <w:rPr>
                <w:rFonts w:ascii="Aptos" w:hAnsi="Aptos"/>
                <w:b/>
                <w:color w:val="17365D"/>
                <w:sz w:val="18"/>
              </w:rPr>
              <w:t>Chronological age, developmental level, life stage, and change from baseline</w:t>
            </w:r>
          </w:p>
        </w:tc>
        <w:tc>
          <w:tcPr>
            <w:tcW w:type="dxa" w:w="5040"/>
            <w:tcBorders>
              <w:top w:val="single" w:sz="6" w:color="B8C4CE"/>
              <w:left w:val="single" w:sz="6" w:color="B8C4CE"/>
              <w:bottom w:val="single" w:sz="6" w:color="B8C4CE"/>
              <w:right w:val="single" w:sz="6" w:color="B8C4CE"/>
              <w:insideH w:val="single" w:sz="6" w:color="B8C4CE"/>
              <w:insideV w:val="single" w:sz="6" w:color="B8C4CE"/>
            </w:tcBorders>
          </w:tcPr>
          <w:p>
            <w:r>
              <w:br/>
              <w:br/>
            </w:r>
          </w:p>
        </w:tc>
      </w:tr>
      <w:tr>
        <w:trPr>
          <w:cantSplit/>
        </w:trPr>
        <w:tc>
          <w:tcPr>
            <w:tcW w:type="dxa" w:w="5040"/>
            <w:tcBorders>
              <w:top w:val="single" w:sz="6" w:color="B8C4CE"/>
              <w:left w:val="single" w:sz="6" w:color="B8C4CE"/>
              <w:bottom w:val="single" w:sz="6" w:color="B8C4CE"/>
              <w:right w:val="single" w:sz="6" w:color="B8C4CE"/>
              <w:insideH w:val="single" w:sz="6" w:color="B8C4CE"/>
              <w:insideV w:val="single" w:sz="6" w:color="B8C4CE"/>
            </w:tcBorders>
          </w:tcPr>
          <w:p>
            <w:r>
              <w:rPr>
                <w:rFonts w:ascii="Aptos" w:hAnsi="Aptos"/>
                <w:b/>
                <w:color w:val="17365D"/>
                <w:sz w:val="18"/>
              </w:rPr>
              <w:t>Family, caregiving, peer, school, work, health, legal, community, and service systems</w:t>
            </w:r>
          </w:p>
        </w:tc>
        <w:tc>
          <w:tcPr>
            <w:tcW w:type="dxa" w:w="5040"/>
            <w:tcBorders>
              <w:top w:val="single" w:sz="6" w:color="B8C4CE"/>
              <w:left w:val="single" w:sz="6" w:color="B8C4CE"/>
              <w:bottom w:val="single" w:sz="6" w:color="B8C4CE"/>
              <w:right w:val="single" w:sz="6" w:color="B8C4CE"/>
              <w:insideH w:val="single" w:sz="6" w:color="B8C4CE"/>
              <w:insideV w:val="single" w:sz="6" w:color="B8C4CE"/>
            </w:tcBorders>
          </w:tcPr>
          <w:p>
            <w:r>
              <w:br/>
              <w:br/>
            </w:r>
          </w:p>
        </w:tc>
      </w:tr>
      <w:tr>
        <w:trPr>
          <w:cantSplit/>
        </w:trPr>
        <w:tc>
          <w:tcPr>
            <w:tcW w:type="dxa" w:w="5040"/>
            <w:tcBorders>
              <w:top w:val="single" w:sz="6" w:color="B8C4CE"/>
              <w:left w:val="single" w:sz="6" w:color="B8C4CE"/>
              <w:bottom w:val="single" w:sz="6" w:color="B8C4CE"/>
              <w:right w:val="single" w:sz="6" w:color="B8C4CE"/>
              <w:insideH w:val="single" w:sz="6" w:color="B8C4CE"/>
              <w:insideV w:val="single" w:sz="6" w:color="B8C4CE"/>
            </w:tcBorders>
          </w:tcPr>
          <w:p>
            <w:r>
              <w:rPr>
                <w:rFonts w:ascii="Aptos" w:hAnsi="Aptos"/>
                <w:b/>
                <w:color w:val="17365D"/>
                <w:sz w:val="18"/>
              </w:rPr>
              <w:t>Identity, culture, spirituality, intersectionality, and client meaning</w:t>
            </w:r>
          </w:p>
        </w:tc>
        <w:tc>
          <w:tcPr>
            <w:tcW w:type="dxa" w:w="5040"/>
            <w:tcBorders>
              <w:top w:val="single" w:sz="6" w:color="B8C4CE"/>
              <w:left w:val="single" w:sz="6" w:color="B8C4CE"/>
              <w:bottom w:val="single" w:sz="6" w:color="B8C4CE"/>
              <w:right w:val="single" w:sz="6" w:color="B8C4CE"/>
              <w:insideH w:val="single" w:sz="6" w:color="B8C4CE"/>
              <w:insideV w:val="single" w:sz="6" w:color="B8C4CE"/>
            </w:tcBorders>
          </w:tcPr>
          <w:p>
            <w:r>
              <w:br/>
              <w:br/>
            </w:r>
          </w:p>
        </w:tc>
      </w:tr>
      <w:tr>
        <w:trPr>
          <w:cantSplit/>
        </w:trPr>
        <w:tc>
          <w:tcPr>
            <w:tcW w:type="dxa" w:w="5040"/>
            <w:tcBorders>
              <w:top w:val="single" w:sz="6" w:color="B8C4CE"/>
              <w:left w:val="single" w:sz="6" w:color="B8C4CE"/>
              <w:bottom w:val="single" w:sz="6" w:color="B8C4CE"/>
              <w:right w:val="single" w:sz="6" w:color="B8C4CE"/>
              <w:insideH w:val="single" w:sz="6" w:color="B8C4CE"/>
              <w:insideV w:val="single" w:sz="6" w:color="B8C4CE"/>
            </w:tcBorders>
          </w:tcPr>
          <w:p>
            <w:r>
              <w:rPr>
                <w:rFonts w:ascii="Aptos" w:hAnsi="Aptos"/>
                <w:b/>
                <w:color w:val="17365D"/>
                <w:sz w:val="18"/>
              </w:rPr>
              <w:t>Housing, food, transportation, income, education, employment, and health-care access</w:t>
            </w:r>
          </w:p>
        </w:tc>
        <w:tc>
          <w:tcPr>
            <w:tcW w:type="dxa" w:w="5040"/>
            <w:tcBorders>
              <w:top w:val="single" w:sz="6" w:color="B8C4CE"/>
              <w:left w:val="single" w:sz="6" w:color="B8C4CE"/>
              <w:bottom w:val="single" w:sz="6" w:color="B8C4CE"/>
              <w:right w:val="single" w:sz="6" w:color="B8C4CE"/>
              <w:insideH w:val="single" w:sz="6" w:color="B8C4CE"/>
              <w:insideV w:val="single" w:sz="6" w:color="B8C4CE"/>
            </w:tcBorders>
          </w:tcPr>
          <w:p>
            <w:r>
              <w:br/>
              <w:br/>
            </w:r>
          </w:p>
        </w:tc>
      </w:tr>
      <w:tr>
        <w:trPr>
          <w:cantSplit/>
        </w:trPr>
        <w:tc>
          <w:tcPr>
            <w:tcW w:type="dxa" w:w="5040"/>
            <w:tcBorders>
              <w:top w:val="single" w:sz="6" w:color="B8C4CE"/>
              <w:left w:val="single" w:sz="6" w:color="B8C4CE"/>
              <w:bottom w:val="single" w:sz="6" w:color="B8C4CE"/>
              <w:right w:val="single" w:sz="6" w:color="B8C4CE"/>
              <w:insideH w:val="single" w:sz="6" w:color="B8C4CE"/>
              <w:insideV w:val="single" w:sz="6" w:color="B8C4CE"/>
            </w:tcBorders>
          </w:tcPr>
          <w:p>
            <w:r>
              <w:rPr>
                <w:rFonts w:ascii="Aptos" w:hAnsi="Aptos"/>
                <w:b/>
                <w:color w:val="17365D"/>
                <w:sz w:val="18"/>
              </w:rPr>
              <w:t>Discrimination, institutional power, privilege, policy, and accessibility barriers</w:t>
            </w:r>
          </w:p>
        </w:tc>
        <w:tc>
          <w:tcPr>
            <w:tcW w:type="dxa" w:w="5040"/>
            <w:tcBorders>
              <w:top w:val="single" w:sz="6" w:color="B8C4CE"/>
              <w:left w:val="single" w:sz="6" w:color="B8C4CE"/>
              <w:bottom w:val="single" w:sz="6" w:color="B8C4CE"/>
              <w:right w:val="single" w:sz="6" w:color="B8C4CE"/>
              <w:insideH w:val="single" w:sz="6" w:color="B8C4CE"/>
              <w:insideV w:val="single" w:sz="6" w:color="B8C4CE"/>
            </w:tcBorders>
          </w:tcPr>
          <w:p>
            <w:r>
              <w:br/>
              <w:br/>
            </w:r>
          </w:p>
        </w:tc>
      </w:tr>
      <w:tr>
        <w:trPr>
          <w:cantSplit/>
        </w:trPr>
        <w:tc>
          <w:tcPr>
            <w:tcW w:type="dxa" w:w="5040"/>
            <w:tcBorders>
              <w:top w:val="single" w:sz="6" w:color="B8C4CE"/>
              <w:left w:val="single" w:sz="6" w:color="B8C4CE"/>
              <w:bottom w:val="single" w:sz="6" w:color="B8C4CE"/>
              <w:right w:val="single" w:sz="6" w:color="B8C4CE"/>
              <w:insideH w:val="single" w:sz="6" w:color="B8C4CE"/>
              <w:insideV w:val="single" w:sz="6" w:color="B8C4CE"/>
            </w:tcBorders>
          </w:tcPr>
          <w:p>
            <w:r>
              <w:rPr>
                <w:rFonts w:ascii="Aptos" w:hAnsi="Aptos"/>
                <w:b/>
                <w:color w:val="17365D"/>
                <w:sz w:val="18"/>
              </w:rPr>
              <w:t>Symptoms, functioning, safety, trauma exposure, and current stress</w:t>
            </w:r>
          </w:p>
        </w:tc>
        <w:tc>
          <w:tcPr>
            <w:tcW w:type="dxa" w:w="5040"/>
            <w:tcBorders>
              <w:top w:val="single" w:sz="6" w:color="B8C4CE"/>
              <w:left w:val="single" w:sz="6" w:color="B8C4CE"/>
              <w:bottom w:val="single" w:sz="6" w:color="B8C4CE"/>
              <w:right w:val="single" w:sz="6" w:color="B8C4CE"/>
              <w:insideH w:val="single" w:sz="6" w:color="B8C4CE"/>
              <w:insideV w:val="single" w:sz="6" w:color="B8C4CE"/>
            </w:tcBorders>
          </w:tcPr>
          <w:p>
            <w:r>
              <w:br/>
              <w:br/>
            </w:r>
          </w:p>
        </w:tc>
      </w:tr>
      <w:tr>
        <w:trPr>
          <w:cantSplit/>
        </w:trPr>
        <w:tc>
          <w:tcPr>
            <w:tcW w:type="dxa" w:w="5040"/>
            <w:tcBorders>
              <w:top w:val="single" w:sz="6" w:color="B8C4CE"/>
              <w:left w:val="single" w:sz="6" w:color="B8C4CE"/>
              <w:bottom w:val="single" w:sz="6" w:color="B8C4CE"/>
              <w:right w:val="single" w:sz="6" w:color="B8C4CE"/>
              <w:insideH w:val="single" w:sz="6" w:color="B8C4CE"/>
              <w:insideV w:val="single" w:sz="6" w:color="B8C4CE"/>
            </w:tcBorders>
          </w:tcPr>
          <w:p>
            <w:r>
              <w:rPr>
                <w:rFonts w:ascii="Aptos" w:hAnsi="Aptos"/>
                <w:b/>
                <w:color w:val="17365D"/>
                <w:sz w:val="18"/>
              </w:rPr>
              <w:t>Strengths, resilience, community supports, benefits, and other resources</w:t>
            </w:r>
          </w:p>
        </w:tc>
        <w:tc>
          <w:tcPr>
            <w:tcW w:type="dxa" w:w="5040"/>
            <w:tcBorders>
              <w:top w:val="single" w:sz="6" w:color="B8C4CE"/>
              <w:left w:val="single" w:sz="6" w:color="B8C4CE"/>
              <w:bottom w:val="single" w:sz="6" w:color="B8C4CE"/>
              <w:right w:val="single" w:sz="6" w:color="B8C4CE"/>
              <w:insideH w:val="single" w:sz="6" w:color="B8C4CE"/>
              <w:insideV w:val="single" w:sz="6" w:color="B8C4CE"/>
            </w:tcBorders>
          </w:tcPr>
          <w:p>
            <w:r>
              <w:br/>
              <w:br/>
            </w:r>
          </w:p>
        </w:tc>
      </w:tr>
      <w:tr>
        <w:trPr>
          <w:cantSplit/>
        </w:trPr>
        <w:tc>
          <w:tcPr>
            <w:tcW w:type="dxa" w:w="5040"/>
            <w:tcBorders>
              <w:top w:val="single" w:sz="6" w:color="B8C4CE"/>
              <w:left w:val="single" w:sz="6" w:color="B8C4CE"/>
              <w:bottom w:val="single" w:sz="6" w:color="B8C4CE"/>
              <w:right w:val="single" w:sz="6" w:color="B8C4CE"/>
              <w:insideH w:val="single" w:sz="6" w:color="B8C4CE"/>
              <w:insideV w:val="single" w:sz="6" w:color="B8C4CE"/>
            </w:tcBorders>
          </w:tcPr>
          <w:p>
            <w:r>
              <w:rPr>
                <w:rFonts w:ascii="Aptos" w:hAnsi="Aptos"/>
                <w:b/>
                <w:color w:val="17365D"/>
                <w:sz w:val="18"/>
              </w:rPr>
              <w:t>Client or client-system priorities, preferences, readiness, and choices</w:t>
            </w:r>
          </w:p>
        </w:tc>
        <w:tc>
          <w:tcPr>
            <w:tcW w:type="dxa" w:w="5040"/>
            <w:tcBorders>
              <w:top w:val="single" w:sz="6" w:color="B8C4CE"/>
              <w:left w:val="single" w:sz="6" w:color="B8C4CE"/>
              <w:bottom w:val="single" w:sz="6" w:color="B8C4CE"/>
              <w:right w:val="single" w:sz="6" w:color="B8C4CE"/>
              <w:insideH w:val="single" w:sz="6" w:color="B8C4CE"/>
              <w:insideV w:val="single" w:sz="6" w:color="B8C4CE"/>
            </w:tcBorders>
          </w:tcPr>
          <w:p>
            <w:r>
              <w:br/>
              <w:br/>
            </w:r>
          </w:p>
        </w:tc>
      </w:tr>
      <w:tr>
        <w:trPr>
          <w:cantSplit/>
        </w:trPr>
        <w:tc>
          <w:tcPr>
            <w:tcW w:type="dxa" w:w="5040"/>
            <w:tcBorders>
              <w:top w:val="single" w:sz="6" w:color="B8C4CE"/>
              <w:left w:val="single" w:sz="6" w:color="B8C4CE"/>
              <w:bottom w:val="single" w:sz="6" w:color="B8C4CE"/>
              <w:right w:val="single" w:sz="6" w:color="B8C4CE"/>
              <w:insideH w:val="single" w:sz="6" w:color="B8C4CE"/>
              <w:insideV w:val="single" w:sz="6" w:color="B8C4CE"/>
            </w:tcBorders>
          </w:tcPr>
          <w:p>
            <w:r>
              <w:rPr>
                <w:rFonts w:ascii="Aptos" w:hAnsi="Aptos"/>
                <w:b/>
                <w:color w:val="17365D"/>
                <w:sz w:val="18"/>
              </w:rPr>
              <w:t>Most important information gap or urgent need</w:t>
            </w:r>
          </w:p>
        </w:tc>
        <w:tc>
          <w:tcPr>
            <w:tcW w:type="dxa" w:w="5040"/>
            <w:tcBorders>
              <w:top w:val="single" w:sz="6" w:color="B8C4CE"/>
              <w:left w:val="single" w:sz="6" w:color="B8C4CE"/>
              <w:bottom w:val="single" w:sz="6" w:color="B8C4CE"/>
              <w:right w:val="single" w:sz="6" w:color="B8C4CE"/>
              <w:insideH w:val="single" w:sz="6" w:color="B8C4CE"/>
              <w:insideV w:val="single" w:sz="6" w:color="B8C4CE"/>
            </w:tcBorders>
          </w:tcPr>
          <w:p>
            <w:r>
              <w:br/>
              <w:br/>
            </w:r>
          </w:p>
        </w:tc>
      </w:tr>
      <w:tr>
        <w:trPr>
          <w:cantSplit/>
        </w:trPr>
        <w:tc>
          <w:tcPr>
            <w:tcW w:type="dxa" w:w="5040"/>
            <w:tcBorders>
              <w:top w:val="single" w:sz="6" w:color="B8C4CE"/>
              <w:left w:val="single" w:sz="6" w:color="B8C4CE"/>
              <w:bottom w:val="single" w:sz="6" w:color="B8C4CE"/>
              <w:right w:val="single" w:sz="6" w:color="B8C4CE"/>
              <w:insideH w:val="single" w:sz="6" w:color="B8C4CE"/>
              <w:insideV w:val="single" w:sz="6" w:color="B8C4CE"/>
            </w:tcBorders>
          </w:tcPr>
          <w:p>
            <w:r>
              <w:rPr>
                <w:rFonts w:ascii="Aptos" w:hAnsi="Aptos"/>
                <w:b/>
                <w:color w:val="17365D"/>
                <w:sz w:val="18"/>
              </w:rPr>
              <w:t>Least assumptive, proportionate next social work action</w:t>
            </w:r>
          </w:p>
        </w:tc>
        <w:tc>
          <w:tcPr>
            <w:tcW w:type="dxa" w:w="5040"/>
            <w:tcBorders>
              <w:top w:val="single" w:sz="6" w:color="B8C4CE"/>
              <w:left w:val="single" w:sz="6" w:color="B8C4CE"/>
              <w:bottom w:val="single" w:sz="6" w:color="B8C4CE"/>
              <w:right w:val="single" w:sz="6" w:color="B8C4CE"/>
              <w:insideH w:val="single" w:sz="6" w:color="B8C4CE"/>
              <w:insideV w:val="single" w:sz="6" w:color="B8C4CE"/>
            </w:tcBorders>
          </w:tcPr>
          <w:p>
            <w:r>
              <w:br/>
              <w:br/>
            </w:r>
          </w:p>
        </w:tc>
      </w:tr>
    </w:tbl>
    <w:p/>
    <w:p>
      <w:pPr>
        <w:pStyle w:val="Heading1"/>
      </w:pPr>
      <w:r>
        <w:t>Chapter Summary</w:t>
      </w:r>
    </w:p>
    <w:p>
      <w:pPr>
        <w:pStyle w:val="ListBullet"/>
      </w:pPr>
      <w:r>
        <w:t>Developmental functioning must be interpreted within relationships, institutions, available resources, and social conditions.</w:t>
      </w:r>
    </w:p>
    <w:p>
      <w:pPr>
        <w:pStyle w:val="ListBullet"/>
      </w:pPr>
      <w:r>
        <w:t>Social determinants can affect symptoms, safety, engagement, access, and outcomes and may require concrete resource assessment.</w:t>
      </w:r>
    </w:p>
    <w:p>
      <w:pPr>
        <w:pStyle w:val="ListBullet"/>
      </w:pPr>
      <w:r>
        <w:t>Cultural humility and intersectionality center the client’s own meaning rather than assumptions based on group identity.</w:t>
      </w:r>
    </w:p>
    <w:p>
      <w:pPr>
        <w:pStyle w:val="ListBullet"/>
      </w:pPr>
      <w:r>
        <w:t>Accessibility supports direct participation, confidentiality, informed decision-making, and equitable service delivery.</w:t>
      </w:r>
    </w:p>
    <w:p>
      <w:pPr>
        <w:pStyle w:val="ListBullet"/>
      </w:pPr>
      <w:r>
        <w:t>Person-in-environment reasoning integrates clinical assessment, client choice, strengths, barriers, resources, and social justice before referral or intervention.</w:t>
      </w:r>
    </w:p>
    <w:p>
      <w:pPr>
        <w:pStyle w:val="Heading1"/>
      </w:pPr>
      <w:r>
        <w:t>Knowledge Check</w:t>
      </w:r>
    </w:p>
    <w:p>
      <w:r>
        <w:t>Complete all 10 original CTA practice questions before reviewing the answer key. Record confidence as 1 = low, 2 = moderate, or 3 = high.</w:t>
      </w:r>
    </w:p>
    <w:tbl>
      <w:tblPr>
        <w:tblW w:type="auto" w:w="0"/>
        <w:jc w:val="center"/>
        <w:tblLook w:firstColumn="1" w:firstRow="1" w:lastColumn="0" w:lastRow="0" w:noHBand="0" w:noVBand="1" w:val="04A0"/>
      </w:tblPr>
      <w:tblGrid>
        <w:gridCol w:w="2520"/>
        <w:gridCol w:w="2520"/>
        <w:gridCol w:w="2520"/>
        <w:gridCol w:w="2520"/>
      </w:tblGrid>
      <w:tr>
        <w:trPr>
          <w:cantSplit/>
          <w:tblHeader w:val="true"/>
        </w:trPr>
        <w:tc>
          <w:tcPr>
            <w:tcW w:type="dxa" w:w="2520"/>
            <w:shd w:fill="17365D"/>
            <w:tcBorders>
              <w:top w:val="single" w:sz="6" w:color="B8C4CE"/>
              <w:left w:val="single" w:sz="6" w:color="B8C4CE"/>
              <w:bottom w:val="single" w:sz="6" w:color="B8C4CE"/>
              <w:right w:val="single" w:sz="6" w:color="B8C4CE"/>
              <w:insideH w:val="single" w:sz="6" w:color="B8C4CE"/>
              <w:insideV w:val="single" w:sz="6" w:color="B8C4CE"/>
            </w:tcBorders>
          </w:tcPr>
          <w:p>
            <w:pPr>
              <w:jc w:val="center"/>
            </w:pPr>
            <w:r>
              <w:rPr>
                <w:rFonts w:ascii="Aptos" w:hAnsi="Aptos"/>
                <w:b/>
                <w:color w:val="FFFFFF"/>
                <w:sz w:val="17"/>
              </w:rPr>
              <w:t>Question</w:t>
            </w:r>
          </w:p>
        </w:tc>
        <w:tc>
          <w:tcPr>
            <w:tcW w:type="dxa" w:w="2520"/>
            <w:shd w:fill="17365D"/>
            <w:tcBorders>
              <w:top w:val="single" w:sz="6" w:color="B8C4CE"/>
              <w:left w:val="single" w:sz="6" w:color="B8C4CE"/>
              <w:bottom w:val="single" w:sz="6" w:color="B8C4CE"/>
              <w:right w:val="single" w:sz="6" w:color="B8C4CE"/>
              <w:insideH w:val="single" w:sz="6" w:color="B8C4CE"/>
              <w:insideV w:val="single" w:sz="6" w:color="B8C4CE"/>
            </w:tcBorders>
          </w:tcPr>
          <w:p>
            <w:pPr>
              <w:jc w:val="center"/>
            </w:pPr>
            <w:r>
              <w:rPr>
                <w:rFonts w:ascii="Aptos" w:hAnsi="Aptos"/>
                <w:b/>
                <w:color w:val="FFFFFF"/>
                <w:sz w:val="17"/>
              </w:rPr>
              <w:t>My Answer</w:t>
            </w:r>
          </w:p>
        </w:tc>
        <w:tc>
          <w:tcPr>
            <w:tcW w:type="dxa" w:w="2520"/>
            <w:shd w:fill="17365D"/>
            <w:tcBorders>
              <w:top w:val="single" w:sz="6" w:color="B8C4CE"/>
              <w:left w:val="single" w:sz="6" w:color="B8C4CE"/>
              <w:bottom w:val="single" w:sz="6" w:color="B8C4CE"/>
              <w:right w:val="single" w:sz="6" w:color="B8C4CE"/>
              <w:insideH w:val="single" w:sz="6" w:color="B8C4CE"/>
              <w:insideV w:val="single" w:sz="6" w:color="B8C4CE"/>
            </w:tcBorders>
          </w:tcPr>
          <w:p>
            <w:pPr>
              <w:jc w:val="center"/>
            </w:pPr>
            <w:r>
              <w:rPr>
                <w:rFonts w:ascii="Aptos" w:hAnsi="Aptos"/>
                <w:b/>
                <w:color w:val="FFFFFF"/>
                <w:sz w:val="17"/>
              </w:rPr>
              <w:t>Confidence (1–3)</w:t>
            </w:r>
          </w:p>
        </w:tc>
        <w:tc>
          <w:tcPr>
            <w:tcW w:type="dxa" w:w="2520"/>
            <w:shd w:fill="17365D"/>
            <w:tcBorders>
              <w:top w:val="single" w:sz="6" w:color="B8C4CE"/>
              <w:left w:val="single" w:sz="6" w:color="B8C4CE"/>
              <w:bottom w:val="single" w:sz="6" w:color="B8C4CE"/>
              <w:right w:val="single" w:sz="6" w:color="B8C4CE"/>
              <w:insideH w:val="single" w:sz="6" w:color="B8C4CE"/>
              <w:insideV w:val="single" w:sz="6" w:color="B8C4CE"/>
            </w:tcBorders>
          </w:tcPr>
          <w:p>
            <w:pPr>
              <w:jc w:val="center"/>
            </w:pPr>
            <w:r>
              <w:rPr>
                <w:rFonts w:ascii="Aptos" w:hAnsi="Aptos"/>
                <w:b/>
                <w:color w:val="FFFFFF"/>
                <w:sz w:val="17"/>
              </w:rPr>
              <w:t>Review?</w:t>
            </w:r>
          </w:p>
        </w:tc>
      </w:tr>
      <w:tr>
        <w:trPr>
          <w:cantSplit/>
        </w:trPr>
        <w:tc>
          <w:tcPr>
            <w:tcW w:type="dxa" w:w="2520"/>
            <w:tcBorders>
              <w:top w:val="single" w:sz="6" w:color="B8C4CE"/>
              <w:left w:val="single" w:sz="6" w:color="B8C4CE"/>
              <w:bottom w:val="single" w:sz="6" w:color="B8C4CE"/>
              <w:right w:val="single" w:sz="6" w:color="B8C4CE"/>
              <w:insideH w:val="single" w:sz="6" w:color="B8C4CE"/>
              <w:insideV w:val="single" w:sz="6" w:color="B8C4CE"/>
            </w:tcBorders>
          </w:tcPr>
          <w:p>
            <w:pPr>
              <w:jc w:val="center"/>
            </w:pPr>
            <w:r>
              <w:rPr>
                <w:rFonts w:ascii="Aptos" w:hAnsi="Aptos"/>
                <w:b/>
                <w:color w:val="1F2937"/>
                <w:sz w:val="18"/>
              </w:rPr>
              <w:t>1</w:t>
            </w:r>
          </w:p>
        </w:tc>
        <w:tc>
          <w:tcPr>
            <w:tcW w:type="dxa" w:w="2520"/>
            <w:tcBorders>
              <w:top w:val="single" w:sz="6" w:color="B8C4CE"/>
              <w:left w:val="single" w:sz="6" w:color="B8C4CE"/>
              <w:bottom w:val="single" w:sz="6" w:color="B8C4CE"/>
              <w:right w:val="single" w:sz="6" w:color="B8C4CE"/>
              <w:insideH w:val="single" w:sz="6" w:color="B8C4CE"/>
              <w:insideV w:val="single" w:sz="6" w:color="B8C4CE"/>
            </w:tcBorders>
          </w:tcPr>
          <w:p>
            <w:pPr>
              <w:jc w:val="center"/>
            </w:pPr>
            <w:r>
              <w:rPr>
                <w:rFonts w:ascii="Aptos" w:hAnsi="Aptos"/>
                <w:b w:val="0"/>
                <w:color w:val="1F2937"/>
                <w:sz w:val="18"/>
              </w:rPr>
            </w:r>
          </w:p>
        </w:tc>
        <w:tc>
          <w:tcPr>
            <w:tcW w:type="dxa" w:w="2520"/>
            <w:tcBorders>
              <w:top w:val="single" w:sz="6" w:color="B8C4CE"/>
              <w:left w:val="single" w:sz="6" w:color="B8C4CE"/>
              <w:bottom w:val="single" w:sz="6" w:color="B8C4CE"/>
              <w:right w:val="single" w:sz="6" w:color="B8C4CE"/>
              <w:insideH w:val="single" w:sz="6" w:color="B8C4CE"/>
              <w:insideV w:val="single" w:sz="6" w:color="B8C4CE"/>
            </w:tcBorders>
          </w:tcPr>
          <w:p>
            <w:pPr>
              <w:jc w:val="center"/>
            </w:pPr>
            <w:r>
              <w:rPr>
                <w:rFonts w:ascii="Aptos" w:hAnsi="Aptos"/>
                <w:b w:val="0"/>
                <w:color w:val="1F2937"/>
                <w:sz w:val="18"/>
              </w:rPr>
            </w:r>
          </w:p>
        </w:tc>
        <w:tc>
          <w:tcPr>
            <w:tcW w:type="dxa" w:w="2520"/>
            <w:tcBorders>
              <w:top w:val="single" w:sz="6" w:color="B8C4CE"/>
              <w:left w:val="single" w:sz="6" w:color="B8C4CE"/>
              <w:bottom w:val="single" w:sz="6" w:color="B8C4CE"/>
              <w:right w:val="single" w:sz="6" w:color="B8C4CE"/>
              <w:insideH w:val="single" w:sz="6" w:color="B8C4CE"/>
              <w:insideV w:val="single" w:sz="6" w:color="B8C4CE"/>
            </w:tcBorders>
          </w:tcPr>
          <w:p>
            <w:pPr>
              <w:jc w:val="center"/>
            </w:pPr>
            <w:r>
              <w:rPr>
                <w:rFonts w:ascii="Aptos" w:hAnsi="Aptos"/>
                <w:b w:val="0"/>
                <w:color w:val="1F2937"/>
                <w:sz w:val="18"/>
              </w:rPr>
            </w:r>
          </w:p>
        </w:tc>
      </w:tr>
      <w:tr>
        <w:trPr>
          <w:cantSplit/>
        </w:trPr>
        <w:tc>
          <w:tcPr>
            <w:tcW w:type="dxa" w:w="2520"/>
            <w:tcBorders>
              <w:top w:val="single" w:sz="6" w:color="B8C4CE"/>
              <w:left w:val="single" w:sz="6" w:color="B8C4CE"/>
              <w:bottom w:val="single" w:sz="6" w:color="B8C4CE"/>
              <w:right w:val="single" w:sz="6" w:color="B8C4CE"/>
              <w:insideH w:val="single" w:sz="6" w:color="B8C4CE"/>
              <w:insideV w:val="single" w:sz="6" w:color="B8C4CE"/>
            </w:tcBorders>
          </w:tcPr>
          <w:p>
            <w:pPr>
              <w:jc w:val="center"/>
            </w:pPr>
            <w:r>
              <w:rPr>
                <w:rFonts w:ascii="Aptos" w:hAnsi="Aptos"/>
                <w:b/>
                <w:color w:val="1F2937"/>
                <w:sz w:val="18"/>
              </w:rPr>
              <w:t>2</w:t>
            </w:r>
          </w:p>
        </w:tc>
        <w:tc>
          <w:tcPr>
            <w:tcW w:type="dxa" w:w="2520"/>
            <w:tcBorders>
              <w:top w:val="single" w:sz="6" w:color="B8C4CE"/>
              <w:left w:val="single" w:sz="6" w:color="B8C4CE"/>
              <w:bottom w:val="single" w:sz="6" w:color="B8C4CE"/>
              <w:right w:val="single" w:sz="6" w:color="B8C4CE"/>
              <w:insideH w:val="single" w:sz="6" w:color="B8C4CE"/>
              <w:insideV w:val="single" w:sz="6" w:color="B8C4CE"/>
            </w:tcBorders>
          </w:tcPr>
          <w:p>
            <w:pPr>
              <w:jc w:val="center"/>
            </w:pPr>
            <w:r>
              <w:rPr>
                <w:rFonts w:ascii="Aptos" w:hAnsi="Aptos"/>
                <w:b w:val="0"/>
                <w:color w:val="1F2937"/>
                <w:sz w:val="18"/>
              </w:rPr>
            </w:r>
          </w:p>
        </w:tc>
        <w:tc>
          <w:tcPr>
            <w:tcW w:type="dxa" w:w="2520"/>
            <w:tcBorders>
              <w:top w:val="single" w:sz="6" w:color="B8C4CE"/>
              <w:left w:val="single" w:sz="6" w:color="B8C4CE"/>
              <w:bottom w:val="single" w:sz="6" w:color="B8C4CE"/>
              <w:right w:val="single" w:sz="6" w:color="B8C4CE"/>
              <w:insideH w:val="single" w:sz="6" w:color="B8C4CE"/>
              <w:insideV w:val="single" w:sz="6" w:color="B8C4CE"/>
            </w:tcBorders>
          </w:tcPr>
          <w:p>
            <w:pPr>
              <w:jc w:val="center"/>
            </w:pPr>
            <w:r>
              <w:rPr>
                <w:rFonts w:ascii="Aptos" w:hAnsi="Aptos"/>
                <w:b w:val="0"/>
                <w:color w:val="1F2937"/>
                <w:sz w:val="18"/>
              </w:rPr>
            </w:r>
          </w:p>
        </w:tc>
        <w:tc>
          <w:tcPr>
            <w:tcW w:type="dxa" w:w="2520"/>
            <w:tcBorders>
              <w:top w:val="single" w:sz="6" w:color="B8C4CE"/>
              <w:left w:val="single" w:sz="6" w:color="B8C4CE"/>
              <w:bottom w:val="single" w:sz="6" w:color="B8C4CE"/>
              <w:right w:val="single" w:sz="6" w:color="B8C4CE"/>
              <w:insideH w:val="single" w:sz="6" w:color="B8C4CE"/>
              <w:insideV w:val="single" w:sz="6" w:color="B8C4CE"/>
            </w:tcBorders>
          </w:tcPr>
          <w:p>
            <w:pPr>
              <w:jc w:val="center"/>
            </w:pPr>
            <w:r>
              <w:rPr>
                <w:rFonts w:ascii="Aptos" w:hAnsi="Aptos"/>
                <w:b w:val="0"/>
                <w:color w:val="1F2937"/>
                <w:sz w:val="18"/>
              </w:rPr>
            </w:r>
          </w:p>
        </w:tc>
      </w:tr>
      <w:tr>
        <w:trPr>
          <w:cantSplit/>
        </w:trPr>
        <w:tc>
          <w:tcPr>
            <w:tcW w:type="dxa" w:w="2520"/>
            <w:tcBorders>
              <w:top w:val="single" w:sz="6" w:color="B8C4CE"/>
              <w:left w:val="single" w:sz="6" w:color="B8C4CE"/>
              <w:bottom w:val="single" w:sz="6" w:color="B8C4CE"/>
              <w:right w:val="single" w:sz="6" w:color="B8C4CE"/>
              <w:insideH w:val="single" w:sz="6" w:color="B8C4CE"/>
              <w:insideV w:val="single" w:sz="6" w:color="B8C4CE"/>
            </w:tcBorders>
          </w:tcPr>
          <w:p>
            <w:pPr>
              <w:jc w:val="center"/>
            </w:pPr>
            <w:r>
              <w:rPr>
                <w:rFonts w:ascii="Aptos" w:hAnsi="Aptos"/>
                <w:b/>
                <w:color w:val="1F2937"/>
                <w:sz w:val="18"/>
              </w:rPr>
              <w:t>3</w:t>
            </w:r>
          </w:p>
        </w:tc>
        <w:tc>
          <w:tcPr>
            <w:tcW w:type="dxa" w:w="2520"/>
            <w:tcBorders>
              <w:top w:val="single" w:sz="6" w:color="B8C4CE"/>
              <w:left w:val="single" w:sz="6" w:color="B8C4CE"/>
              <w:bottom w:val="single" w:sz="6" w:color="B8C4CE"/>
              <w:right w:val="single" w:sz="6" w:color="B8C4CE"/>
              <w:insideH w:val="single" w:sz="6" w:color="B8C4CE"/>
              <w:insideV w:val="single" w:sz="6" w:color="B8C4CE"/>
            </w:tcBorders>
          </w:tcPr>
          <w:p>
            <w:pPr>
              <w:jc w:val="center"/>
            </w:pPr>
            <w:r>
              <w:rPr>
                <w:rFonts w:ascii="Aptos" w:hAnsi="Aptos"/>
                <w:b w:val="0"/>
                <w:color w:val="1F2937"/>
                <w:sz w:val="18"/>
              </w:rPr>
            </w:r>
          </w:p>
        </w:tc>
        <w:tc>
          <w:tcPr>
            <w:tcW w:type="dxa" w:w="2520"/>
            <w:tcBorders>
              <w:top w:val="single" w:sz="6" w:color="B8C4CE"/>
              <w:left w:val="single" w:sz="6" w:color="B8C4CE"/>
              <w:bottom w:val="single" w:sz="6" w:color="B8C4CE"/>
              <w:right w:val="single" w:sz="6" w:color="B8C4CE"/>
              <w:insideH w:val="single" w:sz="6" w:color="B8C4CE"/>
              <w:insideV w:val="single" w:sz="6" w:color="B8C4CE"/>
            </w:tcBorders>
          </w:tcPr>
          <w:p>
            <w:pPr>
              <w:jc w:val="center"/>
            </w:pPr>
            <w:r>
              <w:rPr>
                <w:rFonts w:ascii="Aptos" w:hAnsi="Aptos"/>
                <w:b w:val="0"/>
                <w:color w:val="1F2937"/>
                <w:sz w:val="18"/>
              </w:rPr>
            </w:r>
          </w:p>
        </w:tc>
        <w:tc>
          <w:tcPr>
            <w:tcW w:type="dxa" w:w="2520"/>
            <w:tcBorders>
              <w:top w:val="single" w:sz="6" w:color="B8C4CE"/>
              <w:left w:val="single" w:sz="6" w:color="B8C4CE"/>
              <w:bottom w:val="single" w:sz="6" w:color="B8C4CE"/>
              <w:right w:val="single" w:sz="6" w:color="B8C4CE"/>
              <w:insideH w:val="single" w:sz="6" w:color="B8C4CE"/>
              <w:insideV w:val="single" w:sz="6" w:color="B8C4CE"/>
            </w:tcBorders>
          </w:tcPr>
          <w:p>
            <w:pPr>
              <w:jc w:val="center"/>
            </w:pPr>
            <w:r>
              <w:rPr>
                <w:rFonts w:ascii="Aptos" w:hAnsi="Aptos"/>
                <w:b w:val="0"/>
                <w:color w:val="1F2937"/>
                <w:sz w:val="18"/>
              </w:rPr>
            </w:r>
          </w:p>
        </w:tc>
      </w:tr>
      <w:tr>
        <w:trPr>
          <w:cantSplit/>
        </w:trPr>
        <w:tc>
          <w:tcPr>
            <w:tcW w:type="dxa" w:w="2520"/>
            <w:tcBorders>
              <w:top w:val="single" w:sz="6" w:color="B8C4CE"/>
              <w:left w:val="single" w:sz="6" w:color="B8C4CE"/>
              <w:bottom w:val="single" w:sz="6" w:color="B8C4CE"/>
              <w:right w:val="single" w:sz="6" w:color="B8C4CE"/>
              <w:insideH w:val="single" w:sz="6" w:color="B8C4CE"/>
              <w:insideV w:val="single" w:sz="6" w:color="B8C4CE"/>
            </w:tcBorders>
          </w:tcPr>
          <w:p>
            <w:pPr>
              <w:jc w:val="center"/>
            </w:pPr>
            <w:r>
              <w:rPr>
                <w:rFonts w:ascii="Aptos" w:hAnsi="Aptos"/>
                <w:b/>
                <w:color w:val="1F2937"/>
                <w:sz w:val="18"/>
              </w:rPr>
              <w:t>4</w:t>
            </w:r>
          </w:p>
        </w:tc>
        <w:tc>
          <w:tcPr>
            <w:tcW w:type="dxa" w:w="2520"/>
            <w:tcBorders>
              <w:top w:val="single" w:sz="6" w:color="B8C4CE"/>
              <w:left w:val="single" w:sz="6" w:color="B8C4CE"/>
              <w:bottom w:val="single" w:sz="6" w:color="B8C4CE"/>
              <w:right w:val="single" w:sz="6" w:color="B8C4CE"/>
              <w:insideH w:val="single" w:sz="6" w:color="B8C4CE"/>
              <w:insideV w:val="single" w:sz="6" w:color="B8C4CE"/>
            </w:tcBorders>
          </w:tcPr>
          <w:p>
            <w:pPr>
              <w:jc w:val="center"/>
            </w:pPr>
            <w:r>
              <w:rPr>
                <w:rFonts w:ascii="Aptos" w:hAnsi="Aptos"/>
                <w:b w:val="0"/>
                <w:color w:val="1F2937"/>
                <w:sz w:val="18"/>
              </w:rPr>
            </w:r>
          </w:p>
        </w:tc>
        <w:tc>
          <w:tcPr>
            <w:tcW w:type="dxa" w:w="2520"/>
            <w:tcBorders>
              <w:top w:val="single" w:sz="6" w:color="B8C4CE"/>
              <w:left w:val="single" w:sz="6" w:color="B8C4CE"/>
              <w:bottom w:val="single" w:sz="6" w:color="B8C4CE"/>
              <w:right w:val="single" w:sz="6" w:color="B8C4CE"/>
              <w:insideH w:val="single" w:sz="6" w:color="B8C4CE"/>
              <w:insideV w:val="single" w:sz="6" w:color="B8C4CE"/>
            </w:tcBorders>
          </w:tcPr>
          <w:p>
            <w:pPr>
              <w:jc w:val="center"/>
            </w:pPr>
            <w:r>
              <w:rPr>
                <w:rFonts w:ascii="Aptos" w:hAnsi="Aptos"/>
                <w:b w:val="0"/>
                <w:color w:val="1F2937"/>
                <w:sz w:val="18"/>
              </w:rPr>
            </w:r>
          </w:p>
        </w:tc>
        <w:tc>
          <w:tcPr>
            <w:tcW w:type="dxa" w:w="2520"/>
            <w:tcBorders>
              <w:top w:val="single" w:sz="6" w:color="B8C4CE"/>
              <w:left w:val="single" w:sz="6" w:color="B8C4CE"/>
              <w:bottom w:val="single" w:sz="6" w:color="B8C4CE"/>
              <w:right w:val="single" w:sz="6" w:color="B8C4CE"/>
              <w:insideH w:val="single" w:sz="6" w:color="B8C4CE"/>
              <w:insideV w:val="single" w:sz="6" w:color="B8C4CE"/>
            </w:tcBorders>
          </w:tcPr>
          <w:p>
            <w:pPr>
              <w:jc w:val="center"/>
            </w:pPr>
            <w:r>
              <w:rPr>
                <w:rFonts w:ascii="Aptos" w:hAnsi="Aptos"/>
                <w:b w:val="0"/>
                <w:color w:val="1F2937"/>
                <w:sz w:val="18"/>
              </w:rPr>
            </w:r>
          </w:p>
        </w:tc>
      </w:tr>
      <w:tr>
        <w:trPr>
          <w:cantSplit/>
        </w:trPr>
        <w:tc>
          <w:tcPr>
            <w:tcW w:type="dxa" w:w="2520"/>
            <w:tcBorders>
              <w:top w:val="single" w:sz="6" w:color="B8C4CE"/>
              <w:left w:val="single" w:sz="6" w:color="B8C4CE"/>
              <w:bottom w:val="single" w:sz="6" w:color="B8C4CE"/>
              <w:right w:val="single" w:sz="6" w:color="B8C4CE"/>
              <w:insideH w:val="single" w:sz="6" w:color="B8C4CE"/>
              <w:insideV w:val="single" w:sz="6" w:color="B8C4CE"/>
            </w:tcBorders>
          </w:tcPr>
          <w:p>
            <w:pPr>
              <w:jc w:val="center"/>
            </w:pPr>
            <w:r>
              <w:rPr>
                <w:rFonts w:ascii="Aptos" w:hAnsi="Aptos"/>
                <w:b/>
                <w:color w:val="1F2937"/>
                <w:sz w:val="18"/>
              </w:rPr>
              <w:t>5</w:t>
            </w:r>
          </w:p>
        </w:tc>
        <w:tc>
          <w:tcPr>
            <w:tcW w:type="dxa" w:w="2520"/>
            <w:tcBorders>
              <w:top w:val="single" w:sz="6" w:color="B8C4CE"/>
              <w:left w:val="single" w:sz="6" w:color="B8C4CE"/>
              <w:bottom w:val="single" w:sz="6" w:color="B8C4CE"/>
              <w:right w:val="single" w:sz="6" w:color="B8C4CE"/>
              <w:insideH w:val="single" w:sz="6" w:color="B8C4CE"/>
              <w:insideV w:val="single" w:sz="6" w:color="B8C4CE"/>
            </w:tcBorders>
          </w:tcPr>
          <w:p>
            <w:pPr>
              <w:jc w:val="center"/>
            </w:pPr>
            <w:r>
              <w:rPr>
                <w:rFonts w:ascii="Aptos" w:hAnsi="Aptos"/>
                <w:b w:val="0"/>
                <w:color w:val="1F2937"/>
                <w:sz w:val="18"/>
              </w:rPr>
            </w:r>
          </w:p>
        </w:tc>
        <w:tc>
          <w:tcPr>
            <w:tcW w:type="dxa" w:w="2520"/>
            <w:tcBorders>
              <w:top w:val="single" w:sz="6" w:color="B8C4CE"/>
              <w:left w:val="single" w:sz="6" w:color="B8C4CE"/>
              <w:bottom w:val="single" w:sz="6" w:color="B8C4CE"/>
              <w:right w:val="single" w:sz="6" w:color="B8C4CE"/>
              <w:insideH w:val="single" w:sz="6" w:color="B8C4CE"/>
              <w:insideV w:val="single" w:sz="6" w:color="B8C4CE"/>
            </w:tcBorders>
          </w:tcPr>
          <w:p>
            <w:pPr>
              <w:jc w:val="center"/>
            </w:pPr>
            <w:r>
              <w:rPr>
                <w:rFonts w:ascii="Aptos" w:hAnsi="Aptos"/>
                <w:b w:val="0"/>
                <w:color w:val="1F2937"/>
                <w:sz w:val="18"/>
              </w:rPr>
            </w:r>
          </w:p>
        </w:tc>
        <w:tc>
          <w:tcPr>
            <w:tcW w:type="dxa" w:w="2520"/>
            <w:tcBorders>
              <w:top w:val="single" w:sz="6" w:color="B8C4CE"/>
              <w:left w:val="single" w:sz="6" w:color="B8C4CE"/>
              <w:bottom w:val="single" w:sz="6" w:color="B8C4CE"/>
              <w:right w:val="single" w:sz="6" w:color="B8C4CE"/>
              <w:insideH w:val="single" w:sz="6" w:color="B8C4CE"/>
              <w:insideV w:val="single" w:sz="6" w:color="B8C4CE"/>
            </w:tcBorders>
          </w:tcPr>
          <w:p>
            <w:pPr>
              <w:jc w:val="center"/>
            </w:pPr>
            <w:r>
              <w:rPr>
                <w:rFonts w:ascii="Aptos" w:hAnsi="Aptos"/>
                <w:b w:val="0"/>
                <w:color w:val="1F2937"/>
                <w:sz w:val="18"/>
              </w:rPr>
            </w:r>
          </w:p>
        </w:tc>
      </w:tr>
      <w:tr>
        <w:trPr>
          <w:cantSplit/>
        </w:trPr>
        <w:tc>
          <w:tcPr>
            <w:tcW w:type="dxa" w:w="2520"/>
            <w:tcBorders>
              <w:top w:val="single" w:sz="6" w:color="B8C4CE"/>
              <w:left w:val="single" w:sz="6" w:color="B8C4CE"/>
              <w:bottom w:val="single" w:sz="6" w:color="B8C4CE"/>
              <w:right w:val="single" w:sz="6" w:color="B8C4CE"/>
              <w:insideH w:val="single" w:sz="6" w:color="B8C4CE"/>
              <w:insideV w:val="single" w:sz="6" w:color="B8C4CE"/>
            </w:tcBorders>
          </w:tcPr>
          <w:p>
            <w:pPr>
              <w:jc w:val="center"/>
            </w:pPr>
            <w:r>
              <w:rPr>
                <w:rFonts w:ascii="Aptos" w:hAnsi="Aptos"/>
                <w:b/>
                <w:color w:val="1F2937"/>
                <w:sz w:val="18"/>
              </w:rPr>
              <w:t>6</w:t>
            </w:r>
          </w:p>
        </w:tc>
        <w:tc>
          <w:tcPr>
            <w:tcW w:type="dxa" w:w="2520"/>
            <w:tcBorders>
              <w:top w:val="single" w:sz="6" w:color="B8C4CE"/>
              <w:left w:val="single" w:sz="6" w:color="B8C4CE"/>
              <w:bottom w:val="single" w:sz="6" w:color="B8C4CE"/>
              <w:right w:val="single" w:sz="6" w:color="B8C4CE"/>
              <w:insideH w:val="single" w:sz="6" w:color="B8C4CE"/>
              <w:insideV w:val="single" w:sz="6" w:color="B8C4CE"/>
            </w:tcBorders>
          </w:tcPr>
          <w:p>
            <w:pPr>
              <w:jc w:val="center"/>
            </w:pPr>
            <w:r>
              <w:rPr>
                <w:rFonts w:ascii="Aptos" w:hAnsi="Aptos"/>
                <w:b w:val="0"/>
                <w:color w:val="1F2937"/>
                <w:sz w:val="18"/>
              </w:rPr>
            </w:r>
          </w:p>
        </w:tc>
        <w:tc>
          <w:tcPr>
            <w:tcW w:type="dxa" w:w="2520"/>
            <w:tcBorders>
              <w:top w:val="single" w:sz="6" w:color="B8C4CE"/>
              <w:left w:val="single" w:sz="6" w:color="B8C4CE"/>
              <w:bottom w:val="single" w:sz="6" w:color="B8C4CE"/>
              <w:right w:val="single" w:sz="6" w:color="B8C4CE"/>
              <w:insideH w:val="single" w:sz="6" w:color="B8C4CE"/>
              <w:insideV w:val="single" w:sz="6" w:color="B8C4CE"/>
            </w:tcBorders>
          </w:tcPr>
          <w:p>
            <w:pPr>
              <w:jc w:val="center"/>
            </w:pPr>
            <w:r>
              <w:rPr>
                <w:rFonts w:ascii="Aptos" w:hAnsi="Aptos"/>
                <w:b w:val="0"/>
                <w:color w:val="1F2937"/>
                <w:sz w:val="18"/>
              </w:rPr>
            </w:r>
          </w:p>
        </w:tc>
        <w:tc>
          <w:tcPr>
            <w:tcW w:type="dxa" w:w="2520"/>
            <w:tcBorders>
              <w:top w:val="single" w:sz="6" w:color="B8C4CE"/>
              <w:left w:val="single" w:sz="6" w:color="B8C4CE"/>
              <w:bottom w:val="single" w:sz="6" w:color="B8C4CE"/>
              <w:right w:val="single" w:sz="6" w:color="B8C4CE"/>
              <w:insideH w:val="single" w:sz="6" w:color="B8C4CE"/>
              <w:insideV w:val="single" w:sz="6" w:color="B8C4CE"/>
            </w:tcBorders>
          </w:tcPr>
          <w:p>
            <w:pPr>
              <w:jc w:val="center"/>
            </w:pPr>
            <w:r>
              <w:rPr>
                <w:rFonts w:ascii="Aptos" w:hAnsi="Aptos"/>
                <w:b w:val="0"/>
                <w:color w:val="1F2937"/>
                <w:sz w:val="18"/>
              </w:rPr>
            </w:r>
          </w:p>
        </w:tc>
      </w:tr>
      <w:tr>
        <w:trPr>
          <w:cantSplit/>
        </w:trPr>
        <w:tc>
          <w:tcPr>
            <w:tcW w:type="dxa" w:w="2520"/>
            <w:tcBorders>
              <w:top w:val="single" w:sz="6" w:color="B8C4CE"/>
              <w:left w:val="single" w:sz="6" w:color="B8C4CE"/>
              <w:bottom w:val="single" w:sz="6" w:color="B8C4CE"/>
              <w:right w:val="single" w:sz="6" w:color="B8C4CE"/>
              <w:insideH w:val="single" w:sz="6" w:color="B8C4CE"/>
              <w:insideV w:val="single" w:sz="6" w:color="B8C4CE"/>
            </w:tcBorders>
          </w:tcPr>
          <w:p>
            <w:pPr>
              <w:jc w:val="center"/>
            </w:pPr>
            <w:r>
              <w:rPr>
                <w:rFonts w:ascii="Aptos" w:hAnsi="Aptos"/>
                <w:b/>
                <w:color w:val="1F2937"/>
                <w:sz w:val="18"/>
              </w:rPr>
              <w:t>7</w:t>
            </w:r>
          </w:p>
        </w:tc>
        <w:tc>
          <w:tcPr>
            <w:tcW w:type="dxa" w:w="2520"/>
            <w:tcBorders>
              <w:top w:val="single" w:sz="6" w:color="B8C4CE"/>
              <w:left w:val="single" w:sz="6" w:color="B8C4CE"/>
              <w:bottom w:val="single" w:sz="6" w:color="B8C4CE"/>
              <w:right w:val="single" w:sz="6" w:color="B8C4CE"/>
              <w:insideH w:val="single" w:sz="6" w:color="B8C4CE"/>
              <w:insideV w:val="single" w:sz="6" w:color="B8C4CE"/>
            </w:tcBorders>
          </w:tcPr>
          <w:p>
            <w:pPr>
              <w:jc w:val="center"/>
            </w:pPr>
            <w:r>
              <w:rPr>
                <w:rFonts w:ascii="Aptos" w:hAnsi="Aptos"/>
                <w:b w:val="0"/>
                <w:color w:val="1F2937"/>
                <w:sz w:val="18"/>
              </w:rPr>
            </w:r>
          </w:p>
        </w:tc>
        <w:tc>
          <w:tcPr>
            <w:tcW w:type="dxa" w:w="2520"/>
            <w:tcBorders>
              <w:top w:val="single" w:sz="6" w:color="B8C4CE"/>
              <w:left w:val="single" w:sz="6" w:color="B8C4CE"/>
              <w:bottom w:val="single" w:sz="6" w:color="B8C4CE"/>
              <w:right w:val="single" w:sz="6" w:color="B8C4CE"/>
              <w:insideH w:val="single" w:sz="6" w:color="B8C4CE"/>
              <w:insideV w:val="single" w:sz="6" w:color="B8C4CE"/>
            </w:tcBorders>
          </w:tcPr>
          <w:p>
            <w:pPr>
              <w:jc w:val="center"/>
            </w:pPr>
            <w:r>
              <w:rPr>
                <w:rFonts w:ascii="Aptos" w:hAnsi="Aptos"/>
                <w:b w:val="0"/>
                <w:color w:val="1F2937"/>
                <w:sz w:val="18"/>
              </w:rPr>
            </w:r>
          </w:p>
        </w:tc>
        <w:tc>
          <w:tcPr>
            <w:tcW w:type="dxa" w:w="2520"/>
            <w:tcBorders>
              <w:top w:val="single" w:sz="6" w:color="B8C4CE"/>
              <w:left w:val="single" w:sz="6" w:color="B8C4CE"/>
              <w:bottom w:val="single" w:sz="6" w:color="B8C4CE"/>
              <w:right w:val="single" w:sz="6" w:color="B8C4CE"/>
              <w:insideH w:val="single" w:sz="6" w:color="B8C4CE"/>
              <w:insideV w:val="single" w:sz="6" w:color="B8C4CE"/>
            </w:tcBorders>
          </w:tcPr>
          <w:p>
            <w:pPr>
              <w:jc w:val="center"/>
            </w:pPr>
            <w:r>
              <w:rPr>
                <w:rFonts w:ascii="Aptos" w:hAnsi="Aptos"/>
                <w:b w:val="0"/>
                <w:color w:val="1F2937"/>
                <w:sz w:val="18"/>
              </w:rPr>
            </w:r>
          </w:p>
        </w:tc>
      </w:tr>
      <w:tr>
        <w:trPr>
          <w:cantSplit/>
        </w:trPr>
        <w:tc>
          <w:tcPr>
            <w:tcW w:type="dxa" w:w="2520"/>
            <w:tcBorders>
              <w:top w:val="single" w:sz="6" w:color="B8C4CE"/>
              <w:left w:val="single" w:sz="6" w:color="B8C4CE"/>
              <w:bottom w:val="single" w:sz="6" w:color="B8C4CE"/>
              <w:right w:val="single" w:sz="6" w:color="B8C4CE"/>
              <w:insideH w:val="single" w:sz="6" w:color="B8C4CE"/>
              <w:insideV w:val="single" w:sz="6" w:color="B8C4CE"/>
            </w:tcBorders>
          </w:tcPr>
          <w:p>
            <w:pPr>
              <w:jc w:val="center"/>
            </w:pPr>
            <w:r>
              <w:rPr>
                <w:rFonts w:ascii="Aptos" w:hAnsi="Aptos"/>
                <w:b/>
                <w:color w:val="1F2937"/>
                <w:sz w:val="18"/>
              </w:rPr>
              <w:t>8</w:t>
            </w:r>
          </w:p>
        </w:tc>
        <w:tc>
          <w:tcPr>
            <w:tcW w:type="dxa" w:w="2520"/>
            <w:tcBorders>
              <w:top w:val="single" w:sz="6" w:color="B8C4CE"/>
              <w:left w:val="single" w:sz="6" w:color="B8C4CE"/>
              <w:bottom w:val="single" w:sz="6" w:color="B8C4CE"/>
              <w:right w:val="single" w:sz="6" w:color="B8C4CE"/>
              <w:insideH w:val="single" w:sz="6" w:color="B8C4CE"/>
              <w:insideV w:val="single" w:sz="6" w:color="B8C4CE"/>
            </w:tcBorders>
          </w:tcPr>
          <w:p>
            <w:pPr>
              <w:jc w:val="center"/>
            </w:pPr>
            <w:r>
              <w:rPr>
                <w:rFonts w:ascii="Aptos" w:hAnsi="Aptos"/>
                <w:b w:val="0"/>
                <w:color w:val="1F2937"/>
                <w:sz w:val="18"/>
              </w:rPr>
            </w:r>
          </w:p>
        </w:tc>
        <w:tc>
          <w:tcPr>
            <w:tcW w:type="dxa" w:w="2520"/>
            <w:tcBorders>
              <w:top w:val="single" w:sz="6" w:color="B8C4CE"/>
              <w:left w:val="single" w:sz="6" w:color="B8C4CE"/>
              <w:bottom w:val="single" w:sz="6" w:color="B8C4CE"/>
              <w:right w:val="single" w:sz="6" w:color="B8C4CE"/>
              <w:insideH w:val="single" w:sz="6" w:color="B8C4CE"/>
              <w:insideV w:val="single" w:sz="6" w:color="B8C4CE"/>
            </w:tcBorders>
          </w:tcPr>
          <w:p>
            <w:pPr>
              <w:jc w:val="center"/>
            </w:pPr>
            <w:r>
              <w:rPr>
                <w:rFonts w:ascii="Aptos" w:hAnsi="Aptos"/>
                <w:b w:val="0"/>
                <w:color w:val="1F2937"/>
                <w:sz w:val="18"/>
              </w:rPr>
            </w:r>
          </w:p>
        </w:tc>
        <w:tc>
          <w:tcPr>
            <w:tcW w:type="dxa" w:w="2520"/>
            <w:tcBorders>
              <w:top w:val="single" w:sz="6" w:color="B8C4CE"/>
              <w:left w:val="single" w:sz="6" w:color="B8C4CE"/>
              <w:bottom w:val="single" w:sz="6" w:color="B8C4CE"/>
              <w:right w:val="single" w:sz="6" w:color="B8C4CE"/>
              <w:insideH w:val="single" w:sz="6" w:color="B8C4CE"/>
              <w:insideV w:val="single" w:sz="6" w:color="B8C4CE"/>
            </w:tcBorders>
          </w:tcPr>
          <w:p>
            <w:pPr>
              <w:jc w:val="center"/>
            </w:pPr>
            <w:r>
              <w:rPr>
                <w:rFonts w:ascii="Aptos" w:hAnsi="Aptos"/>
                <w:b w:val="0"/>
                <w:color w:val="1F2937"/>
                <w:sz w:val="18"/>
              </w:rPr>
            </w:r>
          </w:p>
        </w:tc>
      </w:tr>
      <w:tr>
        <w:trPr>
          <w:cantSplit/>
        </w:trPr>
        <w:tc>
          <w:tcPr>
            <w:tcW w:type="dxa" w:w="2520"/>
            <w:tcBorders>
              <w:top w:val="single" w:sz="6" w:color="B8C4CE"/>
              <w:left w:val="single" w:sz="6" w:color="B8C4CE"/>
              <w:bottom w:val="single" w:sz="6" w:color="B8C4CE"/>
              <w:right w:val="single" w:sz="6" w:color="B8C4CE"/>
              <w:insideH w:val="single" w:sz="6" w:color="B8C4CE"/>
              <w:insideV w:val="single" w:sz="6" w:color="B8C4CE"/>
            </w:tcBorders>
          </w:tcPr>
          <w:p>
            <w:pPr>
              <w:jc w:val="center"/>
            </w:pPr>
            <w:r>
              <w:rPr>
                <w:rFonts w:ascii="Aptos" w:hAnsi="Aptos"/>
                <w:b/>
                <w:color w:val="1F2937"/>
                <w:sz w:val="18"/>
              </w:rPr>
              <w:t>9</w:t>
            </w:r>
          </w:p>
        </w:tc>
        <w:tc>
          <w:tcPr>
            <w:tcW w:type="dxa" w:w="2520"/>
            <w:tcBorders>
              <w:top w:val="single" w:sz="6" w:color="B8C4CE"/>
              <w:left w:val="single" w:sz="6" w:color="B8C4CE"/>
              <w:bottom w:val="single" w:sz="6" w:color="B8C4CE"/>
              <w:right w:val="single" w:sz="6" w:color="B8C4CE"/>
              <w:insideH w:val="single" w:sz="6" w:color="B8C4CE"/>
              <w:insideV w:val="single" w:sz="6" w:color="B8C4CE"/>
            </w:tcBorders>
          </w:tcPr>
          <w:p>
            <w:pPr>
              <w:jc w:val="center"/>
            </w:pPr>
            <w:r>
              <w:rPr>
                <w:rFonts w:ascii="Aptos" w:hAnsi="Aptos"/>
                <w:b w:val="0"/>
                <w:color w:val="1F2937"/>
                <w:sz w:val="18"/>
              </w:rPr>
            </w:r>
          </w:p>
        </w:tc>
        <w:tc>
          <w:tcPr>
            <w:tcW w:type="dxa" w:w="2520"/>
            <w:tcBorders>
              <w:top w:val="single" w:sz="6" w:color="B8C4CE"/>
              <w:left w:val="single" w:sz="6" w:color="B8C4CE"/>
              <w:bottom w:val="single" w:sz="6" w:color="B8C4CE"/>
              <w:right w:val="single" w:sz="6" w:color="B8C4CE"/>
              <w:insideH w:val="single" w:sz="6" w:color="B8C4CE"/>
              <w:insideV w:val="single" w:sz="6" w:color="B8C4CE"/>
            </w:tcBorders>
          </w:tcPr>
          <w:p>
            <w:pPr>
              <w:jc w:val="center"/>
            </w:pPr>
            <w:r>
              <w:rPr>
                <w:rFonts w:ascii="Aptos" w:hAnsi="Aptos"/>
                <w:b w:val="0"/>
                <w:color w:val="1F2937"/>
                <w:sz w:val="18"/>
              </w:rPr>
            </w:r>
          </w:p>
        </w:tc>
        <w:tc>
          <w:tcPr>
            <w:tcW w:type="dxa" w:w="2520"/>
            <w:tcBorders>
              <w:top w:val="single" w:sz="6" w:color="B8C4CE"/>
              <w:left w:val="single" w:sz="6" w:color="B8C4CE"/>
              <w:bottom w:val="single" w:sz="6" w:color="B8C4CE"/>
              <w:right w:val="single" w:sz="6" w:color="B8C4CE"/>
              <w:insideH w:val="single" w:sz="6" w:color="B8C4CE"/>
              <w:insideV w:val="single" w:sz="6" w:color="B8C4CE"/>
            </w:tcBorders>
          </w:tcPr>
          <w:p>
            <w:pPr>
              <w:jc w:val="center"/>
            </w:pPr>
            <w:r>
              <w:rPr>
                <w:rFonts w:ascii="Aptos" w:hAnsi="Aptos"/>
                <w:b w:val="0"/>
                <w:color w:val="1F2937"/>
                <w:sz w:val="18"/>
              </w:rPr>
            </w:r>
          </w:p>
        </w:tc>
      </w:tr>
      <w:tr>
        <w:trPr>
          <w:cantSplit/>
        </w:trPr>
        <w:tc>
          <w:tcPr>
            <w:tcW w:type="dxa" w:w="2520"/>
            <w:tcBorders>
              <w:top w:val="single" w:sz="6" w:color="B8C4CE"/>
              <w:left w:val="single" w:sz="6" w:color="B8C4CE"/>
              <w:bottom w:val="single" w:sz="6" w:color="B8C4CE"/>
              <w:right w:val="single" w:sz="6" w:color="B8C4CE"/>
              <w:insideH w:val="single" w:sz="6" w:color="B8C4CE"/>
              <w:insideV w:val="single" w:sz="6" w:color="B8C4CE"/>
            </w:tcBorders>
          </w:tcPr>
          <w:p>
            <w:pPr>
              <w:jc w:val="center"/>
            </w:pPr>
            <w:r>
              <w:rPr>
                <w:rFonts w:ascii="Aptos" w:hAnsi="Aptos"/>
                <w:b/>
                <w:color w:val="1F2937"/>
                <w:sz w:val="18"/>
              </w:rPr>
              <w:t>10</w:t>
            </w:r>
          </w:p>
        </w:tc>
        <w:tc>
          <w:tcPr>
            <w:tcW w:type="dxa" w:w="2520"/>
            <w:tcBorders>
              <w:top w:val="single" w:sz="6" w:color="B8C4CE"/>
              <w:left w:val="single" w:sz="6" w:color="B8C4CE"/>
              <w:bottom w:val="single" w:sz="6" w:color="B8C4CE"/>
              <w:right w:val="single" w:sz="6" w:color="B8C4CE"/>
              <w:insideH w:val="single" w:sz="6" w:color="B8C4CE"/>
              <w:insideV w:val="single" w:sz="6" w:color="B8C4CE"/>
            </w:tcBorders>
          </w:tcPr>
          <w:p>
            <w:pPr>
              <w:jc w:val="center"/>
            </w:pPr>
            <w:r>
              <w:rPr>
                <w:rFonts w:ascii="Aptos" w:hAnsi="Aptos"/>
                <w:b w:val="0"/>
                <w:color w:val="1F2937"/>
                <w:sz w:val="18"/>
              </w:rPr>
            </w:r>
          </w:p>
        </w:tc>
        <w:tc>
          <w:tcPr>
            <w:tcW w:type="dxa" w:w="2520"/>
            <w:tcBorders>
              <w:top w:val="single" w:sz="6" w:color="B8C4CE"/>
              <w:left w:val="single" w:sz="6" w:color="B8C4CE"/>
              <w:bottom w:val="single" w:sz="6" w:color="B8C4CE"/>
              <w:right w:val="single" w:sz="6" w:color="B8C4CE"/>
              <w:insideH w:val="single" w:sz="6" w:color="B8C4CE"/>
              <w:insideV w:val="single" w:sz="6" w:color="B8C4CE"/>
            </w:tcBorders>
          </w:tcPr>
          <w:p>
            <w:pPr>
              <w:jc w:val="center"/>
            </w:pPr>
            <w:r>
              <w:rPr>
                <w:rFonts w:ascii="Aptos" w:hAnsi="Aptos"/>
                <w:b w:val="0"/>
                <w:color w:val="1F2937"/>
                <w:sz w:val="18"/>
              </w:rPr>
            </w:r>
          </w:p>
        </w:tc>
        <w:tc>
          <w:tcPr>
            <w:tcW w:type="dxa" w:w="2520"/>
            <w:tcBorders>
              <w:top w:val="single" w:sz="6" w:color="B8C4CE"/>
              <w:left w:val="single" w:sz="6" w:color="B8C4CE"/>
              <w:bottom w:val="single" w:sz="6" w:color="B8C4CE"/>
              <w:right w:val="single" w:sz="6" w:color="B8C4CE"/>
              <w:insideH w:val="single" w:sz="6" w:color="B8C4CE"/>
              <w:insideV w:val="single" w:sz="6" w:color="B8C4CE"/>
            </w:tcBorders>
          </w:tcPr>
          <w:p>
            <w:pPr>
              <w:jc w:val="center"/>
            </w:pPr>
            <w:r>
              <w:rPr>
                <w:rFonts w:ascii="Aptos" w:hAnsi="Aptos"/>
                <w:b w:val="0"/>
                <w:color w:val="1F2937"/>
                <w:sz w:val="18"/>
              </w:rPr>
            </w:r>
          </w:p>
        </w:tc>
      </w:tr>
    </w:tbl>
    <w:p/>
    <w:p>
      <w:pPr>
        <w:keepNext/>
        <w:spacing w:before="160" w:after="80"/>
        <w:shd w:fill="0E7490" w:val="clear"/>
      </w:pPr>
      <w:r>
        <w:rPr>
          <w:rFonts w:ascii="Aptos" w:hAnsi="Aptos"/>
          <w:b/>
          <w:color w:val="FFFFFF"/>
          <w:sz w:val="17"/>
        </w:rPr>
        <w:t>LCSW-WB03-Q001 | Recall | Easy | Primary concept: Social determinants of health</w:t>
      </w:r>
    </w:p>
    <w:p>
      <w:pPr>
        <w:keepNext/>
      </w:pPr>
      <w:r>
        <w:rPr>
          <w:rFonts w:ascii="Aptos" w:hAnsi="Aptos"/>
          <w:b/>
          <w:color w:val="17365D"/>
          <w:sz w:val="21"/>
        </w:rPr>
        <w:t>1. Which factor is a social determinant that may directly affect health and mental health outcomes?</w:t>
      </w:r>
    </w:p>
    <w:p>
      <w:pPr>
        <w:keepNext/>
        <w:keepLines/>
        <w:spacing w:after="40"/>
        <w:ind w:left="288"/>
      </w:pPr>
      <w:r>
        <w:t>A. Reliable access to housing, food, transportation, education, and health care</w:t>
      </w:r>
    </w:p>
    <w:p>
      <w:pPr>
        <w:keepNext/>
        <w:keepLines/>
        <w:spacing w:after="40"/>
        <w:ind w:left="288"/>
      </w:pPr>
      <w:r>
        <w:t>B. The client’s preferred psychotherapy theory</w:t>
      </w:r>
    </w:p>
    <w:p>
      <w:pPr>
        <w:keepNext/>
        <w:keepLines/>
        <w:spacing w:after="40"/>
        <w:ind w:left="288"/>
      </w:pPr>
      <w:r>
        <w:t>C. The clinician’s personal values</w:t>
      </w:r>
    </w:p>
    <w:p>
      <w:pPr>
        <w:keepNext/>
        <w:keepLines/>
        <w:spacing w:after="40"/>
        <w:ind w:left="288"/>
      </w:pPr>
      <w:r>
        <w:t>D. The client’s ability to memorize diagnostic terminology</w:t>
      </w:r>
    </w:p>
    <w:p>
      <w:pPr>
        <w:spacing w:after="160"/>
      </w:pPr>
      <w:r>
        <w:rPr>
          <w:rFonts w:ascii="Aptos" w:hAnsi="Aptos"/>
          <w:i/>
          <w:color w:val="6B7280"/>
          <w:sz w:val="18"/>
        </w:rPr>
        <w:t>My answer: ______    Confidence: 1  2  3</w:t>
      </w:r>
    </w:p>
    <w:p>
      <w:pPr>
        <w:keepNext/>
        <w:spacing w:before="160" w:after="80"/>
        <w:shd w:fill="0E7490" w:val="clear"/>
      </w:pPr>
      <w:r>
        <w:rPr>
          <w:rFonts w:ascii="Aptos" w:hAnsi="Aptos"/>
          <w:b/>
          <w:color w:val="FFFFFF"/>
          <w:sz w:val="17"/>
        </w:rPr>
        <w:t>LCSW-WB03-Q002 | Recall | Easy | Primary concept: Intersectionality</w:t>
      </w:r>
    </w:p>
    <w:p>
      <w:pPr>
        <w:keepNext/>
      </w:pPr>
      <w:r>
        <w:rPr>
          <w:rFonts w:ascii="Aptos" w:hAnsi="Aptos"/>
          <w:b/>
          <w:color w:val="17365D"/>
          <w:sz w:val="21"/>
        </w:rPr>
        <w:t>2. Intersectionality refers to:</w:t>
      </w:r>
    </w:p>
    <w:p>
      <w:pPr>
        <w:keepNext/>
        <w:keepLines/>
        <w:spacing w:after="40"/>
        <w:ind w:left="288"/>
      </w:pPr>
      <w:r>
        <w:t>A. The assumption that one identity determines all behavior</w:t>
      </w:r>
    </w:p>
    <w:p>
      <w:pPr>
        <w:keepNext/>
        <w:keepLines/>
        <w:spacing w:after="40"/>
        <w:ind w:left="288"/>
      </w:pPr>
      <w:r>
        <w:t>B. A method for ranking cultural groups</w:t>
      </w:r>
    </w:p>
    <w:p>
      <w:pPr>
        <w:keepNext/>
        <w:keepLines/>
        <w:spacing w:after="40"/>
        <w:ind w:left="288"/>
      </w:pPr>
      <w:r>
        <w:t>C. The interaction of multiple identities and social positions in shaping experience</w:t>
      </w:r>
    </w:p>
    <w:p>
      <w:pPr>
        <w:keepNext/>
        <w:keepLines/>
        <w:spacing w:after="40"/>
        <w:ind w:left="288"/>
      </w:pPr>
      <w:r>
        <w:t>D. A requirement that the client select one primary identity for treatment</w:t>
      </w:r>
    </w:p>
    <w:p>
      <w:pPr>
        <w:spacing w:after="160"/>
      </w:pPr>
      <w:r>
        <w:rPr>
          <w:rFonts w:ascii="Aptos" w:hAnsi="Aptos"/>
          <w:i/>
          <w:color w:val="6B7280"/>
          <w:sz w:val="18"/>
        </w:rPr>
        <w:t>My answer: ______    Confidence: 1  2  3</w:t>
      </w:r>
    </w:p>
    <w:p>
      <w:pPr>
        <w:keepNext/>
        <w:spacing w:before="160" w:after="80"/>
        <w:shd w:fill="0E7490" w:val="clear"/>
      </w:pPr>
      <w:r>
        <w:rPr>
          <w:rFonts w:ascii="Aptos" w:hAnsi="Aptos"/>
          <w:b/>
          <w:color w:val="FFFFFF"/>
          <w:sz w:val="17"/>
        </w:rPr>
        <w:t>LCSW-WB03-Q003 | Recall | Easy | Primary concept: Accessibility and communication</w:t>
      </w:r>
    </w:p>
    <w:p>
      <w:pPr>
        <w:keepNext/>
      </w:pPr>
      <w:r>
        <w:rPr>
          <w:rFonts w:ascii="Aptos" w:hAnsi="Aptos"/>
          <w:b/>
          <w:color w:val="17365D"/>
          <w:sz w:val="21"/>
        </w:rPr>
        <w:t>3. A client who uses American Sign Language requests an interpreter. What principle is most relevant?</w:t>
      </w:r>
    </w:p>
    <w:p>
      <w:pPr>
        <w:keepNext/>
        <w:keepLines/>
        <w:spacing w:after="40"/>
        <w:ind w:left="288"/>
      </w:pPr>
      <w:r>
        <w:t>A. Diagnostic clarification</w:t>
      </w:r>
    </w:p>
    <w:p>
      <w:pPr>
        <w:keepNext/>
        <w:keepLines/>
        <w:spacing w:after="40"/>
        <w:ind w:left="288"/>
      </w:pPr>
      <w:r>
        <w:t>B. Accessibility and meaningful participation</w:t>
      </w:r>
    </w:p>
    <w:p>
      <w:pPr>
        <w:keepNext/>
        <w:keepLines/>
        <w:spacing w:after="40"/>
        <w:ind w:left="288"/>
      </w:pPr>
      <w:r>
        <w:t>C. Behavioral compliance</w:t>
      </w:r>
    </w:p>
    <w:p>
      <w:pPr>
        <w:keepNext/>
        <w:keepLines/>
        <w:spacing w:after="40"/>
        <w:ind w:left="288"/>
      </w:pPr>
      <w:r>
        <w:t>D. A privilege offered only after the client demonstrates treatment compliance</w:t>
      </w:r>
    </w:p>
    <w:p>
      <w:pPr>
        <w:spacing w:after="160"/>
      </w:pPr>
      <w:r>
        <w:rPr>
          <w:rFonts w:ascii="Aptos" w:hAnsi="Aptos"/>
          <w:i/>
          <w:color w:val="6B7280"/>
          <w:sz w:val="18"/>
        </w:rPr>
        <w:t>My answer: ______    Confidence: 1  2  3</w:t>
      </w:r>
    </w:p>
    <w:p>
      <w:pPr>
        <w:keepNext/>
        <w:spacing w:before="160" w:after="80"/>
        <w:shd w:fill="0E7490" w:val="clear"/>
      </w:pPr>
      <w:r>
        <w:rPr>
          <w:rFonts w:ascii="Aptos" w:hAnsi="Aptos"/>
          <w:b/>
          <w:color w:val="FFFFFF"/>
          <w:sz w:val="17"/>
        </w:rPr>
        <w:t>LCSW-WB03-Q004 | Application | Moderate | Primary concept: Material crisis and person-in-environment assessment</w:t>
      </w:r>
    </w:p>
    <w:p>
      <w:pPr>
        <w:keepNext/>
      </w:pPr>
      <w:r>
        <w:rPr>
          <w:rFonts w:ascii="Aptos" w:hAnsi="Aptos"/>
          <w:b/>
          <w:color w:val="17365D"/>
          <w:sz w:val="21"/>
        </w:rPr>
        <w:t>4. A client reports worsening anxiety after receiving a utility shutoff notice and missing work to attend benefits appointments. What should the social worker do first?</w:t>
      </w:r>
    </w:p>
    <w:p>
      <w:pPr>
        <w:keepNext/>
        <w:keepLines/>
        <w:spacing w:after="40"/>
        <w:ind w:left="288"/>
      </w:pPr>
      <w:r>
        <w:t>A. Explain that anxiety is caused by distorted thinking</w:t>
      </w:r>
    </w:p>
    <w:p>
      <w:pPr>
        <w:keepNext/>
        <w:keepLines/>
        <w:spacing w:after="40"/>
        <w:ind w:left="288"/>
      </w:pPr>
      <w:r>
        <w:t>B. Refer the client to long-term psychotherapy without discussing the shutoff</w:t>
      </w:r>
    </w:p>
    <w:p>
      <w:pPr>
        <w:keepNext/>
        <w:keepLines/>
        <w:spacing w:after="40"/>
        <w:ind w:left="288"/>
      </w:pPr>
      <w:r>
        <w:t>C. Delay assessment until the client has attended several psychotherapy sessions</w:t>
      </w:r>
    </w:p>
    <w:p>
      <w:pPr>
        <w:keepNext/>
        <w:keepLines/>
        <w:spacing w:after="40"/>
        <w:ind w:left="288"/>
      </w:pPr>
      <w:r>
        <w:t>D. Assess immediate safety and basic needs, utility and income options, work constraints, supports, anxiety symptoms, and the client’s priorities</w:t>
      </w:r>
    </w:p>
    <w:p>
      <w:pPr>
        <w:spacing w:after="160"/>
      </w:pPr>
      <w:r>
        <w:rPr>
          <w:rFonts w:ascii="Aptos" w:hAnsi="Aptos"/>
          <w:i/>
          <w:color w:val="6B7280"/>
          <w:sz w:val="18"/>
        </w:rPr>
        <w:t>My answer: ______    Confidence: 1  2  3</w:t>
      </w:r>
    </w:p>
    <w:p>
      <w:pPr>
        <w:keepNext/>
        <w:spacing w:before="160" w:after="80"/>
        <w:shd w:fill="0E7490" w:val="clear"/>
      </w:pPr>
      <w:r>
        <w:rPr>
          <w:rFonts w:ascii="Aptos" w:hAnsi="Aptos"/>
          <w:b/>
          <w:color w:val="FFFFFF"/>
          <w:sz w:val="17"/>
        </w:rPr>
        <w:t>LCSW-WB03-Q005 | Application | Moderate | Primary concept: Language access and qualified interpretation</w:t>
      </w:r>
    </w:p>
    <w:p>
      <w:pPr>
        <w:keepNext/>
      </w:pPr>
      <w:r>
        <w:rPr>
          <w:rFonts w:ascii="Aptos" w:hAnsi="Aptos"/>
          <w:b/>
          <w:color w:val="17365D"/>
          <w:sz w:val="21"/>
        </w:rPr>
        <w:t>5. A client has limited English proficiency and brings an adult child to interpret a trauma assessment. What should the social worker do next?</w:t>
      </w:r>
    </w:p>
    <w:p>
      <w:pPr>
        <w:keepNext/>
        <w:keepLines/>
        <w:spacing w:after="40"/>
        <w:ind w:left="288"/>
      </w:pPr>
      <w:r>
        <w:t>A. Assess language preference, explain confidentiality and interpretation options, and arrange qualified interpretation consistent with the client’s choice and setting requirements</w:t>
      </w:r>
    </w:p>
    <w:p>
      <w:pPr>
        <w:keepNext/>
        <w:keepLines/>
        <w:spacing w:after="40"/>
        <w:ind w:left="288"/>
      </w:pPr>
      <w:r>
        <w:t>B. Proceed because family interpretation is always preferable</w:t>
      </w:r>
    </w:p>
    <w:p>
      <w:pPr>
        <w:keepNext/>
        <w:keepLines/>
        <w:spacing w:after="40"/>
        <w:ind w:left="288"/>
      </w:pPr>
      <w:r>
        <w:t>C. Cancel all services until the client learns English</w:t>
      </w:r>
    </w:p>
    <w:p>
      <w:pPr>
        <w:keepNext/>
        <w:keepLines/>
        <w:spacing w:after="40"/>
        <w:ind w:left="288"/>
      </w:pPr>
      <w:r>
        <w:t>D. Ask the adult child to decide what information should be translated</w:t>
      </w:r>
    </w:p>
    <w:p>
      <w:pPr>
        <w:spacing w:after="160"/>
      </w:pPr>
      <w:r>
        <w:rPr>
          <w:rFonts w:ascii="Aptos" w:hAnsi="Aptos"/>
          <w:i/>
          <w:color w:val="6B7280"/>
          <w:sz w:val="18"/>
        </w:rPr>
        <w:t>My answer: ______    Confidence: 1  2  3</w:t>
      </w:r>
    </w:p>
    <w:p>
      <w:pPr>
        <w:keepNext/>
        <w:spacing w:before="160" w:after="80"/>
        <w:shd w:fill="0E7490" w:val="clear"/>
      </w:pPr>
      <w:r>
        <w:rPr>
          <w:rFonts w:ascii="Aptos" w:hAnsi="Aptos"/>
          <w:b/>
          <w:color w:val="FFFFFF"/>
          <w:sz w:val="17"/>
        </w:rPr>
        <w:t>LCSW-WB03-Q006 | Application | Moderate | Primary concept: Caregiving system assessment</w:t>
      </w:r>
    </w:p>
    <w:p>
      <w:pPr>
        <w:keepNext/>
      </w:pPr>
      <w:r>
        <w:rPr>
          <w:rFonts w:ascii="Aptos" w:hAnsi="Aptos"/>
          <w:b/>
          <w:color w:val="17365D"/>
          <w:sz w:val="21"/>
        </w:rPr>
        <w:t>6. An older adult’s spouse reports exhaustion and missed medical appointments while providing daily care. What should the social worker assess first?</w:t>
      </w:r>
    </w:p>
    <w:p>
      <w:pPr>
        <w:keepNext/>
        <w:keepLines/>
        <w:spacing w:after="40"/>
        <w:ind w:left="288"/>
      </w:pPr>
      <w:r>
        <w:t>A. Whether the spouse is sufficiently devoted to the marriage</w:t>
      </w:r>
    </w:p>
    <w:p>
      <w:pPr>
        <w:keepNext/>
        <w:keepLines/>
        <w:spacing w:after="40"/>
        <w:ind w:left="288"/>
      </w:pPr>
      <w:r>
        <w:t>B. Whether residential placement should occur immediately</w:t>
      </w:r>
    </w:p>
    <w:p>
      <w:pPr>
        <w:keepNext/>
        <w:keepLines/>
        <w:spacing w:after="40"/>
        <w:ind w:left="288"/>
      </w:pPr>
      <w:r>
        <w:t>C. Care recipient safety and needs, caregiver functioning and health, supports, access barriers, capacity, preferences, and available services</w:t>
      </w:r>
    </w:p>
    <w:p>
      <w:pPr>
        <w:keepNext/>
        <w:keepLines/>
        <w:spacing w:after="40"/>
        <w:ind w:left="288"/>
      </w:pPr>
      <w:r>
        <w:t>D. Decide whether the spouse should stop caregiving before discussing needs or alternatives</w:t>
      </w:r>
    </w:p>
    <w:p>
      <w:pPr>
        <w:spacing w:after="160"/>
      </w:pPr>
      <w:r>
        <w:rPr>
          <w:rFonts w:ascii="Aptos" w:hAnsi="Aptos"/>
          <w:i/>
          <w:color w:val="6B7280"/>
          <w:sz w:val="18"/>
        </w:rPr>
        <w:t>My answer: ______    Confidence: 1  2  3</w:t>
      </w:r>
    </w:p>
    <w:p>
      <w:pPr>
        <w:keepNext/>
        <w:spacing w:before="160" w:after="80"/>
        <w:shd w:fill="0E7490" w:val="clear"/>
      </w:pPr>
      <w:r>
        <w:rPr>
          <w:rFonts w:ascii="Aptos" w:hAnsi="Aptos"/>
          <w:b/>
          <w:color w:val="FFFFFF"/>
          <w:sz w:val="17"/>
        </w:rPr>
        <w:t>LCSW-WB03-Q007 | Scenario | Moderate | Primary concept: Refugee resettlement, trauma, and access</w:t>
      </w:r>
    </w:p>
    <w:p>
      <w:pPr>
        <w:keepNext/>
      </w:pPr>
      <w:r>
        <w:rPr>
          <w:rFonts w:ascii="Aptos" w:hAnsi="Aptos"/>
          <w:b/>
          <w:color w:val="17365D"/>
          <w:sz w:val="21"/>
        </w:rPr>
        <w:t>7. A recently resettled refugee parent reports insomnia, fear of authorities, and difficulty enrolling children in school. What should the social worker do first?</w:t>
      </w:r>
    </w:p>
    <w:p>
      <w:pPr>
        <w:keepNext/>
        <w:keepLines/>
        <w:spacing w:after="40"/>
        <w:ind w:left="288"/>
      </w:pPr>
      <w:r>
        <w:t>A. Require trauma disclosure before helping with school enrollment</w:t>
      </w:r>
    </w:p>
    <w:p>
      <w:pPr>
        <w:keepNext/>
        <w:keepLines/>
        <w:spacing w:after="40"/>
        <w:ind w:left="288"/>
      </w:pPr>
      <w:r>
        <w:t>B. Assess safety, trauma and health symptoms, language access, family needs, school barriers, legal and service concerns, supports, and the parent’s priorities</w:t>
      </w:r>
    </w:p>
    <w:p>
      <w:pPr>
        <w:keepNext/>
        <w:keepLines/>
        <w:spacing w:after="40"/>
        <w:ind w:left="288"/>
      </w:pPr>
      <w:r>
        <w:t>C. Assume the fear reflects paranoia and refer for hospitalization</w:t>
      </w:r>
    </w:p>
    <w:p>
      <w:pPr>
        <w:keepNext/>
        <w:keepLines/>
        <w:spacing w:after="40"/>
        <w:ind w:left="288"/>
      </w:pPr>
      <w:r>
        <w:t>D. Tell the parent that government systems are safe</w:t>
      </w:r>
    </w:p>
    <w:p>
      <w:pPr>
        <w:spacing w:after="160"/>
      </w:pPr>
      <w:r>
        <w:rPr>
          <w:rFonts w:ascii="Aptos" w:hAnsi="Aptos"/>
          <w:i/>
          <w:color w:val="6B7280"/>
          <w:sz w:val="18"/>
        </w:rPr>
        <w:t>My answer: ______    Confidence: 1  2  3</w:t>
      </w:r>
    </w:p>
    <w:p>
      <w:pPr>
        <w:keepNext/>
        <w:spacing w:before="160" w:after="80"/>
        <w:shd w:fill="0E7490" w:val="clear"/>
      </w:pPr>
      <w:r>
        <w:rPr>
          <w:rFonts w:ascii="Aptos" w:hAnsi="Aptos"/>
          <w:b/>
          <w:color w:val="FFFFFF"/>
          <w:sz w:val="17"/>
        </w:rPr>
        <w:t>LCSW-WB03-Q008 | Scenario | Moderate | Primary concept: Residential transition and family-school systems</w:t>
      </w:r>
    </w:p>
    <w:p>
      <w:pPr>
        <w:keepNext/>
      </w:pPr>
      <w:r>
        <w:rPr>
          <w:rFonts w:ascii="Aptos" w:hAnsi="Aptos"/>
          <w:b/>
          <w:color w:val="17365D"/>
          <w:sz w:val="21"/>
        </w:rPr>
        <w:t>8. A teenager returns home after six months in residential treatment and begins arguing with siblings and missing school. What should the social worker do first?</w:t>
      </w:r>
    </w:p>
    <w:p>
      <w:pPr>
        <w:keepNext/>
        <w:keepLines/>
        <w:spacing w:after="40"/>
        <w:ind w:left="288"/>
      </w:pPr>
      <w:r>
        <w:t>A. Recommend immediate return to residential care</w:t>
      </w:r>
    </w:p>
    <w:p>
      <w:pPr>
        <w:keepNext/>
        <w:keepLines/>
        <w:spacing w:after="40"/>
        <w:ind w:left="288"/>
      </w:pPr>
      <w:r>
        <w:t>B. Tell the siblings to avoid the teenager</w:t>
      </w:r>
    </w:p>
    <w:p>
      <w:pPr>
        <w:keepNext/>
        <w:keepLines/>
        <w:spacing w:after="40"/>
        <w:ind w:left="288"/>
      </w:pPr>
      <w:r>
        <w:t>C. Begin discharge from services because residential treatment was completed</w:t>
      </w:r>
    </w:p>
    <w:p>
      <w:pPr>
        <w:keepNext/>
        <w:keepLines/>
        <w:spacing w:after="40"/>
        <w:ind w:left="288"/>
      </w:pPr>
      <w:r>
        <w:t>D. Assess the transition home, family roles and expectations, school reentry, treatment recommendations, supports, safety, the teenager’s perspective, and service coordination needs</w:t>
      </w:r>
    </w:p>
    <w:p>
      <w:pPr>
        <w:spacing w:after="160"/>
      </w:pPr>
      <w:r>
        <w:rPr>
          <w:rFonts w:ascii="Aptos" w:hAnsi="Aptos"/>
          <w:i/>
          <w:color w:val="6B7280"/>
          <w:sz w:val="18"/>
        </w:rPr>
        <w:t>My answer: ______    Confidence: 1  2  3</w:t>
      </w:r>
    </w:p>
    <w:p>
      <w:pPr>
        <w:keepNext/>
        <w:spacing w:before="160" w:after="80"/>
        <w:shd w:fill="0E7490" w:val="clear"/>
      </w:pPr>
      <w:r>
        <w:rPr>
          <w:rFonts w:ascii="Aptos" w:hAnsi="Aptos"/>
          <w:b/>
          <w:color w:val="FFFFFF"/>
          <w:sz w:val="17"/>
        </w:rPr>
        <w:t>LCSW-WB03-Q009 | Scenario | Moderate | Primary concept: Environmental disaster and community assessment</w:t>
      </w:r>
    </w:p>
    <w:p>
      <w:pPr>
        <w:keepNext/>
      </w:pPr>
      <w:r>
        <w:rPr>
          <w:rFonts w:ascii="Aptos" w:hAnsi="Aptos"/>
          <w:b/>
          <w:color w:val="17365D"/>
          <w:sz w:val="21"/>
        </w:rPr>
        <w:t>9. After repeated wildfire evacuations, a community clinic sees increased anxiety, school absence, housing instability, and job loss. What is the most appropriate social work assessment approach?</w:t>
      </w:r>
    </w:p>
    <w:p>
      <w:pPr>
        <w:keepNext/>
        <w:keepLines/>
        <w:spacing w:after="40"/>
        <w:ind w:left="288"/>
      </w:pPr>
      <w:r>
        <w:t>A. Assess effects on individuals, families, schools, employment, housing, community resources, access, trauma exposure, strengths, and priority needs</w:t>
      </w:r>
    </w:p>
    <w:p>
      <w:pPr>
        <w:keepNext/>
        <w:keepLines/>
        <w:spacing w:after="40"/>
        <w:ind w:left="288"/>
      </w:pPr>
      <w:r>
        <w:t>B. Evaluate only individual anxiety symptoms</w:t>
      </w:r>
    </w:p>
    <w:p>
      <w:pPr>
        <w:keepNext/>
        <w:keepLines/>
        <w:spacing w:after="40"/>
        <w:ind w:left="288"/>
      </w:pPr>
      <w:r>
        <w:t>C. Wait until the disaster has fully ended before providing services</w:t>
      </w:r>
    </w:p>
    <w:p>
      <w:pPr>
        <w:keepNext/>
        <w:keepLines/>
        <w:spacing w:after="40"/>
        <w:ind w:left="288"/>
      </w:pPr>
      <w:r>
        <w:t>D. Focus on clinic attendance because community conditions are outside social work assessment</w:t>
      </w:r>
    </w:p>
    <w:p>
      <w:pPr>
        <w:spacing w:after="160"/>
      </w:pPr>
      <w:r>
        <w:rPr>
          <w:rFonts w:ascii="Aptos" w:hAnsi="Aptos"/>
          <w:i/>
          <w:color w:val="6B7280"/>
          <w:sz w:val="18"/>
        </w:rPr>
        <w:t>My answer: ______    Confidence: 1  2  3</w:t>
      </w:r>
    </w:p>
    <w:p>
      <w:pPr>
        <w:keepNext/>
        <w:spacing w:before="160" w:after="80"/>
        <w:shd w:fill="0E7490" w:val="clear"/>
      </w:pPr>
      <w:r>
        <w:rPr>
          <w:rFonts w:ascii="Aptos" w:hAnsi="Aptos"/>
          <w:b/>
          <w:color w:val="FFFFFF"/>
          <w:sz w:val="17"/>
        </w:rPr>
        <w:t>LCSW-WB03-Q010 | Integrated | Challenge | Primary concept: Housing, discrimination, school, family, and self-determination</w:t>
      </w:r>
    </w:p>
    <w:p>
      <w:pPr>
        <w:keepNext/>
      </w:pPr>
      <w:r>
        <w:rPr>
          <w:rFonts w:ascii="Aptos" w:hAnsi="Aptos"/>
          <w:b/>
          <w:color w:val="17365D"/>
          <w:sz w:val="21"/>
        </w:rPr>
        <w:t>10. A gender-diverse high school student is missing class, sleeping in a car with a parent, and avoiding a clinic after being repeatedly misgendered there. The parent is overwhelmed and asks the social worker to “fix the behavior.” What should the social worker do first?</w:t>
      </w:r>
    </w:p>
    <w:p>
      <w:pPr>
        <w:keepNext/>
        <w:keepLines/>
        <w:spacing w:after="40"/>
        <w:ind w:left="288"/>
      </w:pPr>
      <w:r>
        <w:t>A. Begin a school attendance contract without discussing housing or clinic experiences</w:t>
      </w:r>
    </w:p>
    <w:p>
      <w:pPr>
        <w:keepNext/>
        <w:keepLines/>
        <w:spacing w:after="40"/>
        <w:ind w:left="288"/>
      </w:pPr>
      <w:r>
        <w:t>B. Assess immediate safety and housing, health and mood, school needs, experiences of discrimination, access and trust barriers, family stress, supports, strengths, and the student’s and parent’s priorities</w:t>
      </w:r>
    </w:p>
    <w:p>
      <w:pPr>
        <w:keepNext/>
        <w:keepLines/>
        <w:spacing w:after="40"/>
        <w:ind w:left="288"/>
      </w:pPr>
      <w:r>
        <w:t>C. Tell the parent that the student alone should make every family decision</w:t>
      </w:r>
    </w:p>
    <w:p>
      <w:pPr>
        <w:keepNext/>
        <w:keepLines/>
        <w:spacing w:after="40"/>
        <w:ind w:left="288"/>
      </w:pPr>
      <w:r>
        <w:t>D. Refer the student to a gender clinic without assessing willingness, access, or current needs</w:t>
      </w:r>
    </w:p>
    <w:p>
      <w:pPr>
        <w:spacing w:after="160"/>
      </w:pPr>
      <w:r>
        <w:rPr>
          <w:rFonts w:ascii="Aptos" w:hAnsi="Aptos"/>
          <w:i/>
          <w:color w:val="6B7280"/>
          <w:sz w:val="18"/>
        </w:rPr>
        <w:t>My answer: ______    Confidence: 1  2  3</w:t>
      </w:r>
    </w:p>
    <w:p>
      <w:r>
        <w:br w:type="page"/>
      </w:r>
    </w:p>
    <w:p>
      <w:pPr>
        <w:pStyle w:val="Heading1"/>
      </w:pPr>
      <w:r>
        <w:t>Answer Key and Detailed Rationales</w:t>
      </w:r>
    </w:p>
    <w:p>
      <w:pPr>
        <w:pStyle w:val="Heading2"/>
      </w:pPr>
      <w:r>
        <w:t>Question 1 (LCSW-WB03-Q001)</w:t>
      </w:r>
    </w:p>
    <w:p>
      <w:r>
        <w:t>Correct Answer: A</w:t>
      </w:r>
    </w:p>
    <w:p>
      <w:pPr>
        <w:spacing w:after="60"/>
        <w:ind w:left="216"/>
      </w:pPr>
      <w:r>
        <w:t>A. Material and social conditions can shape health, stress, access, and outcomes.</w:t>
      </w:r>
    </w:p>
    <w:p>
      <w:pPr>
        <w:spacing w:after="60"/>
        <w:ind w:left="216"/>
      </w:pPr>
      <w:r>
        <w:t>B. A treatment preference is not itself a social determinant.</w:t>
      </w:r>
    </w:p>
    <w:p>
      <w:pPr>
        <w:spacing w:after="60"/>
        <w:ind w:left="216"/>
      </w:pPr>
      <w:r>
        <w:t>C. Clinician values may affect practice but are not a client social determinant.</w:t>
      </w:r>
    </w:p>
    <w:p>
      <w:pPr>
        <w:spacing w:after="60"/>
        <w:ind w:left="216"/>
      </w:pPr>
      <w:r>
        <w:t>D. Knowledge of diagnostic terminology is not a material or social condition shaping access, health, or opportunity.</w:t>
      </w:r>
    </w:p>
    <w:tbl>
      <w:tblPr>
        <w:tblW w:type="auto" w:w="0"/>
        <w:jc w:val="center"/>
        <w:tblLayout w:type="autofit"/>
        <w:tblLook w:firstColumn="1" w:firstRow="1" w:lastColumn="0" w:lastRow="0" w:noHBand="0" w:noVBand="1" w:val="04A0"/>
      </w:tblPr>
      <w:tblGrid>
        <w:gridCol w:w="10080"/>
      </w:tblGrid>
      <w:tr>
        <w:trPr>
          <w:cantSplit/>
        </w:trPr>
        <w:tc>
          <w:tcPr>
            <w:tcW w:type="dxa" w:w="10080"/>
            <w:shd w:fill="D9EAF7"/>
            <w:tcBorders>
              <w:top w:val="single" w:sz="6" w:color="A7BDC6"/>
              <w:left w:val="single" w:sz="6" w:color="A7BDC6"/>
              <w:bottom w:val="single" w:sz="6" w:color="A7BDC6"/>
              <w:right w:val="single" w:sz="6" w:color="A7BDC6"/>
              <w:insideH w:val="single" w:sz="6" w:color="A7BDC6"/>
              <w:insideV w:val="single" w:sz="6" w:color="A7BDC6"/>
            </w:tcBorders>
          </w:tcPr>
          <w:p>
            <w:r>
              <w:rPr>
                <w:rFonts w:ascii="Aptos" w:hAnsi="Aptos"/>
                <w:b/>
                <w:color w:val="1F4E78"/>
                <w:sz w:val="19"/>
              </w:rPr>
              <w:t xml:space="preserve">EXAM STRATEGY: </w:t>
            </w:r>
            <w:r>
              <w:rPr>
                <w:rFonts w:ascii="Aptos" w:hAnsi="Aptos"/>
                <w:color w:val="1F2937"/>
                <w:sz w:val="19"/>
              </w:rPr>
              <w:t>When the item names housing, food, transportation, education, or health care access, consider concrete environmental conditions—not only intrapsychic explanations.</w:t>
            </w:r>
          </w:p>
        </w:tc>
      </w:tr>
    </w:tbl>
    <w:p/>
    <w:p>
      <w:pPr>
        <w:pStyle w:val="Heading2"/>
      </w:pPr>
      <w:r>
        <w:t>Question 2 (LCSW-WB03-Q002)</w:t>
      </w:r>
    </w:p>
    <w:p>
      <w:r>
        <w:t>Correct Answer: C</w:t>
      </w:r>
    </w:p>
    <w:p>
      <w:pPr>
        <w:spacing w:after="60"/>
        <w:ind w:left="216"/>
      </w:pPr>
      <w:r>
        <w:t>A. It rejects single-identity explanations.</w:t>
      </w:r>
    </w:p>
    <w:p>
      <w:pPr>
        <w:spacing w:after="60"/>
        <w:ind w:left="216"/>
      </w:pPr>
      <w:r>
        <w:t>B. It is not a hierarchy of cultures.</w:t>
      </w:r>
    </w:p>
    <w:p>
      <w:pPr>
        <w:spacing w:after="60"/>
        <w:ind w:left="216"/>
      </w:pPr>
      <w:r>
        <w:t>C. Intersectionality examines interacting identities, power, and social positions.</w:t>
      </w:r>
    </w:p>
    <w:p>
      <w:pPr>
        <w:spacing w:after="60"/>
        <w:ind w:left="216"/>
      </w:pPr>
      <w:r>
        <w:t>D. Intersectionality does not require reducing the client to one identity or social position.</w:t>
      </w:r>
    </w:p>
    <w:tbl>
      <w:tblPr>
        <w:tblW w:type="auto" w:w="0"/>
        <w:jc w:val="center"/>
        <w:tblLayout w:type="autofit"/>
        <w:tblLook w:firstColumn="1" w:firstRow="1" w:lastColumn="0" w:lastRow="0" w:noHBand="0" w:noVBand="1" w:val="04A0"/>
      </w:tblPr>
      <w:tblGrid>
        <w:gridCol w:w="10080"/>
      </w:tblGrid>
      <w:tr>
        <w:trPr>
          <w:cantSplit/>
        </w:trPr>
        <w:tc>
          <w:tcPr>
            <w:tcW w:type="dxa" w:w="10080"/>
            <w:shd w:fill="D9EAF7"/>
            <w:tcBorders>
              <w:top w:val="single" w:sz="6" w:color="A7BDC6"/>
              <w:left w:val="single" w:sz="6" w:color="A7BDC6"/>
              <w:bottom w:val="single" w:sz="6" w:color="A7BDC6"/>
              <w:right w:val="single" w:sz="6" w:color="A7BDC6"/>
              <w:insideH w:val="single" w:sz="6" w:color="A7BDC6"/>
              <w:insideV w:val="single" w:sz="6" w:color="A7BDC6"/>
            </w:tcBorders>
          </w:tcPr>
          <w:p>
            <w:r>
              <w:rPr>
                <w:rFonts w:ascii="Aptos" w:hAnsi="Aptos"/>
                <w:b/>
                <w:color w:val="1F4E78"/>
                <w:sz w:val="19"/>
              </w:rPr>
              <w:t xml:space="preserve">EXAM STRATEGY: </w:t>
            </w:r>
            <w:r>
              <w:rPr>
                <w:rFonts w:ascii="Aptos" w:hAnsi="Aptos"/>
                <w:color w:val="1F2937"/>
                <w:sz w:val="19"/>
              </w:rPr>
              <w:t>Choose the option that recognizes interacting identities and social positions rather than reducing experience to one category.</w:t>
            </w:r>
          </w:p>
        </w:tc>
      </w:tr>
    </w:tbl>
    <w:p/>
    <w:p>
      <w:pPr>
        <w:pStyle w:val="Heading2"/>
      </w:pPr>
      <w:r>
        <w:t>Question 3 (LCSW-WB03-Q003)</w:t>
      </w:r>
    </w:p>
    <w:p>
      <w:r>
        <w:t>Correct Answer: B</w:t>
      </w:r>
    </w:p>
    <w:p>
      <w:pPr>
        <w:spacing w:after="60"/>
        <w:ind w:left="216"/>
      </w:pPr>
      <w:r>
        <w:t>A. The request does not by itself indicate a diagnostic issue.</w:t>
      </w:r>
    </w:p>
    <w:p>
      <w:pPr>
        <w:spacing w:after="60"/>
        <w:ind w:left="216"/>
      </w:pPr>
      <w:r>
        <w:t>B. Communication access supports participation, informed decisions, and equitable service delivery.</w:t>
      </w:r>
    </w:p>
    <w:p>
      <w:pPr>
        <w:spacing w:after="60"/>
        <w:ind w:left="216"/>
      </w:pPr>
      <w:r>
        <w:t>C. Access is not a compliance reward.</w:t>
      </w:r>
    </w:p>
    <w:p>
      <w:pPr>
        <w:spacing w:after="60"/>
        <w:ind w:left="216"/>
      </w:pPr>
      <w:r>
        <w:t>D. Communication access is necessary for meaningful participation and is not a reward for compliance.</w:t>
      </w:r>
    </w:p>
    <w:tbl>
      <w:tblPr>
        <w:tblW w:type="auto" w:w="0"/>
        <w:jc w:val="center"/>
        <w:tblLayout w:type="autofit"/>
        <w:tblLook w:firstColumn="1" w:firstRow="1" w:lastColumn="0" w:lastRow="0" w:noHBand="0" w:noVBand="1" w:val="04A0"/>
      </w:tblPr>
      <w:tblGrid>
        <w:gridCol w:w="10080"/>
      </w:tblGrid>
      <w:tr>
        <w:trPr>
          <w:cantSplit/>
        </w:trPr>
        <w:tc>
          <w:tcPr>
            <w:tcW w:type="dxa" w:w="10080"/>
            <w:shd w:fill="D9EAF7"/>
            <w:tcBorders>
              <w:top w:val="single" w:sz="6" w:color="A7BDC6"/>
              <w:left w:val="single" w:sz="6" w:color="A7BDC6"/>
              <w:bottom w:val="single" w:sz="6" w:color="A7BDC6"/>
              <w:right w:val="single" w:sz="6" w:color="A7BDC6"/>
              <w:insideH w:val="single" w:sz="6" w:color="A7BDC6"/>
              <w:insideV w:val="single" w:sz="6" w:color="A7BDC6"/>
            </w:tcBorders>
          </w:tcPr>
          <w:p>
            <w:r>
              <w:rPr>
                <w:rFonts w:ascii="Aptos" w:hAnsi="Aptos"/>
                <w:b/>
                <w:color w:val="1F4E78"/>
                <w:sz w:val="19"/>
              </w:rPr>
              <w:t xml:space="preserve">EXAM STRATEGY: </w:t>
            </w:r>
            <w:r>
              <w:rPr>
                <w:rFonts w:ascii="Aptos" w:hAnsi="Aptos"/>
                <w:color w:val="1F2937"/>
                <w:sz w:val="19"/>
              </w:rPr>
              <w:t>Do not misclassify an access need as pathology, resistance, or noncompliance.</w:t>
            </w:r>
          </w:p>
        </w:tc>
      </w:tr>
    </w:tbl>
    <w:p/>
    <w:p>
      <w:pPr>
        <w:pStyle w:val="Heading2"/>
      </w:pPr>
      <w:r>
        <w:t>Question 4 (LCSW-WB03-Q004)</w:t>
      </w:r>
    </w:p>
    <w:p>
      <w:r>
        <w:t>Correct Answer: D</w:t>
      </w:r>
    </w:p>
    <w:p>
      <w:pPr>
        <w:spacing w:after="60"/>
        <w:ind w:left="216"/>
      </w:pPr>
      <w:r>
        <w:t>A. It prematurely individualizes the problem and ignores the concrete crisis.</w:t>
      </w:r>
    </w:p>
    <w:p>
      <w:pPr>
        <w:spacing w:after="60"/>
        <w:ind w:left="216"/>
      </w:pPr>
      <w:r>
        <w:t>B. Therapy may be helpful, but the urgent need and barriers require assessment first.</w:t>
      </w:r>
    </w:p>
    <w:p>
      <w:pPr>
        <w:spacing w:after="60"/>
        <w:ind w:left="216"/>
      </w:pPr>
      <w:r>
        <w:t>C. Delaying assessment leaves immediate material risk, access barriers, and the client’s priorities unaddressed.</w:t>
      </w:r>
    </w:p>
    <w:p>
      <w:pPr>
        <w:spacing w:after="60"/>
        <w:ind w:left="216"/>
      </w:pPr>
      <w:r>
        <w:t>D. This integrates immediate material risk, person-in-environment assessment, symptoms, resources, and client choice.</w:t>
      </w:r>
    </w:p>
    <w:tbl>
      <w:tblPr>
        <w:tblW w:type="auto" w:w="0"/>
        <w:jc w:val="center"/>
        <w:tblLayout w:type="autofit"/>
        <w:tblLook w:firstColumn="1" w:firstRow="1" w:lastColumn="0" w:lastRow="0" w:noHBand="0" w:noVBand="1" w:val="04A0"/>
      </w:tblPr>
      <w:tblGrid>
        <w:gridCol w:w="10080"/>
      </w:tblGrid>
      <w:tr>
        <w:trPr>
          <w:cantSplit/>
        </w:trPr>
        <w:tc>
          <w:tcPr>
            <w:tcW w:type="dxa" w:w="10080"/>
            <w:shd w:fill="D9EAF7"/>
            <w:tcBorders>
              <w:top w:val="single" w:sz="6" w:color="A7BDC6"/>
              <w:left w:val="single" w:sz="6" w:color="A7BDC6"/>
              <w:bottom w:val="single" w:sz="6" w:color="A7BDC6"/>
              <w:right w:val="single" w:sz="6" w:color="A7BDC6"/>
              <w:insideH w:val="single" w:sz="6" w:color="A7BDC6"/>
              <w:insideV w:val="single" w:sz="6" w:color="A7BDC6"/>
            </w:tcBorders>
          </w:tcPr>
          <w:p>
            <w:r>
              <w:rPr>
                <w:rFonts w:ascii="Aptos" w:hAnsi="Aptos"/>
                <w:b/>
                <w:color w:val="1F4E78"/>
                <w:sz w:val="19"/>
              </w:rPr>
              <w:t xml:space="preserve">EXAM STRATEGY: </w:t>
            </w:r>
            <w:r>
              <w:rPr>
                <w:rFonts w:ascii="Aptos" w:hAnsi="Aptos"/>
                <w:color w:val="1F2937"/>
                <w:sz w:val="19"/>
              </w:rPr>
              <w:t>A structural stressor can require resource assessment and clinical assessment at the same time.</w:t>
            </w:r>
          </w:p>
        </w:tc>
      </w:tr>
    </w:tbl>
    <w:p/>
    <w:p>
      <w:pPr>
        <w:pStyle w:val="Heading2"/>
      </w:pPr>
      <w:r>
        <w:t>Question 5 (LCSW-WB03-Q005)</w:t>
      </w:r>
    </w:p>
    <w:p>
      <w:r>
        <w:t>Correct Answer: A</w:t>
      </w:r>
    </w:p>
    <w:p>
      <w:pPr>
        <w:spacing w:after="60"/>
        <w:ind w:left="216"/>
      </w:pPr>
      <w:r>
        <w:t>A. This supports access, confidentiality, informed choice, and accurate assessment.</w:t>
      </w:r>
    </w:p>
    <w:p>
      <w:pPr>
        <w:spacing w:after="60"/>
        <w:ind w:left="216"/>
      </w:pPr>
      <w:r>
        <w:t>B. Family interpretation may create accuracy, privacy, role, or coercion concerns and should not be automatic.</w:t>
      </w:r>
    </w:p>
    <w:p>
      <w:pPr>
        <w:spacing w:after="60"/>
        <w:ind w:left="216"/>
      </w:pPr>
      <w:r>
        <w:t>C. This creates an unjustified access barrier.</w:t>
      </w:r>
    </w:p>
    <w:p>
      <w:pPr>
        <w:spacing w:after="60"/>
        <w:ind w:left="216"/>
      </w:pPr>
      <w:r>
        <w:t>D. The client, not the family member, is the participant whose information must be communicated accurately.</w:t>
      </w:r>
    </w:p>
    <w:tbl>
      <w:tblPr>
        <w:tblW w:type="auto" w:w="0"/>
        <w:jc w:val="center"/>
        <w:tblLayout w:type="autofit"/>
        <w:tblLook w:firstColumn="1" w:firstRow="1" w:lastColumn="0" w:lastRow="0" w:noHBand="0" w:noVBand="1" w:val="04A0"/>
      </w:tblPr>
      <w:tblGrid>
        <w:gridCol w:w="10080"/>
      </w:tblGrid>
      <w:tr>
        <w:trPr>
          <w:cantSplit/>
        </w:trPr>
        <w:tc>
          <w:tcPr>
            <w:tcW w:type="dxa" w:w="10080"/>
            <w:shd w:fill="D9EAF7"/>
            <w:tcBorders>
              <w:top w:val="single" w:sz="6" w:color="A7BDC6"/>
              <w:left w:val="single" w:sz="6" w:color="A7BDC6"/>
              <w:bottom w:val="single" w:sz="6" w:color="A7BDC6"/>
              <w:right w:val="single" w:sz="6" w:color="A7BDC6"/>
              <w:insideH w:val="single" w:sz="6" w:color="A7BDC6"/>
              <w:insideV w:val="single" w:sz="6" w:color="A7BDC6"/>
            </w:tcBorders>
          </w:tcPr>
          <w:p>
            <w:r>
              <w:rPr>
                <w:rFonts w:ascii="Aptos" w:hAnsi="Aptos"/>
                <w:b/>
                <w:color w:val="1F4E78"/>
                <w:sz w:val="19"/>
              </w:rPr>
              <w:t xml:space="preserve">EXAM STRATEGY: </w:t>
            </w:r>
            <w:r>
              <w:rPr>
                <w:rFonts w:ascii="Aptos" w:hAnsi="Aptos"/>
                <w:color w:val="1F2937"/>
                <w:sz w:val="19"/>
              </w:rPr>
              <w:t>Accessibility items often test qualified support, confidentiality, and direct client participation.</w:t>
            </w:r>
          </w:p>
        </w:tc>
      </w:tr>
    </w:tbl>
    <w:p/>
    <w:p>
      <w:pPr>
        <w:pStyle w:val="Heading2"/>
      </w:pPr>
      <w:r>
        <w:t>Question 6 (LCSW-WB03-Q006)</w:t>
      </w:r>
    </w:p>
    <w:p>
      <w:r>
        <w:t>Correct Answer: C</w:t>
      </w:r>
    </w:p>
    <w:p>
      <w:pPr>
        <w:spacing w:after="60"/>
        <w:ind w:left="216"/>
      </w:pPr>
      <w:r>
        <w:t>A. The problem should not be framed as moral failure.</w:t>
      </w:r>
    </w:p>
    <w:p>
      <w:pPr>
        <w:spacing w:after="60"/>
        <w:ind w:left="216"/>
      </w:pPr>
      <w:r>
        <w:t>B. Placement may be one option but cannot be imposed before assessment.</w:t>
      </w:r>
    </w:p>
    <w:p>
      <w:pPr>
        <w:spacing w:after="60"/>
        <w:ind w:left="216"/>
      </w:pPr>
      <w:r>
        <w:t>C. This assesses both members of the caregiving system, safety, resources, and client preferences.</w:t>
      </w:r>
    </w:p>
    <w:p>
      <w:pPr>
        <w:spacing w:after="60"/>
        <w:ind w:left="216"/>
      </w:pPr>
      <w:r>
        <w:t>D. A directive decision before assessment bypasses safety, capacity, preferences, supports, and available options.</w:t>
      </w:r>
    </w:p>
    <w:tbl>
      <w:tblPr>
        <w:tblW w:type="auto" w:w="0"/>
        <w:jc w:val="center"/>
        <w:tblLayout w:type="autofit"/>
        <w:tblLook w:firstColumn="1" w:firstRow="1" w:lastColumn="0" w:lastRow="0" w:noHBand="0" w:noVBand="1" w:val="04A0"/>
      </w:tblPr>
      <w:tblGrid>
        <w:gridCol w:w="10080"/>
      </w:tblGrid>
      <w:tr>
        <w:trPr>
          <w:cantSplit/>
        </w:trPr>
        <w:tc>
          <w:tcPr>
            <w:tcW w:type="dxa" w:w="10080"/>
            <w:shd w:fill="D9EAF7"/>
            <w:tcBorders>
              <w:top w:val="single" w:sz="6" w:color="A7BDC6"/>
              <w:left w:val="single" w:sz="6" w:color="A7BDC6"/>
              <w:bottom w:val="single" w:sz="6" w:color="A7BDC6"/>
              <w:right w:val="single" w:sz="6" w:color="A7BDC6"/>
              <w:insideH w:val="single" w:sz="6" w:color="A7BDC6"/>
              <w:insideV w:val="single" w:sz="6" w:color="A7BDC6"/>
            </w:tcBorders>
          </w:tcPr>
          <w:p>
            <w:r>
              <w:rPr>
                <w:rFonts w:ascii="Aptos" w:hAnsi="Aptos"/>
                <w:b/>
                <w:color w:val="1F4E78"/>
                <w:sz w:val="19"/>
              </w:rPr>
              <w:t xml:space="preserve">EXAM STRATEGY: </w:t>
            </w:r>
            <w:r>
              <w:rPr>
                <w:rFonts w:ascii="Aptos" w:hAnsi="Aptos"/>
                <w:color w:val="1F2937"/>
                <w:sz w:val="19"/>
              </w:rPr>
              <w:t>Caregiving items require attention to the vulnerable client, caregiver strain, and the service environment.</w:t>
            </w:r>
          </w:p>
        </w:tc>
      </w:tr>
    </w:tbl>
    <w:p/>
    <w:p>
      <w:pPr>
        <w:pStyle w:val="Heading2"/>
      </w:pPr>
      <w:r>
        <w:t>Question 7 (LCSW-WB03-Q007)</w:t>
      </w:r>
    </w:p>
    <w:p>
      <w:r>
        <w:t>Correct Answer: B</w:t>
      </w:r>
    </w:p>
    <w:p>
      <w:pPr>
        <w:spacing w:after="60"/>
        <w:ind w:left="216"/>
      </w:pPr>
      <w:r>
        <w:t>A. Help should not be conditioned on forced trauma disclosure.</w:t>
      </w:r>
    </w:p>
    <w:p>
      <w:pPr>
        <w:spacing w:after="60"/>
        <w:ind w:left="216"/>
      </w:pPr>
      <w:r>
        <w:t>B. This integrates clinical, family, access, service, and migration-related factors while preserving client priorities.</w:t>
      </w:r>
    </w:p>
    <w:p>
      <w:pPr>
        <w:spacing w:after="60"/>
        <w:ind w:left="216"/>
      </w:pPr>
      <w:r>
        <w:t>C. The conclusion is unsupported and ignores context.</w:t>
      </w:r>
    </w:p>
    <w:p>
      <w:pPr>
        <w:spacing w:after="60"/>
        <w:ind w:left="216"/>
      </w:pPr>
      <w:r>
        <w:t>D. Reassurance without assessment may invalidate lived experience and does not address barriers.</w:t>
      </w:r>
    </w:p>
    <w:tbl>
      <w:tblPr>
        <w:tblW w:type="auto" w:w="0"/>
        <w:jc w:val="center"/>
        <w:tblLayout w:type="autofit"/>
        <w:tblLook w:firstColumn="1" w:firstRow="1" w:lastColumn="0" w:lastRow="0" w:noHBand="0" w:noVBand="1" w:val="04A0"/>
      </w:tblPr>
      <w:tblGrid>
        <w:gridCol w:w="10080"/>
      </w:tblGrid>
      <w:tr>
        <w:trPr>
          <w:cantSplit/>
        </w:trPr>
        <w:tc>
          <w:tcPr>
            <w:tcW w:type="dxa" w:w="10080"/>
            <w:shd w:fill="D9EAF7"/>
            <w:tcBorders>
              <w:top w:val="single" w:sz="6" w:color="A7BDC6"/>
              <w:left w:val="single" w:sz="6" w:color="A7BDC6"/>
              <w:bottom w:val="single" w:sz="6" w:color="A7BDC6"/>
              <w:right w:val="single" w:sz="6" w:color="A7BDC6"/>
              <w:insideH w:val="single" w:sz="6" w:color="A7BDC6"/>
              <w:insideV w:val="single" w:sz="6" w:color="A7BDC6"/>
            </w:tcBorders>
          </w:tcPr>
          <w:p>
            <w:r>
              <w:rPr>
                <w:rFonts w:ascii="Aptos" w:hAnsi="Aptos"/>
                <w:b/>
                <w:color w:val="1F4E78"/>
                <w:sz w:val="19"/>
              </w:rPr>
              <w:t xml:space="preserve">EXAM STRATEGY: </w:t>
            </w:r>
            <w:r>
              <w:rPr>
                <w:rFonts w:ascii="Aptos" w:hAnsi="Aptos"/>
                <w:color w:val="1F2937"/>
                <w:sz w:val="19"/>
              </w:rPr>
              <w:t>Migration and refugee scenarios often require psychosocial assessment and practical service navigation without assumptions.</w:t>
            </w:r>
          </w:p>
        </w:tc>
      </w:tr>
    </w:tbl>
    <w:p/>
    <w:p>
      <w:pPr>
        <w:pStyle w:val="Heading2"/>
      </w:pPr>
      <w:r>
        <w:t>Question 8 (LCSW-WB03-Q008)</w:t>
      </w:r>
    </w:p>
    <w:p>
      <w:r>
        <w:t>Correct Answer: D</w:t>
      </w:r>
    </w:p>
    <w:p>
      <w:pPr>
        <w:spacing w:after="60"/>
        <w:ind w:left="216"/>
      </w:pPr>
      <w:r>
        <w:t>A. A higher level of care is not supported without assessment.</w:t>
      </w:r>
    </w:p>
    <w:p>
      <w:pPr>
        <w:spacing w:after="60"/>
        <w:ind w:left="216"/>
      </w:pPr>
      <w:r>
        <w:t>B. Avoidance is not a comprehensive or collaborative plan.</w:t>
      </w:r>
    </w:p>
    <w:p>
      <w:pPr>
        <w:spacing w:after="60"/>
        <w:ind w:left="216"/>
      </w:pPr>
      <w:r>
        <w:t>C. Completion of one service does not establish readiness to end all support.</w:t>
      </w:r>
    </w:p>
    <w:p>
      <w:pPr>
        <w:spacing w:after="60"/>
        <w:ind w:left="216"/>
      </w:pPr>
      <w:r>
        <w:t>D. This examines the impact of placement and reintegration across the client, family, school, and service systems.</w:t>
      </w:r>
    </w:p>
    <w:tbl>
      <w:tblPr>
        <w:tblW w:type="auto" w:w="0"/>
        <w:jc w:val="center"/>
        <w:tblLayout w:type="autofit"/>
        <w:tblLook w:firstColumn="1" w:firstRow="1" w:lastColumn="0" w:lastRow="0" w:noHBand="0" w:noVBand="1" w:val="04A0"/>
      </w:tblPr>
      <w:tblGrid>
        <w:gridCol w:w="10080"/>
      </w:tblGrid>
      <w:tr>
        <w:trPr>
          <w:cantSplit/>
        </w:trPr>
        <w:tc>
          <w:tcPr>
            <w:tcW w:type="dxa" w:w="10080"/>
            <w:shd w:fill="D9EAF7"/>
            <w:tcBorders>
              <w:top w:val="single" w:sz="6" w:color="A7BDC6"/>
              <w:left w:val="single" w:sz="6" w:color="A7BDC6"/>
              <w:bottom w:val="single" w:sz="6" w:color="A7BDC6"/>
              <w:right w:val="single" w:sz="6" w:color="A7BDC6"/>
              <w:insideH w:val="single" w:sz="6" w:color="A7BDC6"/>
              <w:insideV w:val="single" w:sz="6" w:color="A7BDC6"/>
            </w:tcBorders>
          </w:tcPr>
          <w:p>
            <w:r>
              <w:rPr>
                <w:rFonts w:ascii="Aptos" w:hAnsi="Aptos"/>
                <w:b/>
                <w:color w:val="1F4E78"/>
                <w:sz w:val="19"/>
              </w:rPr>
              <w:t xml:space="preserve">EXAM STRATEGY: </w:t>
            </w:r>
            <w:r>
              <w:rPr>
                <w:rFonts w:ascii="Aptos" w:hAnsi="Aptos"/>
                <w:color w:val="1F2937"/>
                <w:sz w:val="19"/>
              </w:rPr>
              <w:t>Placement and discharge vignettes test transition, continuity, client-system adjustment, and coordination.</w:t>
            </w:r>
          </w:p>
        </w:tc>
      </w:tr>
    </w:tbl>
    <w:p/>
    <w:p>
      <w:pPr>
        <w:pStyle w:val="Heading2"/>
      </w:pPr>
      <w:r>
        <w:t>Question 9 (LCSW-WB03-Q009)</w:t>
      </w:r>
    </w:p>
    <w:p>
      <w:r>
        <w:t>Correct Answer: A</w:t>
      </w:r>
    </w:p>
    <w:p>
      <w:pPr>
        <w:spacing w:after="60"/>
        <w:ind w:left="216"/>
      </w:pPr>
      <w:r>
        <w:t>A. This reflects the official emphasis on environmental hazards, displacement, and effects across client systems.</w:t>
      </w:r>
    </w:p>
    <w:p>
      <w:pPr>
        <w:spacing w:after="60"/>
        <w:ind w:left="216"/>
      </w:pPr>
      <w:r>
        <w:t>B. An individual-only assessment misses the multi-system impact.</w:t>
      </w:r>
    </w:p>
    <w:p>
      <w:pPr>
        <w:spacing w:after="60"/>
        <w:ind w:left="216"/>
      </w:pPr>
      <w:r>
        <w:t>C. Delay may increase harm and ignores immediate needs.</w:t>
      </w:r>
    </w:p>
    <w:p>
      <w:pPr>
        <w:spacing w:after="60"/>
        <w:ind w:left="216"/>
      </w:pPr>
      <w:r>
        <w:t>D. The person-in-environment lens includes community conditions, displacement, housing, employment, schools, and resource access.</w:t>
      </w:r>
    </w:p>
    <w:tbl>
      <w:tblPr>
        <w:tblW w:type="auto" w:w="0"/>
        <w:jc w:val="center"/>
        <w:tblLayout w:type="autofit"/>
        <w:tblLook w:firstColumn="1" w:firstRow="1" w:lastColumn="0" w:lastRow="0" w:noHBand="0" w:noVBand="1" w:val="04A0"/>
      </w:tblPr>
      <w:tblGrid>
        <w:gridCol w:w="10080"/>
      </w:tblGrid>
      <w:tr>
        <w:trPr>
          <w:cantSplit/>
        </w:trPr>
        <w:tc>
          <w:tcPr>
            <w:tcW w:type="dxa" w:w="10080"/>
            <w:shd w:fill="D9EAF7"/>
            <w:tcBorders>
              <w:top w:val="single" w:sz="6" w:color="A7BDC6"/>
              <w:left w:val="single" w:sz="6" w:color="A7BDC6"/>
              <w:bottom w:val="single" w:sz="6" w:color="A7BDC6"/>
              <w:right w:val="single" w:sz="6" w:color="A7BDC6"/>
              <w:insideH w:val="single" w:sz="6" w:color="A7BDC6"/>
              <w:insideV w:val="single" w:sz="6" w:color="A7BDC6"/>
            </w:tcBorders>
          </w:tcPr>
          <w:p>
            <w:r>
              <w:rPr>
                <w:rFonts w:ascii="Aptos" w:hAnsi="Aptos"/>
                <w:b/>
                <w:color w:val="1F4E78"/>
                <w:sz w:val="19"/>
              </w:rPr>
              <w:t xml:space="preserve">EXAM STRATEGY: </w:t>
            </w:r>
            <w:r>
              <w:rPr>
                <w:rFonts w:ascii="Aptos" w:hAnsi="Aptos"/>
                <w:color w:val="1F2937"/>
                <w:sz w:val="19"/>
              </w:rPr>
              <w:t>When the stressor is collective, expand the unit of assessment beyond one person while identifying individual risk and needs.</w:t>
            </w:r>
          </w:p>
        </w:tc>
      </w:tr>
    </w:tbl>
    <w:p/>
    <w:p>
      <w:pPr>
        <w:pStyle w:val="Heading2"/>
      </w:pPr>
      <w:r>
        <w:t>Question 10 (LCSW-WB03-Q010)</w:t>
      </w:r>
    </w:p>
    <w:p>
      <w:r>
        <w:t>Correct Answer: B</w:t>
      </w:r>
    </w:p>
    <w:p>
      <w:pPr>
        <w:spacing w:after="60"/>
        <w:ind w:left="216"/>
      </w:pPr>
      <w:r>
        <w:t>A. This narrows the problem to attendance and ignores safety, housing, discrimination, and access.</w:t>
      </w:r>
    </w:p>
    <w:p>
      <w:pPr>
        <w:spacing w:after="60"/>
        <w:ind w:left="216"/>
      </w:pPr>
      <w:r>
        <w:t>B. This integrates development, identity, housing, health, school, family, barriers, strengths, and self-determination.</w:t>
      </w:r>
    </w:p>
    <w:p>
      <w:pPr>
        <w:spacing w:after="60"/>
        <w:ind w:left="216"/>
      </w:pPr>
      <w:r>
        <w:t>C. Self-determination does not require ignoring family roles, safety, or collaborative planning.</w:t>
      </w:r>
    </w:p>
    <w:p>
      <w:pPr>
        <w:spacing w:after="60"/>
        <w:ind w:left="216"/>
      </w:pPr>
      <w:r>
        <w:t>D. Referral may be relevant later, but it is premature and may repeat the access problem.</w:t>
      </w:r>
    </w:p>
    <w:tbl>
      <w:tblPr>
        <w:tblW w:type="auto" w:w="0"/>
        <w:jc w:val="center"/>
        <w:tblLayout w:type="autofit"/>
        <w:tblLook w:firstColumn="1" w:firstRow="1" w:lastColumn="0" w:lastRow="0" w:noHBand="0" w:noVBand="1" w:val="04A0"/>
      </w:tblPr>
      <w:tblGrid>
        <w:gridCol w:w="10080"/>
      </w:tblGrid>
      <w:tr>
        <w:trPr>
          <w:cantSplit/>
        </w:trPr>
        <w:tc>
          <w:tcPr>
            <w:tcW w:type="dxa" w:w="10080"/>
            <w:shd w:fill="D9EAF7"/>
            <w:tcBorders>
              <w:top w:val="single" w:sz="6" w:color="A7BDC6"/>
              <w:left w:val="single" w:sz="6" w:color="A7BDC6"/>
              <w:bottom w:val="single" w:sz="6" w:color="A7BDC6"/>
              <w:right w:val="single" w:sz="6" w:color="A7BDC6"/>
              <w:insideH w:val="single" w:sz="6" w:color="A7BDC6"/>
              <w:insideV w:val="single" w:sz="6" w:color="A7BDC6"/>
            </w:tcBorders>
          </w:tcPr>
          <w:p>
            <w:r>
              <w:rPr>
                <w:rFonts w:ascii="Aptos" w:hAnsi="Aptos"/>
                <w:b/>
                <w:color w:val="1F4E78"/>
                <w:sz w:val="19"/>
              </w:rPr>
              <w:t xml:space="preserve">EXAM STRATEGY: </w:t>
            </w:r>
            <w:r>
              <w:rPr>
                <w:rFonts w:ascii="Aptos" w:hAnsi="Aptos"/>
                <w:color w:val="1F2937"/>
                <w:sz w:val="19"/>
              </w:rPr>
              <w:t>Integrated ASWB items reward person-in-environment assessment, client involvement, access, social justice, and proportionate sequencing.</w:t>
            </w:r>
          </w:p>
        </w:tc>
      </w:tr>
    </w:tbl>
    <w:p/>
    <w:p>
      <w:pPr>
        <w:pStyle w:val="Heading1"/>
      </w:pPr>
      <w:r>
        <w:t>Score and Study Plan</w:t>
      </w:r>
    </w:p>
    <w:p>
      <w:pPr/>
      <w:r>
        <w:t>Score: ______ / 10</w:t>
      </w:r>
    </w:p>
    <w:p>
      <w:pPr/>
      <w:r>
        <w:t>Questions I missed or guessed: ________________________________________________</w:t>
      </w:r>
    </w:p>
    <w:p>
      <w:pPr/>
      <w:r>
        <w:t>My three priority review topics:</w:t>
      </w:r>
    </w:p>
    <w:p>
      <w:pPr/>
      <w:r>
        <w:t>1. ___________________________________________________________________________</w:t>
      </w:r>
    </w:p>
    <w:p>
      <w:pPr/>
      <w:r>
        <w:t>2. ___________________________________________________________________________</w:t>
      </w:r>
    </w:p>
    <w:p>
      <w:pPr/>
      <w:r>
        <w:t>3. ___________________________________________________________________________</w:t>
      </w:r>
    </w:p>
    <w:p>
      <w:pPr/>
      <w:r>
        <w:t>One reasoning rule I will apply on my next practice set:</w:t>
      </w:r>
    </w:p>
    <w:p>
      <w:pPr/>
      <w:r>
        <w:t>______________________________________________________________________________</w:t>
      </w:r>
    </w:p>
    <w:p>
      <w:pPr>
        <w:pStyle w:val="Heading1"/>
      </w:pPr>
      <w:r>
        <w:t>Sources and Currency Note</w:t>
      </w:r>
    </w:p>
    <w:p>
      <w:pPr>
        <w:pStyle w:val="ListBullet"/>
      </w:pPr>
      <w:r>
        <w:t>Association of Social Work Boards. Your Guide to Taking the Social Work Licensing Exams: 2026 Blueprints for exams administered on or after August 3, 2026, including Diversity and Social Justice and Assessment and Planning content.</w:t>
      </w:r>
    </w:p>
    <w:p>
      <w:pPr>
        <w:pStyle w:val="ListBullet"/>
      </w:pPr>
      <w:r>
        <w:t>California Board of Behavioral Sciences. Statutes and Regulations Relating to Marriage and Family Therapy and Clinical Social Work, January 2026.</w:t>
      </w:r>
    </w:p>
    <w:p>
      <w:pPr>
        <w:pStyle w:val="ListBullet"/>
      </w:pPr>
      <w:r>
        <w:t>Laws, regulations, and ethical requirements vary by jurisdiction. Verify current official examination and practice requirements before testing.</w:t>
      </w:r>
    </w:p>
    <w:p>
      <w:pPr/>
      <w:r>
        <w:t>All practice questions are original CTA items. Examination specifications and professional requirements may change; consult current official sources before testing or practice.</w:t>
      </w:r>
    </w:p>
    <w:sectPr w:rsidR="00FC693F" w:rsidRPr="0006063C" w:rsidSect="00034616">
      <w:headerReference w:type="first" r:id="rId10"/>
      <w:footerReference w:type="first" r:id="rId11"/>
      <w:headerReference w:type="default" r:id="rId12"/>
      <w:footerReference w:type="default" r:id="rId13"/>
      <w:pgSz w:w="12240" w:h="15840"/>
      <w:pgMar w:top="936" w:right="1080" w:bottom="936" w:left="1080" w:header="360" w:footer="432"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ook w:firstColumn="1" w:firstRow="1" w:lastColumn="0" w:lastRow="0" w:noHBand="0" w:noVBand="1" w:val="04A0"/>
    </w:tblPr>
    <w:tblGrid>
      <w:gridCol w:w="5040"/>
      <w:gridCol w:w="5040"/>
    </w:tblGrid>
    <w:tr>
      <w:tc>
        <w:tcPr>
          <w:tcW w:type="dxa" w:w="5040"/>
        </w:tcPr>
        <w:p>
          <w:r>
            <w:t>Clinical Training Academy • Student Workbook</w:t>
          </w:r>
        </w:p>
      </w:tc>
      <w:tc>
        <w:tcPr>
          <w:tcW w:type="dxa" w:w="5040"/>
        </w:tcPr>
        <w:p>
          <w:pPr>
            <w:jc w:val="right"/>
          </w:pPr>
          <w:r>
            <w:rPr>
              <w:rFonts w:ascii="Aptos" w:hAnsi="Aptos"/>
              <w:color w:val="6B7280"/>
              <w:sz w:val="16"/>
            </w:rPr>
            <w:t xml:space="preserve">Page </w:t>
            <w:fldChar w:fldCharType="begin"/>
            <w:instrText xml:space="preserve">PAGE</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t xml:space="preserve">   CTA LCSW Workbook 3 - Human Development, Diversity, and Person-in-Environment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w:hAnsi="Aptos"/>
      <w:b/>
      <w:bCs/>
      <w:color w:val="1F4E78"/>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w:hAnsi="Aptos"/>
      <w:b/>
      <w:bCs/>
      <w:color w:val="0E749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200"/>
      <w:contextualSpacing/>
    </w:pPr>
    <w:rPr>
      <w:rFonts w:asciiTheme="majorHAnsi" w:eastAsiaTheme="majorEastAsia" w:hAnsiTheme="majorHAnsi" w:cstheme="majorBidi" w:ascii="Aptos Display" w:hAnsi="Aptos Display"/>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TASmallCaps">
    <w:name w:val="CTA Small Caps"/>
    <w:pPr>
      <w:spacing w:after="40"/>
    </w:pPr>
    <w:rPr>
      <w:rFonts w:ascii="Aptos" w:hAnsi="Aptos"/>
      <w:b/>
      <w:color w:val="0E7490"/>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header" Target="header2.xml"/><Relationship Id="rId13"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CTA LCSW Workbook 3: Human Development, Diversity, and Person-in-Environment</dc:title>
  <dc:subject>CTA exam preparation student workbook</dc:subject>
  <dc:creator>Clinical Training and Supervision Academy</dc:creator>
  <cp:keywords>CTA, exam preparation, student workbook</cp:keywords>
  <dc:description/>
  <cp:lastModifiedBy>Clinical Training and Supervision Academy</cp:lastModifiedBy>
  <cp:revision>1</cp:revision>
  <dcterms:created xsi:type="dcterms:W3CDTF">2013-12-23T23:15:00Z</dcterms:created>
  <dcterms:modified xsi:type="dcterms:W3CDTF">2013-12-23T23:15:00Z</dcterms:modified>
  <cp:category/>
</cp:coreProperties>
</file>