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ptos" w:hAnsi="Aptos" w:eastAsia="Aptos" w:cs="Aptos"/>
        </w:rPr>
        <w:drawing>
          <wp:inline xmlns:a="http://schemas.openxmlformats.org/drawingml/2006/main" xmlns:pic="http://schemas.openxmlformats.org/drawingml/2006/picture">
            <wp:extent cx="1234440" cy="892311"/>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34440" cy="892311"/>
                    </a:xfrm>
                    <a:prstGeom prst="rect"/>
                  </pic:spPr>
                </pic:pic>
              </a:graphicData>
            </a:graphic>
          </wp:inline>
        </w:drawing>
      </w:r>
    </w:p>
    <w:p>
      <w:pPr>
        <w:spacing w:after="60"/>
        <w:jc w:val="center"/>
      </w:pPr>
      <w:r>
        <w:rPr>
          <w:rFonts w:ascii="Aptos" w:hAnsi="Aptos" w:eastAsia="Aptos" w:cs="Aptos"/>
          <w:b/>
          <w:color w:val="0B7FAB"/>
          <w:sz w:val="20"/>
        </w:rPr>
        <w:t>LCSW EXAM PREPARATION PROGRAM</w:t>
      </w:r>
    </w:p>
    <w:p>
      <w:pPr>
        <w:spacing w:after="240"/>
        <w:jc w:val="center"/>
      </w:pPr>
      <w:r>
        <w:rPr>
          <w:rFonts w:ascii="Aptos" w:hAnsi="Aptos" w:eastAsia="Aptos" w:cs="Aptos"/>
          <w:b/>
          <w:color w:val="5B6573"/>
          <w:sz w:val="24"/>
        </w:rPr>
        <w:t>Student Workbook</w:t>
      </w:r>
    </w:p>
    <w:p>
      <w:pPr>
        <w:pStyle w:val="Title"/>
        <w:spacing w:after="160"/>
        <w:jc w:val="center"/>
      </w:pPr>
      <w:r>
        <w:rPr>
          <w:rFonts w:ascii="Aptos" w:hAnsi="Aptos" w:eastAsia="Aptos" w:cs="Aptos"/>
        </w:rPr>
        <w:t>CTA LCSW Workbook 6: Crisis, Abuse, and Risk Assessment</w:t>
      </w:r>
    </w:p>
    <w:p>
      <w:pPr>
        <w:spacing w:after="240"/>
        <w:jc w:val="center"/>
      </w:pPr>
      <w:r>
        <w:rPr>
          <w:rFonts w:ascii="Aptos" w:hAnsi="Aptos" w:eastAsia="Aptos" w:cs="Aptos"/>
          <w:i/>
          <w:color w:val="5B6573"/>
          <w:sz w:val="22"/>
        </w:rPr>
        <w:t>Integrate direct risk assessment, self-determination, person-in-environment barriers, protective duties, and the least restrictive safe response</w:t>
      </w:r>
    </w:p>
    <w:p>
      <w:pPr>
        <w:spacing w:after="360"/>
        <w:jc w:val="center"/>
      </w:pPr>
      <w:r>
        <w:rPr>
          <w:rFonts w:ascii="Aptos" w:hAnsi="Aptos" w:eastAsia="Aptos" w:cs="Aptos"/>
          <w:color w:val="5B6573"/>
          <w:sz w:val="18"/>
        </w:rPr>
        <w:t>Version 1.0 - July 2026</w:t>
      </w:r>
    </w:p>
    <w:tbl>
      <w:tblPr>
        <w:tblW w:type="auto" w:w="0"/>
        <w:jc w:val="center"/>
        <w:tblLayout w:type="fixed"/>
        <w:tblLook w:firstColumn="1" w:firstRow="1" w:lastColumn="0" w:lastRow="0" w:noHBand="0" w:noVBand="1" w:val="04A0"/>
      </w:tblPr>
      <w:tblGrid>
        <w:gridCol w:w="8208"/>
      </w:tblGrid>
      <w:tr>
        <w:trPr>
          <w:cantSplit/>
        </w:trPr>
        <w:tc>
          <w:tcPr>
            <w:tcW w:type="dxa" w:w="10080"/>
            <w:shd w:fill="EEF6F8"/>
            <w:tcMar>
              <w:top w:w="120" w:type="dxa"/>
              <w:start w:w="140" w:type="dxa"/>
              <w:bottom w:w="120" w:type="dxa"/>
              <w:end w:w="140" w:type="dxa"/>
            </w:tcMar>
            <w:vAlign w:val="center"/>
          </w:tcPr>
          <w:p>
            <w:pPr>
              <w:spacing w:after="0" w:before="0" w:line="252" w:lineRule="auto"/>
              <w:jc w:val="center"/>
            </w:pPr>
            <w:r>
              <w:rPr>
                <w:rFonts w:ascii="Aptos" w:hAnsi="Aptos" w:eastAsia="Aptos" w:cs="Aptos"/>
                <w:b/>
                <w:color w:val="16324F"/>
                <w:sz w:val="19"/>
              </w:rPr>
              <w:t>Educational and Non-Affiliation Notice</w:t>
            </w:r>
            <w:r>
              <w:rPr>
                <w:rFonts w:ascii="Aptos" w:hAnsi="Aptos" w:eastAsia="Aptos" w:cs="Aptos"/>
                <w:sz w:val="19"/>
              </w:rP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Examination specifications, laws, regulations, and professional standards may change. Candidates are responsible for consulting current official sources. Completion of this program does not guarantee examination passage.</w:t>
            </w:r>
          </w:p>
        </w:tc>
      </w:tr>
    </w:tbl>
    <w:p>
      <w:pPr>
        <w:spacing w:before="240"/>
        <w:jc w:val="center"/>
      </w:pPr>
      <w:r>
        <w:rPr>
          <w:rFonts w:ascii="Aptos" w:hAnsi="Aptos" w:eastAsia="Aptos" w:cs="Aptos"/>
          <w:b/>
          <w:i w:val="0"/>
          <w:color w:val="16324F"/>
          <w:sz w:val="20"/>
        </w:rPr>
        <w:t>Clinical Training Academy</w:t>
      </w:r>
    </w:p>
    <w:p>
      <w:r>
        <w:rPr>
          <w:rFonts w:ascii="Aptos" w:hAnsi="Aptos" w:eastAsia="Aptos" w:cs="Aptos"/>
        </w:rPr>
        <w:br w:type="page"/>
      </w:r>
    </w:p>
    <w:p>
      <w:pPr>
        <w:pStyle w:val="Heading1"/>
        <w:keepNext/>
      </w:pPr>
      <w:r>
        <w:rPr>
          <w:rFonts w:ascii="Aptos" w:hAnsi="Aptos" w:eastAsia="Aptos" w:cs="Aptos"/>
        </w:rPr>
        <w:t>How to Use This Workbook</w:t>
      </w:r>
    </w:p>
    <w:p>
      <w:r>
        <w:rPr>
          <w:rFonts w:ascii="Aptos" w:hAnsi="Aptos" w:eastAsia="Aptos" w:cs="Aptos"/>
          <w:i w:val="0"/>
        </w:rPr>
        <w:t>This workbook applies crisis reasoning to the ASWB Clinical Examination. The examination may place crisis content within ethics, assessment, planning, or intervention rather than in a separate domain. Read the content in order, complete the worksheets, and answer all 10 questions before reviewing the rationales. Focus on the client or client system, immediate safety, medical stability, decision-making ability, environment, resources, access, and follow-through.</w:t>
      </w:r>
    </w:p>
    <w:tbl>
      <w:tblPr>
        <w:tblW w:type="auto" w:w="0"/>
        <w:jc w:val="center"/>
        <w:tblLayout w:type="fixed"/>
        <w:tblLook w:firstColumn="1" w:firstRow="1" w:lastColumn="0" w:lastRow="0" w:noHBand="0" w:noVBand="1" w:val="04A0"/>
      </w:tblPr>
      <w:tblGrid>
        <w:gridCol w:w="9936"/>
      </w:tblGrid>
      <w:tr>
        <w:trPr>
          <w:cantSplit/>
        </w:trPr>
        <w:tc>
          <w:tcPr>
            <w:tcW w:type="dxa" w:w="10080"/>
            <w:shd w:fill="EEF6F8"/>
            <w:tcMar>
              <w:top w:w="120" w:type="dxa"/>
              <w:start w:w="140" w:type="dxa"/>
              <w:bottom w:w="120" w:type="dxa"/>
              <w:end w:w="140" w:type="dxa"/>
            </w:tcMar>
            <w:vAlign w:val="center"/>
          </w:tcPr>
          <w:p>
            <w:pPr>
              <w:spacing w:after="0" w:before="0" w:line="252" w:lineRule="auto"/>
            </w:pPr>
            <w:r>
              <w:rPr>
                <w:rFonts w:ascii="Aptos" w:hAnsi="Aptos" w:eastAsia="Aptos" w:cs="Aptos"/>
                <w:b/>
                <w:color w:val="16324F"/>
                <w:sz w:val="19"/>
              </w:rPr>
              <w:t>National Examination Notice</w:t>
            </w:r>
            <w:r>
              <w:rPr>
                <w:rFonts w:ascii="Aptos" w:hAnsi="Aptos" w:eastAsia="Aptos" w:cs="Aptos"/>
                <w:sz w:val="19"/>
              </w:rPr>
              <w:br/>
              <w:t>The ASWB examination is national. Unless a question supplies a jurisdiction or legal requirement, do not import California-specific reporting, duty-to-protect, or involuntary-treatment rules. Follow the law stated in the item and use ethical clinical sequencing.</w:t>
              <w:br/>
              <w:br/>
              <w:t>Clinical and Legal Scope Notice</w:t>
              <w:br/>
              <w:t>The material is provided for examination preparation and professional education. It is not legal advice, clinical supervision, diagnosis, treatment, or a substitute for consultation with qualified legal, clinical, regulatory, or professional experts.</w:t>
            </w:r>
          </w:p>
        </w:tc>
      </w:tr>
    </w:tbl>
    <w:p>
      <w:pPr>
        <w:spacing w:after="0"/>
      </w:pPr>
    </w:p>
    <w:p>
      <w:pPr>
        <w:pStyle w:val="Heading1"/>
        <w:keepNext/>
      </w:pPr>
      <w:r>
        <w:rPr>
          <w:rFonts w:ascii="Aptos" w:hAnsi="Aptos" w:eastAsia="Aptos" w:cs="Aptos"/>
        </w:rPr>
        <w:t>Learning Objectives</w:t>
      </w:r>
    </w:p>
    <w:p>
      <w:pPr>
        <w:pStyle w:val="ListBullet"/>
        <w:spacing w:before="0" w:after="40" w:line="259" w:lineRule="auto"/>
      </w:pPr>
      <w:r>
        <w:rPr>
          <w:rFonts w:ascii="Aptos" w:hAnsi="Aptos" w:eastAsia="Aptos" w:cs="Aptos"/>
        </w:rPr>
        <w:t>Apply the SAFER sequence across suicide, violence, abuse, medical, substance, disaster, self-neglect, and displacement vignettes.</w:t>
      </w:r>
    </w:p>
    <w:p>
      <w:pPr>
        <w:pStyle w:val="ListBullet"/>
        <w:spacing w:before="0" w:after="40" w:line="259" w:lineRule="auto"/>
      </w:pPr>
      <w:r>
        <w:rPr>
          <w:rFonts w:ascii="Aptos" w:hAnsi="Aptos" w:eastAsia="Aptos" w:cs="Aptos"/>
        </w:rPr>
        <w:t>Conduct direct, specific risk assessment and formulate acuity using safety, capacity, protective factors, environment, and access to help.</w:t>
      </w:r>
    </w:p>
    <w:p>
      <w:pPr>
        <w:pStyle w:val="ListBullet"/>
        <w:spacing w:before="0" w:after="40" w:line="259" w:lineRule="auto"/>
      </w:pPr>
      <w:r>
        <w:rPr>
          <w:rFonts w:ascii="Aptos" w:hAnsi="Aptos" w:eastAsia="Aptos" w:cs="Aptos"/>
        </w:rPr>
        <w:t>Integrate self-determination with immediate danger, decision-making ability, vulnerability, and any jurisdiction or legal duty supplied in the question.</w:t>
      </w:r>
    </w:p>
    <w:p>
      <w:pPr>
        <w:pStyle w:val="ListBullet"/>
        <w:spacing w:before="0" w:after="40" w:line="259" w:lineRule="auto"/>
      </w:pPr>
      <w:r>
        <w:rPr>
          <w:rFonts w:ascii="Aptos" w:hAnsi="Aptos" w:eastAsia="Aptos" w:cs="Aptos"/>
        </w:rPr>
        <w:t>Select the least restrictive safe response and coordinate realistic medical, crisis, protective, shelter, school, language-access, and community resources.</w:t>
      </w:r>
    </w:p>
    <w:p>
      <w:pPr>
        <w:pStyle w:val="ListBullet"/>
        <w:spacing w:before="0" w:after="40" w:line="259" w:lineRule="auto"/>
      </w:pPr>
      <w:r>
        <w:rPr>
          <w:rFonts w:ascii="Aptos" w:hAnsi="Aptos" w:eastAsia="Aptos" w:cs="Aptos"/>
        </w:rPr>
        <w:t>Document facts, client participation, barriers, rationale, handoff, and follow-up and eliminate distractors that teach, process, refer, or coerce before acute safety is addressed.</w:t>
      </w:r>
    </w:p>
    <w:p>
      <w:pPr>
        <w:pStyle w:val="Heading1"/>
        <w:keepNext/>
      </w:pPr>
      <w:r>
        <w:rPr>
          <w:rFonts w:ascii="Aptos" w:hAnsi="Aptos" w:eastAsia="Aptos" w:cs="Aptos"/>
        </w:rPr>
        <w:t>Why This Topic Matters</w:t>
      </w:r>
    </w:p>
    <w:p>
      <w:r>
        <w:rPr>
          <w:rFonts w:ascii="Aptos" w:hAnsi="Aptos" w:eastAsia="Aptos" w:cs="Aptos"/>
          <w:i w:val="0"/>
        </w:rPr>
        <w:t>Clinical social workers often encounter crises shaped by housing, poverty, health care, trauma, discrimination, caregiving, immigration, disability, transportation, and service access. The best exam answer combines direct risk assessment with respect for the client’s choices and a realistic plan. A theoretically sound plan is not safe if the client cannot understand it, reach it, afford it, or use it.</w:t>
      </w:r>
    </w:p>
    <w:tbl>
      <w:tblPr>
        <w:tblW w:type="auto" w:w="0"/>
        <w:jc w:val="center"/>
        <w:tblLayout w:type="fixed"/>
        <w:tblLook w:firstColumn="1" w:firstRow="1" w:lastColumn="0" w:lastRow="0" w:noHBand="0" w:noVBand="1" w:val="04A0"/>
      </w:tblPr>
      <w:tblGrid>
        <w:gridCol w:w="9936"/>
      </w:tblGrid>
      <w:tr>
        <w:trPr>
          <w:cantSplit/>
        </w:trPr>
        <w:tc>
          <w:tcPr>
            <w:tcW w:type="dxa" w:w="10080"/>
            <w:shd w:fill="EEF6F8"/>
            <w:tcMar>
              <w:top w:w="120" w:type="dxa"/>
              <w:start w:w="140" w:type="dxa"/>
              <w:bottom w:w="120" w:type="dxa"/>
              <w:end w:w="140" w:type="dxa"/>
            </w:tcMar>
            <w:vAlign w:val="center"/>
          </w:tcPr>
          <w:p>
            <w:pPr>
              <w:spacing w:after="0" w:before="0" w:line="252" w:lineRule="auto"/>
            </w:pPr>
            <w:r>
              <w:rPr>
                <w:rFonts w:ascii="Aptos" w:hAnsi="Aptos" w:eastAsia="Aptos" w:cs="Aptos"/>
                <w:b/>
                <w:i w:val="0"/>
                <w:color w:val="9C2B2E"/>
                <w:sz w:val="19"/>
              </w:rPr>
              <w:t>Core Exam Principle</w:t>
            </w:r>
          </w:p>
          <w:p>
            <w:pPr>
              <w:spacing w:after="0" w:before="0" w:line="252" w:lineRule="auto"/>
            </w:pPr>
            <w:r>
              <w:rPr>
                <w:rFonts w:ascii="Aptos" w:hAnsi="Aptos" w:eastAsia="Aptos" w:cs="Aptos"/>
                <w:sz w:val="19"/>
              </w:rPr>
              <w:t>Assess the person and the environment together. Choose the least restrictive response that is safe, feasible, accessible, and supported.</w:t>
            </w:r>
          </w:p>
        </w:tc>
      </w:tr>
    </w:tbl>
    <w:p>
      <w:pPr>
        <w:spacing w:after="0"/>
      </w:pPr>
    </w:p>
    <w:p>
      <w:pPr>
        <w:pStyle w:val="Heading1"/>
        <w:keepNext/>
      </w:pPr>
      <w:r>
        <w:rPr>
          <w:rFonts w:ascii="Aptos" w:hAnsi="Aptos" w:eastAsia="Aptos" w:cs="Aptos"/>
        </w:rPr>
        <w:t>1. The SAFER Crisis Sequence</w:t>
      </w:r>
    </w:p>
    <w:tbl>
      <w:tblPr>
        <w:tblStyle w:val="TableGrid"/>
        <w:tblW w:type="auto" w:w="0"/>
        <w:jc w:val="center"/>
        <w:tblLayout w:type="fixed"/>
        <w:tblLook w:firstColumn="1" w:firstRow="1" w:lastColumn="0" w:lastRow="0" w:noHBand="0" w:noVBand="1" w:val="04A0"/>
      </w:tblPr>
      <w:tblGrid>
        <w:gridCol w:w="1944"/>
        <w:gridCol w:w="7992"/>
      </w:tblGrid>
      <w:tr>
        <w:trPr>
          <w:tblHeader w:val="true"/>
          <w:cantSplit/>
        </w:trPr>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Step</w:t>
            </w:r>
          </w:p>
        </w:tc>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Clinical Social Work Question</w:t>
            </w:r>
          </w:p>
        </w:tc>
      </w:tr>
      <w:tr>
        <w:trPr>
          <w:cantSplit/>
        </w:trPr>
        <w:tc>
          <w:tcPr>
            <w:tcW w:type="dxa" w:w="1944"/>
            <w:tcMar>
              <w:top w:w="100" w:type="dxa"/>
              <w:start w:w="120" w:type="dxa"/>
              <w:bottom w:w="100" w:type="dxa"/>
              <w:end w:w="120" w:type="dxa"/>
            </w:tcMar>
            <w:vAlign w:val="center"/>
          </w:tcPr>
          <w:p>
            <w:pPr>
              <w:spacing w:after="40" w:before="0" w:line="245" w:lineRule="auto"/>
            </w:pPr>
            <w:r>
              <w:rPr>
                <w:rFonts w:ascii="Aptos" w:hAnsi="Aptos" w:eastAsia="Aptos" w:cs="Aptos"/>
                <w:sz w:val="18"/>
              </w:rPr>
              <w:t>S - Stabilize</w:t>
            </w:r>
          </w:p>
        </w:tc>
        <w:tc>
          <w:tcPr>
            <w:tcW w:type="dxa" w:w="7992"/>
            <w:tcMar>
              <w:top w:w="100" w:type="dxa"/>
              <w:start w:w="120" w:type="dxa"/>
              <w:bottom w:w="100" w:type="dxa"/>
              <w:end w:w="120" w:type="dxa"/>
            </w:tcMar>
            <w:vAlign w:val="center"/>
          </w:tcPr>
          <w:p>
            <w:pPr>
              <w:spacing w:after="40" w:before="0" w:line="245" w:lineRule="auto"/>
            </w:pPr>
            <w:r>
              <w:rPr>
                <w:rFonts w:ascii="Aptos" w:hAnsi="Aptos" w:eastAsia="Aptos" w:cs="Aptos"/>
                <w:sz w:val="18"/>
              </w:rPr>
              <w:t>Is there immediate danger, medical instability, overdose, severe withdrawal, altered consciousness, or inability to remain safe?</w:t>
            </w:r>
          </w:p>
        </w:tc>
      </w:tr>
      <w:tr>
        <w:trPr>
          <w:cantSplit/>
        </w:trPr>
        <w:tc>
          <w:tcPr>
            <w:tcW w:type="dxa" w:w="1944"/>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A - Assess directly</w:t>
            </w:r>
          </w:p>
        </w:tc>
        <w:tc>
          <w:tcPr>
            <w:tcW w:type="dxa" w:w="7992"/>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What are the thoughts, intent, plan, means, behavior, target, timing, capacity, and protective factors?</w:t>
            </w:r>
          </w:p>
        </w:tc>
      </w:tr>
      <w:tr>
        <w:trPr>
          <w:cantSplit/>
        </w:trPr>
        <w:tc>
          <w:tcPr>
            <w:tcW w:type="dxa" w:w="1944"/>
            <w:tcMar>
              <w:top w:w="100" w:type="dxa"/>
              <w:start w:w="120" w:type="dxa"/>
              <w:bottom w:w="100" w:type="dxa"/>
              <w:end w:w="120" w:type="dxa"/>
            </w:tcMar>
            <w:vAlign w:val="center"/>
          </w:tcPr>
          <w:p>
            <w:pPr>
              <w:spacing w:after="40" w:before="0" w:line="245" w:lineRule="auto"/>
            </w:pPr>
            <w:r>
              <w:rPr>
                <w:rFonts w:ascii="Aptos" w:hAnsi="Aptos" w:eastAsia="Aptos" w:cs="Aptos"/>
                <w:sz w:val="18"/>
              </w:rPr>
              <w:t>F - Formulate in context</w:t>
            </w:r>
          </w:p>
        </w:tc>
        <w:tc>
          <w:tcPr>
            <w:tcW w:type="dxa" w:w="7992"/>
            <w:tcMar>
              <w:top w:w="100" w:type="dxa"/>
              <w:start w:w="120" w:type="dxa"/>
              <w:bottom w:w="100" w:type="dxa"/>
              <w:end w:w="120" w:type="dxa"/>
            </w:tcMar>
            <w:vAlign w:val="center"/>
          </w:tcPr>
          <w:p>
            <w:pPr>
              <w:spacing w:after="40" w:before="0" w:line="245" w:lineRule="auto"/>
            </w:pPr>
            <w:r>
              <w:rPr>
                <w:rFonts w:ascii="Aptos" w:hAnsi="Aptos" w:eastAsia="Aptos" w:cs="Aptos"/>
                <w:sz w:val="18"/>
              </w:rPr>
              <w:t>How do trauma, health, housing, income, family, caregiving, discrimination, access, and service systems affect risk?</w:t>
            </w:r>
          </w:p>
        </w:tc>
      </w:tr>
      <w:tr>
        <w:trPr>
          <w:cantSplit/>
        </w:trPr>
        <w:tc>
          <w:tcPr>
            <w:tcW w:type="dxa" w:w="1944"/>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E - Execute the response</w:t>
            </w:r>
          </w:p>
        </w:tc>
        <w:tc>
          <w:tcPr>
            <w:tcW w:type="dxa" w:w="7992"/>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What is the least restrictive safe option consistent with client participation and applicable duties?</w:t>
            </w:r>
          </w:p>
        </w:tc>
      </w:tr>
      <w:tr>
        <w:trPr>
          <w:cantSplit/>
        </w:trPr>
        <w:tc>
          <w:tcPr>
            <w:tcW w:type="dxa" w:w="1944"/>
            <w:tcMar>
              <w:top w:w="100" w:type="dxa"/>
              <w:start w:w="120" w:type="dxa"/>
              <w:bottom w:w="100" w:type="dxa"/>
              <w:end w:w="120" w:type="dxa"/>
            </w:tcMar>
            <w:vAlign w:val="center"/>
          </w:tcPr>
          <w:p>
            <w:pPr>
              <w:spacing w:after="40" w:before="0" w:line="245" w:lineRule="auto"/>
            </w:pPr>
            <w:r>
              <w:rPr>
                <w:rFonts w:ascii="Aptos" w:hAnsi="Aptos" w:eastAsia="Aptos" w:cs="Aptos"/>
                <w:sz w:val="18"/>
              </w:rPr>
              <w:t>R - Reconnect and reassess</w:t>
            </w:r>
          </w:p>
        </w:tc>
        <w:tc>
          <w:tcPr>
            <w:tcW w:type="dxa" w:w="7992"/>
            <w:tcMar>
              <w:top w:w="100" w:type="dxa"/>
              <w:start w:w="120" w:type="dxa"/>
              <w:bottom w:w="100" w:type="dxa"/>
              <w:end w:w="120" w:type="dxa"/>
            </w:tcMar>
            <w:vAlign w:val="center"/>
          </w:tcPr>
          <w:p>
            <w:pPr>
              <w:spacing w:after="40" w:before="0" w:line="245" w:lineRule="auto"/>
            </w:pPr>
            <w:r>
              <w:rPr>
                <w:rFonts w:ascii="Aptos" w:hAnsi="Aptos" w:eastAsia="Aptos" w:cs="Aptos"/>
                <w:sz w:val="18"/>
              </w:rPr>
              <w:t>Who will confirm the handoff, address barriers, and reassess as conditions change?</w:t>
            </w:r>
          </w:p>
        </w:tc>
      </w:tr>
    </w:tbl>
    <w:p>
      <w:pPr>
        <w:spacing w:after="0"/>
      </w:pPr>
    </w:p>
    <w:p>
      <w:pPr>
        <w:pStyle w:val="Heading1"/>
        <w:keepNext/>
      </w:pPr>
      <w:r>
        <w:rPr>
          <w:rFonts w:ascii="Aptos" w:hAnsi="Aptos" w:eastAsia="Aptos" w:cs="Aptos"/>
        </w:rPr>
        <w:t>2. Risk Assessment and Formulation</w:t>
      </w:r>
    </w:p>
    <w:tbl>
      <w:tblPr>
        <w:tblStyle w:val="TableGrid"/>
        <w:tblW w:type="auto" w:w="0"/>
        <w:jc w:val="center"/>
        <w:tblLayout w:type="fixed"/>
        <w:tblLook w:firstColumn="1" w:firstRow="1" w:lastColumn="0" w:lastRow="0" w:noHBand="0" w:noVBand="1" w:val="04A0"/>
      </w:tblPr>
      <w:tblGrid>
        <w:gridCol w:w="2376"/>
        <w:gridCol w:w="7560"/>
      </w:tblGrid>
      <w:tr>
        <w:trPr>
          <w:tblHeader w:val="true"/>
          <w:cantSplit/>
        </w:trPr>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Area</w:t>
            </w:r>
          </w:p>
        </w:tc>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Questions</w:t>
            </w:r>
          </w:p>
        </w:tc>
      </w:tr>
      <w:tr>
        <w:trPr>
          <w:cantSplit/>
        </w:trPr>
        <w:tc>
          <w:tcPr>
            <w:tcW w:type="dxa" w:w="2376"/>
            <w:tcMar>
              <w:top w:w="100" w:type="dxa"/>
              <w:start w:w="120" w:type="dxa"/>
              <w:bottom w:w="100" w:type="dxa"/>
              <w:end w:w="120" w:type="dxa"/>
            </w:tcMar>
            <w:vAlign w:val="center"/>
          </w:tcPr>
          <w:p>
            <w:pPr>
              <w:spacing w:after="40" w:before="0" w:line="245" w:lineRule="auto"/>
            </w:pPr>
            <w:r>
              <w:rPr>
                <w:rFonts w:ascii="Aptos" w:hAnsi="Aptos" w:eastAsia="Aptos" w:cs="Aptos"/>
                <w:sz w:val="18"/>
              </w:rPr>
              <w:t>Suicide and self-harm</w:t>
            </w:r>
          </w:p>
        </w:tc>
        <w:tc>
          <w:tcPr>
            <w:tcW w:type="dxa" w:w="7560"/>
            <w:tcMar>
              <w:top w:w="100" w:type="dxa"/>
              <w:start w:w="120" w:type="dxa"/>
              <w:bottom w:w="100" w:type="dxa"/>
              <w:end w:w="120" w:type="dxa"/>
            </w:tcMar>
            <w:vAlign w:val="center"/>
          </w:tcPr>
          <w:p>
            <w:pPr>
              <w:spacing w:after="40" w:before="0" w:line="245" w:lineRule="auto"/>
            </w:pPr>
            <w:r>
              <w:rPr>
                <w:rFonts w:ascii="Aptos" w:hAnsi="Aptos" w:eastAsia="Aptos" w:cs="Aptos"/>
                <w:sz w:val="18"/>
              </w:rPr>
              <w:t>Passive or active ideation? Intent? Plan? Means? Preparations? Recent behavior? Prior attempts? Reasons for living? Ability to use help?</w:t>
            </w:r>
          </w:p>
        </w:tc>
      </w:tr>
      <w:tr>
        <w:trPr>
          <w:cantSplit/>
        </w:trPr>
        <w:tc>
          <w:tcPr>
            <w:tcW w:type="dxa" w:w="237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Danger to others</w:t>
            </w:r>
          </w:p>
        </w:tc>
        <w:tc>
          <w:tcPr>
            <w:tcW w:type="dxa" w:w="756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Target? Threat? Intent? Plan? Means? Access? History? Psychosis? Intoxication? Triggers? Immediacy?</w:t>
            </w:r>
          </w:p>
        </w:tc>
      </w:tr>
      <w:tr>
        <w:trPr>
          <w:cantSplit/>
        </w:trPr>
        <w:tc>
          <w:tcPr>
            <w:tcW w:type="dxa" w:w="2376"/>
            <w:tcMar>
              <w:top w:w="100" w:type="dxa"/>
              <w:start w:w="120" w:type="dxa"/>
              <w:bottom w:w="100" w:type="dxa"/>
              <w:end w:w="120" w:type="dxa"/>
            </w:tcMar>
            <w:vAlign w:val="center"/>
          </w:tcPr>
          <w:p>
            <w:pPr>
              <w:spacing w:after="40" w:before="0" w:line="245" w:lineRule="auto"/>
            </w:pPr>
            <w:r>
              <w:rPr>
                <w:rFonts w:ascii="Aptos" w:hAnsi="Aptos" w:eastAsia="Aptos" w:cs="Aptos"/>
                <w:sz w:val="18"/>
              </w:rPr>
              <w:t>Medical or substance danger</w:t>
            </w:r>
          </w:p>
        </w:tc>
        <w:tc>
          <w:tcPr>
            <w:tcW w:type="dxa" w:w="7560"/>
            <w:tcMar>
              <w:top w:w="100" w:type="dxa"/>
              <w:start w:w="120" w:type="dxa"/>
              <w:bottom w:w="100" w:type="dxa"/>
              <w:end w:w="120" w:type="dxa"/>
            </w:tcMar>
            <w:vAlign w:val="center"/>
          </w:tcPr>
          <w:p>
            <w:pPr>
              <w:spacing w:after="40" w:before="0" w:line="245" w:lineRule="auto"/>
            </w:pPr>
            <w:r>
              <w:rPr>
                <w:rFonts w:ascii="Aptos" w:hAnsi="Aptos" w:eastAsia="Aptos" w:cs="Aptos"/>
                <w:sz w:val="18"/>
              </w:rPr>
              <w:t>Consciousness? Breathing? Confusion? Injury? Withdrawal? Overdose? Medication issue? Need for emergency evaluation?</w:t>
            </w:r>
          </w:p>
        </w:tc>
      </w:tr>
      <w:tr>
        <w:trPr>
          <w:cantSplit/>
        </w:trPr>
        <w:tc>
          <w:tcPr>
            <w:tcW w:type="dxa" w:w="237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Abuse, neglect, exploitation</w:t>
            </w:r>
          </w:p>
        </w:tc>
        <w:tc>
          <w:tcPr>
            <w:tcW w:type="dxa" w:w="756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Immediate danger? Vulnerable person? Access to alleged perpetrator? Medical needs? Required report under supplied law? Safe placement?</w:t>
            </w:r>
          </w:p>
        </w:tc>
      </w:tr>
      <w:tr>
        <w:trPr>
          <w:cantSplit/>
        </w:trPr>
        <w:tc>
          <w:tcPr>
            <w:tcW w:type="dxa" w:w="2376"/>
            <w:tcMar>
              <w:top w:w="100" w:type="dxa"/>
              <w:start w:w="120" w:type="dxa"/>
              <w:bottom w:w="100" w:type="dxa"/>
              <w:end w:w="120" w:type="dxa"/>
            </w:tcMar>
            <w:vAlign w:val="center"/>
          </w:tcPr>
          <w:p>
            <w:pPr>
              <w:spacing w:after="40" w:before="0" w:line="245" w:lineRule="auto"/>
            </w:pPr>
            <w:r>
              <w:rPr>
                <w:rFonts w:ascii="Aptos" w:hAnsi="Aptos" w:eastAsia="Aptos" w:cs="Aptos"/>
                <w:sz w:val="18"/>
              </w:rPr>
              <w:t>Decision-making and function</w:t>
            </w:r>
          </w:p>
        </w:tc>
        <w:tc>
          <w:tcPr>
            <w:tcW w:type="dxa" w:w="7560"/>
            <w:tcMar>
              <w:top w:w="100" w:type="dxa"/>
              <w:start w:w="120" w:type="dxa"/>
              <w:bottom w:w="100" w:type="dxa"/>
              <w:end w:w="120" w:type="dxa"/>
            </w:tcMar>
            <w:vAlign w:val="center"/>
          </w:tcPr>
          <w:p>
            <w:pPr>
              <w:spacing w:after="40" w:before="0" w:line="245" w:lineRule="auto"/>
            </w:pPr>
            <w:r>
              <w:rPr>
                <w:rFonts w:ascii="Aptos" w:hAnsi="Aptos" w:eastAsia="Aptos" w:cs="Aptos"/>
                <w:sz w:val="18"/>
              </w:rPr>
              <w:t>Can the client understand, appreciate, reason, communicate a choice, and care for basic needs?</w:t>
            </w:r>
          </w:p>
        </w:tc>
      </w:tr>
      <w:tr>
        <w:trPr>
          <w:cantSplit/>
        </w:trPr>
        <w:tc>
          <w:tcPr>
            <w:tcW w:type="dxa" w:w="237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Environment and access</w:t>
            </w:r>
          </w:p>
        </w:tc>
        <w:tc>
          <w:tcPr>
            <w:tcW w:type="dxa" w:w="756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Housing, food, transportation, language, disability access, technology, insurance, legal status, caregiving, stigma, and service availability.</w:t>
            </w:r>
          </w:p>
        </w:tc>
      </w:tr>
    </w:tbl>
    <w:p>
      <w:pPr>
        <w:spacing w:after="0"/>
      </w:pPr>
    </w:p>
    <w:p>
      <w:pPr>
        <w:pStyle w:val="Heading1"/>
        <w:keepNext/>
      </w:pPr>
      <w:r>
        <w:rPr>
          <w:rFonts w:ascii="Aptos" w:hAnsi="Aptos" w:eastAsia="Aptos" w:cs="Aptos"/>
        </w:rPr>
        <w:t>3. Suicide and Self-Harm</w:t>
      </w:r>
    </w:p>
    <w:p>
      <w:pPr>
        <w:pStyle w:val="ListBullet"/>
      </w:pPr>
      <w:r>
        <w:rPr>
          <w:rFonts w:ascii="Aptos" w:hAnsi="Aptos" w:eastAsia="Aptos" w:cs="Aptos"/>
        </w:rPr>
        <w:t>Ask directly when the client expresses hopelessness, a wish not to wake up, burdensomeness, unbearable pain, or other warning signs.</w:t>
      </w:r>
    </w:p>
    <w:p>
      <w:pPr>
        <w:pStyle w:val="ListBullet"/>
      </w:pPr>
      <w:r>
        <w:rPr>
          <w:rFonts w:ascii="Aptos" w:hAnsi="Aptos" w:eastAsia="Aptos" w:cs="Aptos"/>
        </w:rPr>
        <w:t>Clarify passive versus active ideation, intent, plan, access to means, preparations, recent behavior, frequency, controllability, triggers, and protective factors.</w:t>
      </w:r>
    </w:p>
    <w:p>
      <w:pPr>
        <w:pStyle w:val="ListBullet"/>
      </w:pPr>
      <w:r>
        <w:rPr>
          <w:rFonts w:ascii="Aptos" w:hAnsi="Aptos" w:eastAsia="Aptos" w:cs="Aptos"/>
        </w:rPr>
        <w:t>Assess prior attempts, nonsuicidal self-injury, substance use, psychosis, agitation, sleep loss, recent loss, pain, and access to highly lethal means.</w:t>
      </w:r>
    </w:p>
    <w:p>
      <w:pPr>
        <w:pStyle w:val="ListBullet"/>
      </w:pPr>
      <w:r>
        <w:rPr>
          <w:rFonts w:ascii="Aptos" w:hAnsi="Aptos" w:eastAsia="Aptos" w:cs="Aptos"/>
        </w:rPr>
        <w:t>Do not assume that every suicidal thought requires hospitalization or that denial of current intent eliminates risk.</w:t>
      </w:r>
    </w:p>
    <w:p>
      <w:pPr>
        <w:pStyle w:val="ListBullet"/>
      </w:pPr>
      <w:r>
        <w:rPr>
          <w:rFonts w:ascii="Aptos" w:hAnsi="Aptos" w:eastAsia="Aptos" w:cs="Aptos"/>
        </w:rPr>
        <w:t>Use a collaborative safety plan and means-safety steps when a less restrictive plan is adequate and feasible.</w:t>
      </w:r>
    </w:p>
    <w:p>
      <w:pPr>
        <w:pStyle w:val="ListBullet"/>
      </w:pPr>
      <w:r>
        <w:rPr>
          <w:rFonts w:ascii="Aptos" w:hAnsi="Aptos" w:eastAsia="Aptos" w:cs="Aptos"/>
        </w:rPr>
        <w:t>Escalate when the person cannot remain safe, is medically unstable, has imminent intent or behavior, or cannot participate in a workable plan.</w:t>
      </w:r>
    </w:p>
    <w:p>
      <w:pPr>
        <w:pStyle w:val="Heading1"/>
        <w:keepNext/>
      </w:pPr>
      <w:r>
        <w:rPr>
          <w:rFonts w:ascii="Aptos" w:hAnsi="Aptos" w:eastAsia="Aptos" w:cs="Aptos"/>
        </w:rPr>
        <w:t>4. Medical, Overdose, Intoxication, and Withdrawal Emergencies</w:t>
      </w:r>
    </w:p>
    <w:tbl>
      <w:tblPr>
        <w:tblStyle w:val="TableGrid"/>
        <w:tblW w:type="auto" w:w="0"/>
        <w:jc w:val="center"/>
        <w:tblLayout w:type="fixed"/>
        <w:tblLook w:firstColumn="1" w:firstRow="1" w:lastColumn="0" w:lastRow="0" w:noHBand="0" w:noVBand="1" w:val="04A0"/>
      </w:tblPr>
      <w:tblGrid>
        <w:gridCol w:w="6120"/>
        <w:gridCol w:w="3816"/>
      </w:tblGrid>
      <w:tr>
        <w:trPr>
          <w:tblHeader w:val="true"/>
          <w:cantSplit/>
        </w:trPr>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Indicators</w:t>
            </w:r>
          </w:p>
        </w:tc>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First Priority</w:t>
            </w:r>
          </w:p>
        </w:tc>
      </w:tr>
      <w:tr>
        <w:trPr>
          <w:cantSplit/>
        </w:trPr>
        <w:tc>
          <w:tcPr>
            <w:tcW w:type="dxa" w:w="6120"/>
            <w:tcMar>
              <w:top w:w="100" w:type="dxa"/>
              <w:start w:w="120" w:type="dxa"/>
              <w:bottom w:w="100" w:type="dxa"/>
              <w:end w:w="120" w:type="dxa"/>
            </w:tcMar>
            <w:vAlign w:val="center"/>
          </w:tcPr>
          <w:p>
            <w:pPr>
              <w:spacing w:after="40" w:before="0" w:line="245" w:lineRule="auto"/>
            </w:pPr>
            <w:r>
              <w:rPr>
                <w:rFonts w:ascii="Aptos" w:hAnsi="Aptos" w:eastAsia="Aptos" w:cs="Aptos"/>
                <w:sz w:val="18"/>
              </w:rPr>
              <w:t>Drowsiness, slurred speech, “handful” of medication, altered consciousness</w:t>
            </w:r>
          </w:p>
        </w:tc>
        <w:tc>
          <w:tcPr>
            <w:tcW w:type="dxa" w:w="3816"/>
            <w:tcMar>
              <w:top w:w="100" w:type="dxa"/>
              <w:start w:w="120" w:type="dxa"/>
              <w:bottom w:w="100" w:type="dxa"/>
              <w:end w:w="120" w:type="dxa"/>
            </w:tcMar>
            <w:vAlign w:val="center"/>
          </w:tcPr>
          <w:p>
            <w:pPr>
              <w:spacing w:after="40" w:before="0" w:line="245" w:lineRule="auto"/>
            </w:pPr>
            <w:r>
              <w:rPr>
                <w:rFonts w:ascii="Aptos" w:hAnsi="Aptos" w:eastAsia="Aptos" w:cs="Aptos"/>
                <w:sz w:val="18"/>
              </w:rPr>
              <w:t>Notify the medical team or emergency responders immediately and continue safety assessment.</w:t>
            </w:r>
          </w:p>
        </w:tc>
      </w:tr>
      <w:tr>
        <w:trPr>
          <w:cantSplit/>
        </w:trPr>
        <w:tc>
          <w:tcPr>
            <w:tcW w:type="dxa" w:w="612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Severe alcohol or sedative withdrawal with confusion, hallucinations, tremor, or autonomic signs</w:t>
            </w:r>
          </w:p>
        </w:tc>
        <w:tc>
          <w:tcPr>
            <w:tcW w:type="dxa" w:w="381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Emergency medical evaluation.</w:t>
            </w:r>
          </w:p>
        </w:tc>
      </w:tr>
      <w:tr>
        <w:trPr>
          <w:cantSplit/>
        </w:trPr>
        <w:tc>
          <w:tcPr>
            <w:tcW w:type="dxa" w:w="6120"/>
            <w:tcMar>
              <w:top w:w="100" w:type="dxa"/>
              <w:start w:w="120" w:type="dxa"/>
              <w:bottom w:w="100" w:type="dxa"/>
              <w:end w:w="120" w:type="dxa"/>
            </w:tcMar>
            <w:vAlign w:val="center"/>
          </w:tcPr>
          <w:p>
            <w:pPr>
              <w:spacing w:after="40" w:before="0" w:line="245" w:lineRule="auto"/>
            </w:pPr>
            <w:r>
              <w:rPr>
                <w:rFonts w:ascii="Aptos" w:hAnsi="Aptos" w:eastAsia="Aptos" w:cs="Aptos"/>
                <w:sz w:val="18"/>
              </w:rPr>
              <w:t>Overheating, chest pain, extreme agitation, severe stimulant intoxication</w:t>
            </w:r>
          </w:p>
        </w:tc>
        <w:tc>
          <w:tcPr>
            <w:tcW w:type="dxa" w:w="3816"/>
            <w:tcMar>
              <w:top w:w="100" w:type="dxa"/>
              <w:start w:w="120" w:type="dxa"/>
              <w:bottom w:w="100" w:type="dxa"/>
              <w:end w:w="120" w:type="dxa"/>
            </w:tcMar>
            <w:vAlign w:val="center"/>
          </w:tcPr>
          <w:p>
            <w:pPr>
              <w:spacing w:after="40" w:before="0" w:line="245" w:lineRule="auto"/>
            </w:pPr>
            <w:r>
              <w:rPr>
                <w:rFonts w:ascii="Aptos" w:hAnsi="Aptos" w:eastAsia="Aptos" w:cs="Aptos"/>
                <w:sz w:val="18"/>
              </w:rPr>
              <w:t>Emergency medical and behavioral safety response.</w:t>
            </w:r>
          </w:p>
        </w:tc>
      </w:tr>
      <w:tr>
        <w:trPr>
          <w:cantSplit/>
        </w:trPr>
        <w:tc>
          <w:tcPr>
            <w:tcW w:type="dxa" w:w="612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Stable nonacute substance concern</w:t>
            </w:r>
          </w:p>
        </w:tc>
        <w:tc>
          <w:tcPr>
            <w:tcW w:type="dxa" w:w="381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Assess pattern, consequences, readiness, supports, and appropriate treatment or referral.</w:t>
            </w:r>
          </w:p>
        </w:tc>
      </w:tr>
    </w:tbl>
    <w:p>
      <w:pPr>
        <w:spacing w:after="0"/>
      </w:pPr>
    </w:p>
    <w:p>
      <w:pPr>
        <w:pStyle w:val="Heading1"/>
        <w:keepNext/>
      </w:pPr>
      <w:r>
        <w:rPr>
          <w:rFonts w:ascii="Aptos" w:hAnsi="Aptos" w:eastAsia="Aptos" w:cs="Aptos"/>
        </w:rPr>
        <w:t>5. Self-Determination, Capacity, and Least Restrictive Care</w:t>
      </w:r>
    </w:p>
    <w:p>
      <w:r>
        <w:rPr>
          <w:rFonts w:ascii="Aptos" w:hAnsi="Aptos" w:eastAsia="Aptos" w:cs="Aptos"/>
          <w:i w:val="0"/>
        </w:rPr>
        <w:t>Self-determination is not the same as automatic agreement with every stated choice. The social worker should assess immediate danger and decision-making ability, provide information and options, address barriers, and avoid coercion when the client can make an informed choice and no overriding duty applies. When confusion, dehydration, severe psychosis, or inability to meet basic needs is present, capacity and medical danger may need urgent evaluation.</w:t>
      </w:r>
    </w:p>
    <w:tbl>
      <w:tblPr>
        <w:tblStyle w:val="TableGrid"/>
        <w:tblW w:type="auto" w:w="0"/>
        <w:jc w:val="center"/>
        <w:tblLayout w:type="fixed"/>
        <w:tblLook w:firstColumn="1" w:firstRow="1" w:lastColumn="0" w:lastRow="0" w:noHBand="0" w:noVBand="1" w:val="04A0"/>
      </w:tblPr>
      <w:tblGrid>
        <w:gridCol w:w="3816"/>
        <w:gridCol w:w="6120"/>
      </w:tblGrid>
      <w:tr>
        <w:trPr>
          <w:tblHeader w:val="true"/>
          <w:cantSplit/>
        </w:trPr>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Exam Trap</w:t>
            </w:r>
          </w:p>
        </w:tc>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Better Reasoning</w:t>
            </w:r>
          </w:p>
        </w:tc>
      </w:tr>
      <w:tr>
        <w:trPr>
          <w:cantSplit/>
        </w:trPr>
        <w:tc>
          <w:tcPr>
            <w:tcW w:type="dxa" w:w="3816"/>
            <w:tcMar>
              <w:top w:w="100" w:type="dxa"/>
              <w:start w:w="120" w:type="dxa"/>
              <w:bottom w:w="100" w:type="dxa"/>
              <w:end w:w="120" w:type="dxa"/>
            </w:tcMar>
            <w:vAlign w:val="center"/>
          </w:tcPr>
          <w:p>
            <w:pPr>
              <w:spacing w:after="40" w:before="0" w:line="245" w:lineRule="auto"/>
            </w:pPr>
            <w:r>
              <w:rPr>
                <w:rFonts w:ascii="Aptos" w:hAnsi="Aptos" w:eastAsia="Aptos" w:cs="Aptos"/>
                <w:sz w:val="18"/>
              </w:rPr>
              <w:t>“The client refused, so the social worker must leave.”</w:t>
            </w:r>
          </w:p>
        </w:tc>
        <w:tc>
          <w:tcPr>
            <w:tcW w:type="dxa" w:w="6120"/>
            <w:tcMar>
              <w:top w:w="100" w:type="dxa"/>
              <w:start w:w="120" w:type="dxa"/>
              <w:bottom w:w="100" w:type="dxa"/>
              <w:end w:w="120" w:type="dxa"/>
            </w:tcMar>
            <w:vAlign w:val="center"/>
          </w:tcPr>
          <w:p>
            <w:pPr>
              <w:spacing w:after="40" w:before="0" w:line="245" w:lineRule="auto"/>
            </w:pPr>
            <w:r>
              <w:rPr>
                <w:rFonts w:ascii="Aptos" w:hAnsi="Aptos" w:eastAsia="Aptos" w:cs="Aptos"/>
                <w:sz w:val="18"/>
              </w:rPr>
              <w:t>Assess capacity, danger, and alternatives; refusal of one service is not abandonment of care.</w:t>
            </w:r>
          </w:p>
        </w:tc>
      </w:tr>
      <w:tr>
        <w:trPr>
          <w:cantSplit/>
        </w:trPr>
        <w:tc>
          <w:tcPr>
            <w:tcW w:type="dxa" w:w="381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“Any suicidal thought requires hospitalization.”</w:t>
            </w:r>
          </w:p>
        </w:tc>
        <w:tc>
          <w:tcPr>
            <w:tcW w:type="dxa" w:w="612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Determine acuity and use the least restrictive safe level of care.</w:t>
            </w:r>
          </w:p>
        </w:tc>
      </w:tr>
      <w:tr>
        <w:trPr>
          <w:cantSplit/>
        </w:trPr>
        <w:tc>
          <w:tcPr>
            <w:tcW w:type="dxa" w:w="3816"/>
            <w:tcMar>
              <w:top w:w="100" w:type="dxa"/>
              <w:start w:w="120" w:type="dxa"/>
              <w:bottom w:w="100" w:type="dxa"/>
              <w:end w:w="120" w:type="dxa"/>
            </w:tcMar>
            <w:vAlign w:val="center"/>
          </w:tcPr>
          <w:p>
            <w:pPr>
              <w:spacing w:after="40" w:before="0" w:line="245" w:lineRule="auto"/>
            </w:pPr>
            <w:r>
              <w:rPr>
                <w:rFonts w:ascii="Aptos" w:hAnsi="Aptos" w:eastAsia="Aptos" w:cs="Aptos"/>
                <w:sz w:val="18"/>
              </w:rPr>
              <w:t>“The professional knows what is best.”</w:t>
            </w:r>
          </w:p>
        </w:tc>
        <w:tc>
          <w:tcPr>
            <w:tcW w:type="dxa" w:w="6120"/>
            <w:tcMar>
              <w:top w:w="100" w:type="dxa"/>
              <w:start w:w="120" w:type="dxa"/>
              <w:bottom w:w="100" w:type="dxa"/>
              <w:end w:w="120" w:type="dxa"/>
            </w:tcMar>
            <w:vAlign w:val="center"/>
          </w:tcPr>
          <w:p>
            <w:pPr>
              <w:spacing w:after="40" w:before="0" w:line="245" w:lineRule="auto"/>
            </w:pPr>
            <w:r>
              <w:rPr>
                <w:rFonts w:ascii="Aptos" w:hAnsi="Aptos" w:eastAsia="Aptos" w:cs="Aptos"/>
                <w:sz w:val="18"/>
              </w:rPr>
              <w:t>Involve the client or client system and preserve choice whenever safely possible.</w:t>
            </w:r>
          </w:p>
        </w:tc>
      </w:tr>
      <w:tr>
        <w:trPr>
          <w:cantSplit/>
        </w:trPr>
        <w:tc>
          <w:tcPr>
            <w:tcW w:type="dxa" w:w="381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“A referral solves the problem.”</w:t>
            </w:r>
          </w:p>
        </w:tc>
        <w:tc>
          <w:tcPr>
            <w:tcW w:type="dxa" w:w="612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Evaluate access, transportation, language, cost, timing, eligibility, and follow-through.</w:t>
            </w:r>
          </w:p>
        </w:tc>
      </w:tr>
    </w:tbl>
    <w:p>
      <w:pPr>
        <w:spacing w:after="0"/>
      </w:pPr>
    </w:p>
    <w:p>
      <w:pPr>
        <w:pStyle w:val="Heading1"/>
        <w:keepNext/>
      </w:pPr>
      <w:r>
        <w:rPr>
          <w:rFonts w:ascii="Aptos" w:hAnsi="Aptos" w:eastAsia="Aptos" w:cs="Aptos"/>
        </w:rPr>
        <w:t>6. Threats and Violence</w:t>
      </w:r>
    </w:p>
    <w:p>
      <w:r>
        <w:rPr>
          <w:rFonts w:ascii="Aptos" w:hAnsi="Aptos" w:eastAsia="Aptos" w:cs="Aptos"/>
          <w:i w:val="0"/>
        </w:rPr>
        <w:t>A statement about wanting someone to “pay” does not automatically establish a specific legal duty or emergency disposition. Clarify target, intent, plan, means, access, history, triggers, psychosis, intoxication, impulsivity, protective factors, and immediacy. When a national question does not provide a jurisdiction, assess first and avoid importing one state’s exact duty-to-protect rule.</w:t>
      </w:r>
    </w:p>
    <w:p>
      <w:pPr>
        <w:pStyle w:val="Heading1"/>
        <w:keepNext/>
      </w:pPr>
      <w:r>
        <w:rPr>
          <w:rFonts w:ascii="Aptos" w:hAnsi="Aptos" w:eastAsia="Aptos" w:cs="Aptos"/>
        </w:rPr>
        <w:t>7. Abuse, Neglect, Exploitation, and Self-Neglect</w:t>
      </w:r>
    </w:p>
    <w:tbl>
      <w:tblPr>
        <w:tblStyle w:val="TableGrid"/>
        <w:tblW w:type="auto" w:w="0"/>
        <w:jc w:val="center"/>
        <w:tblLayout w:type="fixed"/>
        <w:tblLook w:firstColumn="1" w:firstRow="1" w:lastColumn="0" w:lastRow="0" w:noHBand="0" w:noVBand="1" w:val="04A0"/>
      </w:tblPr>
      <w:tblGrid>
        <w:gridCol w:w="3456"/>
        <w:gridCol w:w="6480"/>
      </w:tblGrid>
      <w:tr>
        <w:trPr>
          <w:tblHeader w:val="true"/>
          <w:cantSplit/>
        </w:trPr>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Situation</w:t>
            </w:r>
          </w:p>
        </w:tc>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Best Direction</w:t>
            </w:r>
          </w:p>
        </w:tc>
      </w:tr>
      <w:tr>
        <w:trPr>
          <w:cantSplit/>
        </w:trPr>
        <w:tc>
          <w:tcPr>
            <w:tcW w:type="dxa" w:w="3456"/>
            <w:tcMar>
              <w:top w:w="100" w:type="dxa"/>
              <w:start w:w="120" w:type="dxa"/>
              <w:bottom w:w="100" w:type="dxa"/>
              <w:end w:w="120" w:type="dxa"/>
            </w:tcMar>
            <w:vAlign w:val="center"/>
          </w:tcPr>
          <w:p>
            <w:pPr>
              <w:spacing w:after="40" w:before="0" w:line="245" w:lineRule="auto"/>
            </w:pPr>
            <w:r>
              <w:rPr>
                <w:rFonts w:ascii="Aptos" w:hAnsi="Aptos" w:eastAsia="Aptos" w:cs="Aptos"/>
                <w:sz w:val="18"/>
              </w:rPr>
              <w:t>Suspected child abuse under a supplied reporting law</w:t>
            </w:r>
          </w:p>
        </w:tc>
        <w:tc>
          <w:tcPr>
            <w:tcW w:type="dxa" w:w="6480"/>
            <w:tcMar>
              <w:top w:w="100" w:type="dxa"/>
              <w:start w:w="120" w:type="dxa"/>
              <w:bottom w:w="100" w:type="dxa"/>
              <w:end w:w="120" w:type="dxa"/>
            </w:tcMar>
            <w:vAlign w:val="center"/>
          </w:tcPr>
          <w:p>
            <w:pPr>
              <w:spacing w:after="40" w:before="0" w:line="245" w:lineRule="auto"/>
            </w:pPr>
            <w:r>
              <w:rPr>
                <w:rFonts w:ascii="Aptos" w:hAnsi="Aptos" w:eastAsia="Aptos" w:cs="Aptos"/>
                <w:sz w:val="18"/>
              </w:rPr>
              <w:t>Address immediate safety and follow the jurisdiction’s mandated-reporting procedure without investigating for proof.</w:t>
            </w:r>
          </w:p>
        </w:tc>
      </w:tr>
      <w:tr>
        <w:trPr>
          <w:cantSplit/>
        </w:trPr>
        <w:tc>
          <w:tcPr>
            <w:tcW w:type="dxa" w:w="345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Older adult confusion, dehydration, no food, uncertain medications</w:t>
            </w:r>
          </w:p>
        </w:tc>
        <w:tc>
          <w:tcPr>
            <w:tcW w:type="dxa" w:w="648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Assess capacity and immediate medical danger while activating urgent evaluation.</w:t>
            </w:r>
          </w:p>
        </w:tc>
      </w:tr>
      <w:tr>
        <w:trPr>
          <w:cantSplit/>
        </w:trPr>
        <w:tc>
          <w:tcPr>
            <w:tcW w:type="dxa" w:w="3456"/>
            <w:tcMar>
              <w:top w:w="100" w:type="dxa"/>
              <w:start w:w="120" w:type="dxa"/>
              <w:bottom w:w="100" w:type="dxa"/>
              <w:end w:w="120" w:type="dxa"/>
            </w:tcMar>
            <w:vAlign w:val="center"/>
          </w:tcPr>
          <w:p>
            <w:pPr>
              <w:spacing w:after="40" w:before="0" w:line="245" w:lineRule="auto"/>
            </w:pPr>
            <w:r>
              <w:rPr>
                <w:rFonts w:ascii="Aptos" w:hAnsi="Aptos" w:eastAsia="Aptos" w:cs="Aptos"/>
                <w:sz w:val="18"/>
              </w:rPr>
              <w:t>Possible financial exploitation</w:t>
            </w:r>
          </w:p>
        </w:tc>
        <w:tc>
          <w:tcPr>
            <w:tcW w:type="dxa" w:w="6480"/>
            <w:tcMar>
              <w:top w:w="100" w:type="dxa"/>
              <w:start w:w="120" w:type="dxa"/>
              <w:bottom w:w="100" w:type="dxa"/>
              <w:end w:w="120" w:type="dxa"/>
            </w:tcMar>
            <w:vAlign w:val="center"/>
          </w:tcPr>
          <w:p>
            <w:pPr>
              <w:spacing w:after="40" w:before="0" w:line="245" w:lineRule="auto"/>
            </w:pPr>
            <w:r>
              <w:rPr>
                <w:rFonts w:ascii="Aptos" w:hAnsi="Aptos" w:eastAsia="Aptos" w:cs="Aptos"/>
                <w:sz w:val="18"/>
              </w:rPr>
              <w:t>Assess safety and basic needs, follow applicable reporting law, and connect protective and financial resources.</w:t>
            </w:r>
          </w:p>
        </w:tc>
      </w:tr>
      <w:tr>
        <w:trPr>
          <w:cantSplit/>
        </w:trPr>
        <w:tc>
          <w:tcPr>
            <w:tcW w:type="dxa" w:w="345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Client disclosure with no supplied jurisdiction</w:t>
            </w:r>
          </w:p>
        </w:tc>
        <w:tc>
          <w:tcPr>
            <w:tcW w:type="dxa" w:w="648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Protect safety, clarify the applicable role and law, consult appropriately, and avoid assuming a specific state procedure.</w:t>
            </w:r>
          </w:p>
        </w:tc>
      </w:tr>
    </w:tbl>
    <w:p>
      <w:pPr>
        <w:spacing w:after="0"/>
      </w:pPr>
    </w:p>
    <w:p>
      <w:pPr>
        <w:pStyle w:val="Heading1"/>
        <w:keepNext/>
      </w:pPr>
      <w:r>
        <w:rPr>
          <w:rFonts w:ascii="Aptos" w:hAnsi="Aptos" w:eastAsia="Aptos" w:cs="Aptos"/>
        </w:rPr>
        <w:t>8. Intimate Partner Violence, Stalking, and Sexual Assault</w:t>
      </w:r>
    </w:p>
    <w:p>
      <w:pPr>
        <w:pStyle w:val="ListBullet"/>
      </w:pPr>
      <w:r>
        <w:rPr>
          <w:rFonts w:ascii="Aptos" w:hAnsi="Aptos" w:eastAsia="Aptos" w:cs="Aptos"/>
        </w:rPr>
        <w:t>Assess immediate danger, escalation, threats, strangulation, weapons, stalking, technology monitoring, safe housing, children, pets, and safe communication.</w:t>
      </w:r>
    </w:p>
    <w:p>
      <w:pPr>
        <w:pStyle w:val="ListBullet"/>
      </w:pPr>
      <w:r>
        <w:rPr>
          <w:rFonts w:ascii="Aptos" w:hAnsi="Aptos" w:eastAsia="Aptos" w:cs="Aptos"/>
        </w:rPr>
        <w:t>Support the adult client’s choices while developing a safety response consistent with the client’s decision and applicable law.</w:t>
      </w:r>
    </w:p>
    <w:p>
      <w:pPr>
        <w:pStyle w:val="ListBullet"/>
      </w:pPr>
      <w:r>
        <w:rPr>
          <w:rFonts w:ascii="Aptos" w:hAnsi="Aptos" w:eastAsia="Aptos" w:cs="Aptos"/>
        </w:rPr>
        <w:t>Do not contact or confront the alleged perpetrator, require a police report, or force separation without a legal basis.</w:t>
      </w:r>
    </w:p>
    <w:p>
      <w:pPr>
        <w:pStyle w:val="ListBullet"/>
      </w:pPr>
      <w:r>
        <w:rPr>
          <w:rFonts w:ascii="Aptos" w:hAnsi="Aptos" w:eastAsia="Aptos" w:cs="Aptos"/>
        </w:rPr>
        <w:t>For recent sexual assault, assess immediate safety, medical needs, safe housing, supports, and preferences for advocacy and reporting resources.</w:t>
      </w:r>
    </w:p>
    <w:p>
      <w:pPr>
        <w:pStyle w:val="ListBullet"/>
      </w:pPr>
      <w:r>
        <w:rPr>
          <w:rFonts w:ascii="Aptos" w:hAnsi="Aptos" w:eastAsia="Aptos" w:cs="Aptos"/>
        </w:rPr>
        <w:t>Avoid detailed trauma narration before stabilization and consent.</w:t>
      </w:r>
    </w:p>
    <w:p>
      <w:pPr>
        <w:pStyle w:val="Heading1"/>
        <w:keepNext/>
      </w:pPr>
      <w:r>
        <w:rPr>
          <w:rFonts w:ascii="Aptos" w:hAnsi="Aptos" w:eastAsia="Aptos" w:cs="Aptos"/>
        </w:rPr>
        <w:t>9. Homelessness, Psychosis, and Outreach Triage</w:t>
      </w:r>
    </w:p>
    <w:p>
      <w:r>
        <w:rPr>
          <w:rFonts w:ascii="Aptos" w:hAnsi="Aptos" w:eastAsia="Aptos" w:cs="Aptos"/>
          <w:i w:val="0"/>
        </w:rPr>
        <w:t>When a client is responding to voices, has not eaten, and is sleeping in a dangerous location, assess current danger, medical needs, ability to care for basic needs, substance use, and willingness to accept evaluation. Offer the least restrictive safe options. Refusal of one shelter does not end the social worker’s responsibility to continue engagement, clarify barriers, and offer alternatives.</w:t>
      </w:r>
    </w:p>
    <w:p>
      <w:pPr>
        <w:pStyle w:val="Heading1"/>
        <w:keepNext/>
      </w:pPr>
      <w:r>
        <w:rPr>
          <w:rFonts w:ascii="Aptos" w:hAnsi="Aptos" w:eastAsia="Aptos" w:cs="Aptos"/>
        </w:rPr>
        <w:t>10. Disaster, Displacement, Refugee, and Discrimination Crises</w:t>
      </w:r>
    </w:p>
    <w:tbl>
      <w:tblPr>
        <w:tblStyle w:val="TableGrid"/>
        <w:tblW w:type="auto" w:w="0"/>
        <w:jc w:val="center"/>
        <w:tblLayout w:type="fixed"/>
        <w:tblLook w:firstColumn="1" w:firstRow="1" w:lastColumn="0" w:lastRow="0" w:noHBand="0" w:noVBand="1" w:val="04A0"/>
      </w:tblPr>
      <w:tblGrid>
        <w:gridCol w:w="2880"/>
        <w:gridCol w:w="7056"/>
      </w:tblGrid>
      <w:tr>
        <w:trPr>
          <w:tblHeader w:val="true"/>
          <w:cantSplit/>
        </w:trPr>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Need</w:t>
            </w:r>
          </w:p>
        </w:tc>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Examples</w:t>
            </w:r>
          </w:p>
        </w:tc>
      </w:tr>
      <w:tr>
        <w:trPr>
          <w:cantSplit/>
        </w:trPr>
        <w:tc>
          <w:tcPr>
            <w:tcW w:type="dxa" w:w="2880"/>
            <w:tcMar>
              <w:top w:w="100" w:type="dxa"/>
              <w:start w:w="120" w:type="dxa"/>
              <w:bottom w:w="100" w:type="dxa"/>
              <w:end w:w="120" w:type="dxa"/>
            </w:tcMar>
            <w:vAlign w:val="center"/>
          </w:tcPr>
          <w:p>
            <w:pPr>
              <w:spacing w:after="40" w:before="0" w:line="245" w:lineRule="auto"/>
            </w:pPr>
            <w:r>
              <w:rPr>
                <w:rFonts w:ascii="Aptos" w:hAnsi="Aptos" w:eastAsia="Aptos" w:cs="Aptos"/>
                <w:sz w:val="18"/>
              </w:rPr>
              <w:t>Immediate survival and health</w:t>
            </w:r>
          </w:p>
        </w:tc>
        <w:tc>
          <w:tcPr>
            <w:tcW w:type="dxa" w:w="7056"/>
            <w:tcMar>
              <w:top w:w="100" w:type="dxa"/>
              <w:start w:w="120" w:type="dxa"/>
              <w:bottom w:w="100" w:type="dxa"/>
              <w:end w:w="120" w:type="dxa"/>
            </w:tcMar>
            <w:vAlign w:val="center"/>
          </w:tcPr>
          <w:p>
            <w:pPr>
              <w:spacing w:after="40" w:before="0" w:line="245" w:lineRule="auto"/>
            </w:pPr>
            <w:r>
              <w:rPr>
                <w:rFonts w:ascii="Aptos" w:hAnsi="Aptos" w:eastAsia="Aptos" w:cs="Aptos"/>
                <w:sz w:val="18"/>
              </w:rPr>
              <w:t>Safe shelter, food, medication, medical care, family location, transportation, communication.</w:t>
            </w:r>
          </w:p>
        </w:tc>
      </w:tr>
      <w:tr>
        <w:trPr>
          <w:cantSplit/>
        </w:trPr>
        <w:tc>
          <w:tcPr>
            <w:tcW w:type="dxa" w:w="288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Language and disability access</w:t>
            </w:r>
          </w:p>
        </w:tc>
        <w:tc>
          <w:tcPr>
            <w:tcW w:type="dxa" w:w="705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Qualified interpretation, accessible crisis contacts, written or visual supports, mobility and sensory accommodations.</w:t>
            </w:r>
          </w:p>
        </w:tc>
      </w:tr>
      <w:tr>
        <w:trPr>
          <w:cantSplit/>
        </w:trPr>
        <w:tc>
          <w:tcPr>
            <w:tcW w:type="dxa" w:w="2880"/>
            <w:tcMar>
              <w:top w:w="100" w:type="dxa"/>
              <w:start w:w="120" w:type="dxa"/>
              <w:bottom w:w="100" w:type="dxa"/>
              <w:end w:w="120" w:type="dxa"/>
            </w:tcMar>
            <w:vAlign w:val="center"/>
          </w:tcPr>
          <w:p>
            <w:pPr>
              <w:spacing w:after="40" w:before="0" w:line="245" w:lineRule="auto"/>
            </w:pPr>
            <w:r>
              <w:rPr>
                <w:rFonts w:ascii="Aptos" w:hAnsi="Aptos" w:eastAsia="Aptos" w:cs="Aptos"/>
                <w:sz w:val="18"/>
              </w:rPr>
              <w:t>Legal and social-service coordination</w:t>
            </w:r>
          </w:p>
        </w:tc>
        <w:tc>
          <w:tcPr>
            <w:tcW w:type="dxa" w:w="7056"/>
            <w:tcMar>
              <w:top w:w="100" w:type="dxa"/>
              <w:start w:w="120" w:type="dxa"/>
              <w:bottom w:w="100" w:type="dxa"/>
              <w:end w:w="120" w:type="dxa"/>
            </w:tcMar>
            <w:vAlign w:val="center"/>
          </w:tcPr>
          <w:p>
            <w:pPr>
              <w:spacing w:after="40" w:before="0" w:line="245" w:lineRule="auto"/>
            </w:pPr>
            <w:r>
              <w:rPr>
                <w:rFonts w:ascii="Aptos" w:hAnsi="Aptos" w:eastAsia="Aptos" w:cs="Aptos"/>
                <w:sz w:val="18"/>
              </w:rPr>
              <w:t>Immigration or refugee services, benefits, employment, housing, school, and community supports.</w:t>
            </w:r>
          </w:p>
        </w:tc>
      </w:tr>
      <w:tr>
        <w:trPr>
          <w:cantSplit/>
        </w:trPr>
        <w:tc>
          <w:tcPr>
            <w:tcW w:type="dxa" w:w="288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Trauma-informed follow-up</w:t>
            </w:r>
          </w:p>
        </w:tc>
        <w:tc>
          <w:tcPr>
            <w:tcW w:type="dxa" w:w="705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Stabilization first, then paced assessment and intervention as safety and resources improve.</w:t>
            </w:r>
          </w:p>
        </w:tc>
      </w:tr>
    </w:tbl>
    <w:p>
      <w:pPr>
        <w:spacing w:after="0"/>
      </w:pPr>
    </w:p>
    <w:p>
      <w:pPr>
        <w:pStyle w:val="Heading1"/>
        <w:keepNext/>
      </w:pPr>
      <w:r>
        <w:rPr>
          <w:rFonts w:ascii="Aptos" w:hAnsi="Aptos" w:eastAsia="Aptos" w:cs="Aptos"/>
        </w:rPr>
        <w:t>11. Collaborative Safety Planning</w:t>
      </w:r>
    </w:p>
    <w:tbl>
      <w:tblPr>
        <w:tblStyle w:val="TableGrid"/>
        <w:tblW w:type="auto" w:w="0"/>
        <w:jc w:val="center"/>
        <w:tblLayout w:type="fixed"/>
        <w:tblLook w:firstColumn="1" w:firstRow="1" w:lastColumn="0" w:lastRow="0" w:noHBand="0" w:noVBand="1" w:val="04A0"/>
      </w:tblPr>
      <w:tblGrid>
        <w:gridCol w:w="2880"/>
        <w:gridCol w:w="7056"/>
      </w:tblGrid>
      <w:tr>
        <w:trPr>
          <w:tblHeader w:val="true"/>
          <w:cantSplit/>
        </w:trPr>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Component</w:t>
            </w:r>
          </w:p>
        </w:tc>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Person-in-Environment Check</w:t>
            </w:r>
          </w:p>
        </w:tc>
      </w:tr>
      <w:tr>
        <w:trPr>
          <w:cantSplit/>
        </w:trPr>
        <w:tc>
          <w:tcPr>
            <w:tcW w:type="dxa" w:w="2880"/>
            <w:tcMar>
              <w:top w:w="100" w:type="dxa"/>
              <w:start w:w="120" w:type="dxa"/>
              <w:bottom w:w="100" w:type="dxa"/>
              <w:end w:w="120" w:type="dxa"/>
            </w:tcMar>
            <w:vAlign w:val="center"/>
          </w:tcPr>
          <w:p>
            <w:pPr>
              <w:spacing w:after="40" w:before="0" w:line="245" w:lineRule="auto"/>
            </w:pPr>
            <w:r>
              <w:rPr>
                <w:rFonts w:ascii="Aptos" w:hAnsi="Aptos" w:eastAsia="Aptos" w:cs="Aptos"/>
                <w:sz w:val="18"/>
              </w:rPr>
              <w:t>Warning signs and coping</w:t>
            </w:r>
          </w:p>
        </w:tc>
        <w:tc>
          <w:tcPr>
            <w:tcW w:type="dxa" w:w="7056"/>
            <w:tcMar>
              <w:top w:w="100" w:type="dxa"/>
              <w:start w:w="120" w:type="dxa"/>
              <w:bottom w:w="100" w:type="dxa"/>
              <w:end w:w="120" w:type="dxa"/>
            </w:tcMar>
            <w:vAlign w:val="center"/>
          </w:tcPr>
          <w:p>
            <w:pPr>
              <w:spacing w:after="40" w:before="0" w:line="245" w:lineRule="auto"/>
            </w:pPr>
            <w:r>
              <w:rPr>
                <w:rFonts w:ascii="Aptos" w:hAnsi="Aptos" w:eastAsia="Aptos" w:cs="Aptos"/>
                <w:sz w:val="18"/>
              </w:rPr>
              <w:t>Can the client identify and use them under stress?</w:t>
            </w:r>
          </w:p>
        </w:tc>
      </w:tr>
      <w:tr>
        <w:trPr>
          <w:cantSplit/>
        </w:trPr>
        <w:tc>
          <w:tcPr>
            <w:tcW w:type="dxa" w:w="288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Support people and places</w:t>
            </w:r>
          </w:p>
        </w:tc>
        <w:tc>
          <w:tcPr>
            <w:tcW w:type="dxa" w:w="705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Are they safe, available, culturally acceptable, and not part of the danger?</w:t>
            </w:r>
          </w:p>
        </w:tc>
      </w:tr>
      <w:tr>
        <w:trPr>
          <w:cantSplit/>
        </w:trPr>
        <w:tc>
          <w:tcPr>
            <w:tcW w:type="dxa" w:w="2880"/>
            <w:tcMar>
              <w:top w:w="100" w:type="dxa"/>
              <w:start w:w="120" w:type="dxa"/>
              <w:bottom w:w="100" w:type="dxa"/>
              <w:end w:w="120" w:type="dxa"/>
            </w:tcMar>
            <w:vAlign w:val="center"/>
          </w:tcPr>
          <w:p>
            <w:pPr>
              <w:spacing w:after="40" w:before="0" w:line="245" w:lineRule="auto"/>
            </w:pPr>
            <w:r>
              <w:rPr>
                <w:rFonts w:ascii="Aptos" w:hAnsi="Aptos" w:eastAsia="Aptos" w:cs="Aptos"/>
                <w:sz w:val="18"/>
              </w:rPr>
              <w:t>Professional contacts</w:t>
            </w:r>
          </w:p>
        </w:tc>
        <w:tc>
          <w:tcPr>
            <w:tcW w:type="dxa" w:w="7056"/>
            <w:tcMar>
              <w:top w:w="100" w:type="dxa"/>
              <w:start w:w="120" w:type="dxa"/>
              <w:bottom w:w="100" w:type="dxa"/>
              <w:end w:w="120" w:type="dxa"/>
            </w:tcMar>
            <w:vAlign w:val="center"/>
          </w:tcPr>
          <w:p>
            <w:pPr>
              <w:spacing w:after="40" w:before="0" w:line="245" w:lineRule="auto"/>
            </w:pPr>
            <w:r>
              <w:rPr>
                <w:rFonts w:ascii="Aptos" w:hAnsi="Aptos" w:eastAsia="Aptos" w:cs="Aptos"/>
                <w:sz w:val="18"/>
              </w:rPr>
              <w:t>Are services open, reachable, affordable, language-accessible, and appropriate?</w:t>
            </w:r>
          </w:p>
        </w:tc>
      </w:tr>
      <w:tr>
        <w:trPr>
          <w:cantSplit/>
        </w:trPr>
        <w:tc>
          <w:tcPr>
            <w:tcW w:type="dxa" w:w="288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Means safety</w:t>
            </w:r>
          </w:p>
        </w:tc>
        <w:tc>
          <w:tcPr>
            <w:tcW w:type="dxa" w:w="705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What concrete steps can reduce access to lethal or dangerous means?</w:t>
            </w:r>
          </w:p>
        </w:tc>
      </w:tr>
      <w:tr>
        <w:trPr>
          <w:cantSplit/>
        </w:trPr>
        <w:tc>
          <w:tcPr>
            <w:tcW w:type="dxa" w:w="2880"/>
            <w:tcMar>
              <w:top w:w="100" w:type="dxa"/>
              <w:start w:w="120" w:type="dxa"/>
              <w:bottom w:w="100" w:type="dxa"/>
              <w:end w:w="120" w:type="dxa"/>
            </w:tcMar>
            <w:vAlign w:val="center"/>
          </w:tcPr>
          <w:p>
            <w:pPr>
              <w:spacing w:after="40" w:before="0" w:line="245" w:lineRule="auto"/>
            </w:pPr>
            <w:r>
              <w:rPr>
                <w:rFonts w:ascii="Aptos" w:hAnsi="Aptos" w:eastAsia="Aptos" w:cs="Aptos"/>
                <w:sz w:val="18"/>
              </w:rPr>
              <w:t>Transportation and technology</w:t>
            </w:r>
          </w:p>
        </w:tc>
        <w:tc>
          <w:tcPr>
            <w:tcW w:type="dxa" w:w="7056"/>
            <w:tcMar>
              <w:top w:w="100" w:type="dxa"/>
              <w:start w:w="120" w:type="dxa"/>
              <w:bottom w:w="100" w:type="dxa"/>
              <w:end w:w="120" w:type="dxa"/>
            </w:tcMar>
            <w:vAlign w:val="center"/>
          </w:tcPr>
          <w:p>
            <w:pPr>
              <w:spacing w:after="40" w:before="0" w:line="245" w:lineRule="auto"/>
            </w:pPr>
            <w:r>
              <w:rPr>
                <w:rFonts w:ascii="Aptos" w:hAnsi="Aptos" w:eastAsia="Aptos" w:cs="Aptos"/>
                <w:sz w:val="18"/>
              </w:rPr>
              <w:t>Can the client reach care, charge a phone, access telehealth, or use emergency services?</w:t>
            </w:r>
          </w:p>
        </w:tc>
      </w:tr>
      <w:tr>
        <w:trPr>
          <w:cantSplit/>
        </w:trPr>
        <w:tc>
          <w:tcPr>
            <w:tcW w:type="dxa" w:w="288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Children, caregiving, and pets</w:t>
            </w:r>
          </w:p>
        </w:tc>
        <w:tc>
          <w:tcPr>
            <w:tcW w:type="dxa" w:w="705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What responsibilities might prevent the client from using the plan?</w:t>
            </w:r>
          </w:p>
        </w:tc>
      </w:tr>
      <w:tr>
        <w:trPr>
          <w:cantSplit/>
        </w:trPr>
        <w:tc>
          <w:tcPr>
            <w:tcW w:type="dxa" w:w="2880"/>
            <w:tcMar>
              <w:top w:w="100" w:type="dxa"/>
              <w:start w:w="120" w:type="dxa"/>
              <w:bottom w:w="100" w:type="dxa"/>
              <w:end w:w="120" w:type="dxa"/>
            </w:tcMar>
            <w:vAlign w:val="center"/>
          </w:tcPr>
          <w:p>
            <w:pPr>
              <w:spacing w:after="40" w:before="0" w:line="245" w:lineRule="auto"/>
            </w:pPr>
            <w:r>
              <w:rPr>
                <w:rFonts w:ascii="Aptos" w:hAnsi="Aptos" w:eastAsia="Aptos" w:cs="Aptos"/>
                <w:sz w:val="18"/>
              </w:rPr>
              <w:t>Follow-up</w:t>
            </w:r>
          </w:p>
        </w:tc>
        <w:tc>
          <w:tcPr>
            <w:tcW w:type="dxa" w:w="7056"/>
            <w:tcMar>
              <w:top w:w="100" w:type="dxa"/>
              <w:start w:w="120" w:type="dxa"/>
              <w:bottom w:w="100" w:type="dxa"/>
              <w:end w:w="120" w:type="dxa"/>
            </w:tcMar>
            <w:vAlign w:val="center"/>
          </w:tcPr>
          <w:p>
            <w:pPr>
              <w:spacing w:after="40" w:before="0" w:line="245" w:lineRule="auto"/>
            </w:pPr>
            <w:r>
              <w:rPr>
                <w:rFonts w:ascii="Aptos" w:hAnsi="Aptos" w:eastAsia="Aptos" w:cs="Aptos"/>
                <w:sz w:val="18"/>
              </w:rPr>
              <w:t>Who will confirm connection and reassess risk as circumstances change?</w:t>
            </w:r>
          </w:p>
        </w:tc>
      </w:tr>
    </w:tbl>
    <w:p>
      <w:pPr>
        <w:spacing w:after="0"/>
      </w:pPr>
    </w:p>
    <w:p>
      <w:pPr>
        <w:pStyle w:val="Heading1"/>
        <w:keepNext/>
      </w:pPr>
      <w:r>
        <w:rPr>
          <w:rFonts w:ascii="Aptos" w:hAnsi="Aptos" w:eastAsia="Aptos" w:cs="Aptos"/>
        </w:rPr>
        <w:t>12. Crisis Documentation and Collaboration</w:t>
      </w:r>
    </w:p>
    <w:p>
      <w:pPr>
        <w:pStyle w:val="ListBullet"/>
      </w:pPr>
      <w:r>
        <w:rPr>
          <w:rFonts w:ascii="Aptos" w:hAnsi="Aptos" w:eastAsia="Aptos" w:cs="Aptos"/>
        </w:rPr>
        <w:t>Record direct statements, objective observations, questions asked, responses, collateral information, and changes from baseline.</w:t>
      </w:r>
    </w:p>
    <w:p>
      <w:pPr>
        <w:pStyle w:val="ListBullet"/>
      </w:pPr>
      <w:r>
        <w:rPr>
          <w:rFonts w:ascii="Aptos" w:hAnsi="Aptos" w:eastAsia="Aptos" w:cs="Aptos"/>
        </w:rPr>
        <w:t>Document historical, dynamic, protective, and acute factors and how they support the formulation.</w:t>
      </w:r>
    </w:p>
    <w:p>
      <w:pPr>
        <w:pStyle w:val="ListBullet"/>
      </w:pPr>
      <w:r>
        <w:rPr>
          <w:rFonts w:ascii="Aptos" w:hAnsi="Aptos" w:eastAsia="Aptos" w:cs="Aptos"/>
        </w:rPr>
        <w:t>Record consultation, reports, emergency contacts, medical coordination, crisis-team involvement, and releases or legal bases for disclosure.</w:t>
      </w:r>
    </w:p>
    <w:p>
      <w:pPr>
        <w:pStyle w:val="ListBullet"/>
      </w:pPr>
      <w:r>
        <w:rPr>
          <w:rFonts w:ascii="Aptos" w:hAnsi="Aptos" w:eastAsia="Aptos" w:cs="Aptos"/>
        </w:rPr>
        <w:t>Explain client participation, the rationale for the level of care, barriers addressed, handoff status, and follow-up responsibilities.</w:t>
      </w:r>
    </w:p>
    <w:p>
      <w:pPr>
        <w:pStyle w:val="ListBullet"/>
      </w:pPr>
      <w:r>
        <w:rPr>
          <w:rFonts w:ascii="Aptos" w:hAnsi="Aptos" w:eastAsia="Aptos" w:cs="Aptos"/>
        </w:rPr>
        <w:t>Do not document conclusory labels without the facts that support them.</w:t>
      </w:r>
    </w:p>
    <w:p>
      <w:pPr>
        <w:pStyle w:val="Heading1"/>
        <w:keepNext/>
      </w:pPr>
      <w:r>
        <w:rPr>
          <w:rFonts w:ascii="Aptos" w:hAnsi="Aptos" w:eastAsia="Aptos" w:cs="Aptos"/>
        </w:rPr>
        <w:t>Common Exam Traps</w:t>
      </w:r>
    </w:p>
    <w:tbl>
      <w:tblPr>
        <w:tblStyle w:val="TableGrid"/>
        <w:tblW w:type="auto" w:w="0"/>
        <w:jc w:val="center"/>
        <w:tblLayout w:type="fixed"/>
        <w:tblLook w:firstColumn="1" w:firstRow="1" w:lastColumn="0" w:lastRow="0" w:noHBand="0" w:noVBand="1" w:val="04A0"/>
      </w:tblPr>
      <w:tblGrid>
        <w:gridCol w:w="3744"/>
        <w:gridCol w:w="6192"/>
      </w:tblGrid>
      <w:tr>
        <w:trPr>
          <w:tblHeader w:val="true"/>
          <w:cantSplit/>
        </w:trPr>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Trap</w:t>
            </w:r>
          </w:p>
        </w:tc>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Correction</w:t>
            </w:r>
          </w:p>
        </w:tc>
      </w:tr>
      <w:tr>
        <w:trPr>
          <w:cantSplit/>
        </w:trPr>
        <w:tc>
          <w:tcPr>
            <w:tcW w:type="dxa" w:w="3744"/>
            <w:tcMar>
              <w:top w:w="100" w:type="dxa"/>
              <w:start w:w="120" w:type="dxa"/>
              <w:bottom w:w="100" w:type="dxa"/>
              <w:end w:w="120" w:type="dxa"/>
            </w:tcMar>
            <w:vAlign w:val="center"/>
          </w:tcPr>
          <w:p>
            <w:pPr>
              <w:spacing w:after="40" w:before="0" w:line="245" w:lineRule="auto"/>
            </w:pPr>
            <w:r>
              <w:rPr>
                <w:rFonts w:ascii="Aptos" w:hAnsi="Aptos" w:eastAsia="Aptos" w:cs="Aptos"/>
                <w:sz w:val="18"/>
              </w:rPr>
              <w:t>Addressing housing before possible suicide risk</w:t>
            </w:r>
          </w:p>
        </w:tc>
        <w:tc>
          <w:tcPr>
            <w:tcW w:type="dxa" w:w="6192"/>
            <w:tcMar>
              <w:top w:w="100" w:type="dxa"/>
              <w:start w:w="120" w:type="dxa"/>
              <w:bottom w:w="100" w:type="dxa"/>
              <w:end w:w="120" w:type="dxa"/>
            </w:tcMar>
            <w:vAlign w:val="center"/>
          </w:tcPr>
          <w:p>
            <w:pPr>
              <w:spacing w:after="40" w:before="0" w:line="245" w:lineRule="auto"/>
            </w:pPr>
            <w:r>
              <w:rPr>
                <w:rFonts w:ascii="Aptos" w:hAnsi="Aptos" w:eastAsia="Aptos" w:cs="Aptos"/>
                <w:sz w:val="18"/>
              </w:rPr>
              <w:t>Assess immediate safety first, then address housing within the plan.</w:t>
            </w:r>
          </w:p>
        </w:tc>
      </w:tr>
      <w:tr>
        <w:trPr>
          <w:cantSplit/>
        </w:trPr>
        <w:tc>
          <w:tcPr>
            <w:tcW w:type="dxa" w:w="3744"/>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Ignoring medical instability</w:t>
            </w:r>
          </w:p>
        </w:tc>
        <w:tc>
          <w:tcPr>
            <w:tcW w:type="dxa" w:w="6192"/>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Emergency medical response can precede psychosocial intervention.</w:t>
            </w:r>
          </w:p>
        </w:tc>
      </w:tr>
      <w:tr>
        <w:trPr>
          <w:cantSplit/>
        </w:trPr>
        <w:tc>
          <w:tcPr>
            <w:tcW w:type="dxa" w:w="3744"/>
            <w:tcMar>
              <w:top w:w="100" w:type="dxa"/>
              <w:start w:w="120" w:type="dxa"/>
              <w:bottom w:w="100" w:type="dxa"/>
              <w:end w:w="120" w:type="dxa"/>
            </w:tcMar>
            <w:vAlign w:val="center"/>
          </w:tcPr>
          <w:p>
            <w:pPr>
              <w:spacing w:after="40" w:before="0" w:line="245" w:lineRule="auto"/>
            </w:pPr>
            <w:r>
              <w:rPr>
                <w:rFonts w:ascii="Aptos" w:hAnsi="Aptos" w:eastAsia="Aptos" w:cs="Aptos"/>
                <w:sz w:val="18"/>
              </w:rPr>
              <w:t>Overriding an adult IPV survivor’s choice</w:t>
            </w:r>
          </w:p>
        </w:tc>
        <w:tc>
          <w:tcPr>
            <w:tcW w:type="dxa" w:w="6192"/>
            <w:tcMar>
              <w:top w:w="100" w:type="dxa"/>
              <w:start w:w="120" w:type="dxa"/>
              <w:bottom w:w="100" w:type="dxa"/>
              <w:end w:w="120" w:type="dxa"/>
            </w:tcMar>
            <w:vAlign w:val="center"/>
          </w:tcPr>
          <w:p>
            <w:pPr>
              <w:spacing w:after="40" w:before="0" w:line="245" w:lineRule="auto"/>
            </w:pPr>
            <w:r>
              <w:rPr>
                <w:rFonts w:ascii="Aptos" w:hAnsi="Aptos" w:eastAsia="Aptos" w:cs="Aptos"/>
                <w:sz w:val="18"/>
              </w:rPr>
              <w:t>Assess danger and develop a safety plan consistent with the client’s decision.</w:t>
            </w:r>
          </w:p>
        </w:tc>
      </w:tr>
      <w:tr>
        <w:trPr>
          <w:cantSplit/>
        </w:trPr>
        <w:tc>
          <w:tcPr>
            <w:tcW w:type="dxa" w:w="3744"/>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Assuming a refusal ends services</w:t>
            </w:r>
          </w:p>
        </w:tc>
        <w:tc>
          <w:tcPr>
            <w:tcW w:type="dxa" w:w="6192"/>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Clarify capacity, danger, barriers, and alternative options.</w:t>
            </w:r>
          </w:p>
        </w:tc>
      </w:tr>
      <w:tr>
        <w:trPr>
          <w:cantSplit/>
        </w:trPr>
        <w:tc>
          <w:tcPr>
            <w:tcW w:type="dxa" w:w="3744"/>
            <w:tcMar>
              <w:top w:w="100" w:type="dxa"/>
              <w:start w:w="120" w:type="dxa"/>
              <w:bottom w:w="100" w:type="dxa"/>
              <w:end w:w="120" w:type="dxa"/>
            </w:tcMar>
            <w:vAlign w:val="center"/>
          </w:tcPr>
          <w:p>
            <w:pPr>
              <w:spacing w:after="40" w:before="0" w:line="245" w:lineRule="auto"/>
            </w:pPr>
            <w:r>
              <w:rPr>
                <w:rFonts w:ascii="Aptos" w:hAnsi="Aptos" w:eastAsia="Aptos" w:cs="Aptos"/>
                <w:sz w:val="18"/>
              </w:rPr>
              <w:t>Importing California law into a national item</w:t>
            </w:r>
          </w:p>
        </w:tc>
        <w:tc>
          <w:tcPr>
            <w:tcW w:type="dxa" w:w="6192"/>
            <w:tcMar>
              <w:top w:w="100" w:type="dxa"/>
              <w:start w:w="120" w:type="dxa"/>
              <w:bottom w:w="100" w:type="dxa"/>
              <w:end w:w="120" w:type="dxa"/>
            </w:tcMar>
            <w:vAlign w:val="center"/>
          </w:tcPr>
          <w:p>
            <w:pPr>
              <w:spacing w:after="40" w:before="0" w:line="245" w:lineRule="auto"/>
            </w:pPr>
            <w:r>
              <w:rPr>
                <w:rFonts w:ascii="Aptos" w:hAnsi="Aptos" w:eastAsia="Aptos" w:cs="Aptos"/>
                <w:sz w:val="18"/>
              </w:rPr>
              <w:t>Use the law supplied in the question or jurisdiction-neutral ethical reasoning.</w:t>
            </w:r>
          </w:p>
        </w:tc>
      </w:tr>
      <w:tr>
        <w:trPr>
          <w:cantSplit/>
        </w:trPr>
        <w:tc>
          <w:tcPr>
            <w:tcW w:type="dxa" w:w="3744"/>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Generic referral without access planning</w:t>
            </w:r>
          </w:p>
        </w:tc>
        <w:tc>
          <w:tcPr>
            <w:tcW w:type="dxa" w:w="6192"/>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Address transportation, language, cost, timing, eligibility, and follow-up.</w:t>
            </w:r>
          </w:p>
        </w:tc>
      </w:tr>
    </w:tbl>
    <w:p>
      <w:pPr>
        <w:spacing w:after="0"/>
      </w:pPr>
    </w:p>
    <w:p>
      <w:pPr>
        <w:pStyle w:val="Heading1"/>
        <w:keepNext/>
      </w:pPr>
      <w:r>
        <w:rPr>
          <w:rFonts w:ascii="Aptos" w:hAnsi="Aptos" w:eastAsia="Aptos" w:cs="Aptos"/>
        </w:rPr>
        <w:t>Memory Aid: SAFE + REAL</w:t>
      </w:r>
    </w:p>
    <w:tbl>
      <w:tblPr>
        <w:tblStyle w:val="TableGrid"/>
        <w:tblW w:type="auto" w:w="0"/>
        <w:jc w:val="center"/>
        <w:tblLayout w:type="fixed"/>
        <w:tblLook w:firstColumn="1" w:firstRow="1" w:lastColumn="0" w:lastRow="0" w:noHBand="0" w:noVBand="1" w:val="04A0"/>
      </w:tblPr>
      <w:tblGrid>
        <w:gridCol w:w="1152"/>
        <w:gridCol w:w="8784"/>
      </w:tblGrid>
      <w:tr>
        <w:trPr>
          <w:tblHeader w:val="true"/>
          <w:cantSplit/>
        </w:trPr>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Letter</w:t>
            </w:r>
          </w:p>
        </w:tc>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Meaning</w:t>
            </w:r>
          </w:p>
        </w:tc>
      </w:tr>
      <w:tr>
        <w:trPr>
          <w:cantSplit/>
        </w:trPr>
        <w:tc>
          <w:tcPr>
            <w:tcW w:type="dxa" w:w="1152"/>
            <w:tcMar>
              <w:top w:w="100" w:type="dxa"/>
              <w:start w:w="120" w:type="dxa"/>
              <w:bottom w:w="100" w:type="dxa"/>
              <w:end w:w="120" w:type="dxa"/>
            </w:tcMar>
            <w:vAlign w:val="center"/>
          </w:tcPr>
          <w:p>
            <w:pPr>
              <w:spacing w:after="40" w:before="0" w:line="245" w:lineRule="auto"/>
            </w:pPr>
            <w:r>
              <w:rPr>
                <w:rFonts w:ascii="Aptos" w:hAnsi="Aptos" w:eastAsia="Aptos" w:cs="Aptos"/>
                <w:sz w:val="18"/>
              </w:rPr>
              <w:t>S</w:t>
            </w:r>
          </w:p>
        </w:tc>
        <w:tc>
          <w:tcPr>
            <w:tcW w:type="dxa" w:w="8784"/>
            <w:tcMar>
              <w:top w:w="100" w:type="dxa"/>
              <w:start w:w="120" w:type="dxa"/>
              <w:bottom w:w="100" w:type="dxa"/>
              <w:end w:w="120" w:type="dxa"/>
            </w:tcMar>
            <w:vAlign w:val="center"/>
          </w:tcPr>
          <w:p>
            <w:pPr>
              <w:spacing w:after="40" w:before="0" w:line="245" w:lineRule="auto"/>
            </w:pPr>
            <w:r>
              <w:rPr>
                <w:rFonts w:ascii="Aptos" w:hAnsi="Aptos" w:eastAsia="Aptos" w:cs="Aptos"/>
                <w:sz w:val="18"/>
              </w:rPr>
              <w:t>Stabilize immediate danger and medical instability.</w:t>
            </w:r>
          </w:p>
        </w:tc>
      </w:tr>
      <w:tr>
        <w:trPr>
          <w:cantSplit/>
        </w:trPr>
        <w:tc>
          <w:tcPr>
            <w:tcW w:type="dxa" w:w="1152"/>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A</w:t>
            </w:r>
          </w:p>
        </w:tc>
        <w:tc>
          <w:tcPr>
            <w:tcW w:type="dxa" w:w="8784"/>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Assess directly and specifically.</w:t>
            </w:r>
          </w:p>
        </w:tc>
      </w:tr>
      <w:tr>
        <w:trPr>
          <w:cantSplit/>
        </w:trPr>
        <w:tc>
          <w:tcPr>
            <w:tcW w:type="dxa" w:w="1152"/>
            <w:tcMar>
              <w:top w:w="100" w:type="dxa"/>
              <w:start w:w="120" w:type="dxa"/>
              <w:bottom w:w="100" w:type="dxa"/>
              <w:end w:w="120" w:type="dxa"/>
            </w:tcMar>
            <w:vAlign w:val="center"/>
          </w:tcPr>
          <w:p>
            <w:pPr>
              <w:spacing w:after="40" w:before="0" w:line="245" w:lineRule="auto"/>
            </w:pPr>
            <w:r>
              <w:rPr>
                <w:rFonts w:ascii="Aptos" w:hAnsi="Aptos" w:eastAsia="Aptos" w:cs="Aptos"/>
                <w:sz w:val="18"/>
              </w:rPr>
              <w:t>F</w:t>
            </w:r>
          </w:p>
        </w:tc>
        <w:tc>
          <w:tcPr>
            <w:tcW w:type="dxa" w:w="8784"/>
            <w:tcMar>
              <w:top w:w="100" w:type="dxa"/>
              <w:start w:w="120" w:type="dxa"/>
              <w:bottom w:w="100" w:type="dxa"/>
              <w:end w:w="120" w:type="dxa"/>
            </w:tcMar>
            <w:vAlign w:val="center"/>
          </w:tcPr>
          <w:p>
            <w:pPr>
              <w:spacing w:after="40" w:before="0" w:line="245" w:lineRule="auto"/>
            </w:pPr>
            <w:r>
              <w:rPr>
                <w:rFonts w:ascii="Aptos" w:hAnsi="Aptos" w:eastAsia="Aptos" w:cs="Aptos"/>
                <w:sz w:val="18"/>
              </w:rPr>
              <w:t>Formulate risk in person-in-environment context.</w:t>
            </w:r>
          </w:p>
        </w:tc>
      </w:tr>
      <w:tr>
        <w:trPr>
          <w:cantSplit/>
        </w:trPr>
        <w:tc>
          <w:tcPr>
            <w:tcW w:type="dxa" w:w="1152"/>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E</w:t>
            </w:r>
          </w:p>
        </w:tc>
        <w:tc>
          <w:tcPr>
            <w:tcW w:type="dxa" w:w="8784"/>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Execute the least restrictive safe response.</w:t>
            </w:r>
          </w:p>
        </w:tc>
      </w:tr>
      <w:tr>
        <w:trPr>
          <w:cantSplit/>
        </w:trPr>
        <w:tc>
          <w:tcPr>
            <w:tcW w:type="dxa" w:w="1152"/>
            <w:tcMar>
              <w:top w:w="100" w:type="dxa"/>
              <w:start w:w="120" w:type="dxa"/>
              <w:bottom w:w="100" w:type="dxa"/>
              <w:end w:w="120" w:type="dxa"/>
            </w:tcMar>
            <w:vAlign w:val="center"/>
          </w:tcPr>
          <w:p>
            <w:pPr>
              <w:spacing w:after="40" w:before="0" w:line="245" w:lineRule="auto"/>
            </w:pPr>
            <w:r>
              <w:rPr>
                <w:rFonts w:ascii="Aptos" w:hAnsi="Aptos" w:eastAsia="Aptos" w:cs="Aptos"/>
                <w:sz w:val="18"/>
              </w:rPr>
              <w:t>R</w:t>
            </w:r>
          </w:p>
        </w:tc>
        <w:tc>
          <w:tcPr>
            <w:tcW w:type="dxa" w:w="8784"/>
            <w:tcMar>
              <w:top w:w="100" w:type="dxa"/>
              <w:start w:w="120" w:type="dxa"/>
              <w:bottom w:w="100" w:type="dxa"/>
              <w:end w:w="120" w:type="dxa"/>
            </w:tcMar>
            <w:vAlign w:val="center"/>
          </w:tcPr>
          <w:p>
            <w:pPr>
              <w:spacing w:after="40" w:before="0" w:line="245" w:lineRule="auto"/>
            </w:pPr>
            <w:r>
              <w:rPr>
                <w:rFonts w:ascii="Aptos" w:hAnsi="Aptos" w:eastAsia="Aptos" w:cs="Aptos"/>
                <w:sz w:val="18"/>
              </w:rPr>
              <w:t>Resources are reachable and appropriate.</w:t>
            </w:r>
          </w:p>
        </w:tc>
      </w:tr>
      <w:tr>
        <w:trPr>
          <w:cantSplit/>
        </w:trPr>
        <w:tc>
          <w:tcPr>
            <w:tcW w:type="dxa" w:w="1152"/>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E</w:t>
            </w:r>
          </w:p>
        </w:tc>
        <w:tc>
          <w:tcPr>
            <w:tcW w:type="dxa" w:w="8784"/>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Engage the client or client system in the plan.</w:t>
            </w:r>
          </w:p>
        </w:tc>
      </w:tr>
      <w:tr>
        <w:trPr>
          <w:cantSplit/>
        </w:trPr>
        <w:tc>
          <w:tcPr>
            <w:tcW w:type="dxa" w:w="1152"/>
            <w:tcMar>
              <w:top w:w="100" w:type="dxa"/>
              <w:start w:w="120" w:type="dxa"/>
              <w:bottom w:w="100" w:type="dxa"/>
              <w:end w:w="120" w:type="dxa"/>
            </w:tcMar>
            <w:vAlign w:val="center"/>
          </w:tcPr>
          <w:p>
            <w:pPr>
              <w:spacing w:after="40" w:before="0" w:line="245" w:lineRule="auto"/>
            </w:pPr>
            <w:r>
              <w:rPr>
                <w:rFonts w:ascii="Aptos" w:hAnsi="Aptos" w:eastAsia="Aptos" w:cs="Aptos"/>
                <w:sz w:val="18"/>
              </w:rPr>
              <w:t>A</w:t>
            </w:r>
          </w:p>
        </w:tc>
        <w:tc>
          <w:tcPr>
            <w:tcW w:type="dxa" w:w="8784"/>
            <w:tcMar>
              <w:top w:w="100" w:type="dxa"/>
              <w:start w:w="120" w:type="dxa"/>
              <w:bottom w:w="100" w:type="dxa"/>
              <w:end w:w="120" w:type="dxa"/>
            </w:tcMar>
            <w:vAlign w:val="center"/>
          </w:tcPr>
          <w:p>
            <w:pPr>
              <w:spacing w:after="40" w:before="0" w:line="245" w:lineRule="auto"/>
            </w:pPr>
            <w:r>
              <w:rPr>
                <w:rFonts w:ascii="Aptos" w:hAnsi="Aptos" w:eastAsia="Aptos" w:cs="Aptos"/>
                <w:sz w:val="18"/>
              </w:rPr>
              <w:t>Address access, language, disability, cost, and transportation.</w:t>
            </w:r>
          </w:p>
        </w:tc>
      </w:tr>
      <w:tr>
        <w:trPr>
          <w:cantSplit/>
        </w:trPr>
        <w:tc>
          <w:tcPr>
            <w:tcW w:type="dxa" w:w="1152"/>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L</w:t>
            </w:r>
          </w:p>
        </w:tc>
        <w:tc>
          <w:tcPr>
            <w:tcW w:type="dxa" w:w="8784"/>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Link, follow up, and reassess.</w:t>
            </w:r>
          </w:p>
        </w:tc>
      </w:tr>
    </w:tbl>
    <w:p>
      <w:pPr>
        <w:spacing w:after="0"/>
      </w:pPr>
    </w:p>
    <w:p>
      <w:pPr>
        <w:pStyle w:val="Heading1"/>
        <w:keepNext/>
      </w:pPr>
      <w:r>
        <w:rPr>
          <w:rFonts w:ascii="Aptos" w:hAnsi="Aptos" w:eastAsia="Aptos" w:cs="Aptos"/>
        </w:rPr>
        <w:t>Worked Example 1: Housing Loss and Passive Death Wish</w:t>
      </w:r>
    </w:p>
    <w:p>
      <w:r>
        <w:rPr>
          <w:rFonts w:ascii="Aptos" w:hAnsi="Aptos" w:eastAsia="Aptos" w:cs="Aptos"/>
          <w:i w:val="0"/>
        </w:rPr>
        <w:t>A client who recently lost housing says, “I cannot do this anymore. I wish I would not wake up.” Housing assistance is important, but the statement also requires direct suicide assessment before the social worker can determine the safest disposition.</w:t>
      </w:r>
    </w:p>
    <w:tbl>
      <w:tblPr>
        <w:tblW w:type="auto" w:w="0"/>
        <w:jc w:val="center"/>
        <w:tblLayout w:type="fixed"/>
        <w:tblLook w:firstColumn="1" w:firstRow="1" w:lastColumn="0" w:lastRow="0" w:noHBand="0" w:noVBand="1" w:val="04A0"/>
      </w:tblPr>
      <w:tblGrid>
        <w:gridCol w:w="9936"/>
      </w:tblGrid>
      <w:tr>
        <w:trPr>
          <w:cantSplit/>
        </w:trPr>
        <w:tc>
          <w:tcPr>
            <w:tcW w:type="dxa" w:w="10080"/>
            <w:shd w:fill="EEF6F8"/>
            <w:tcMar>
              <w:top w:w="120" w:type="dxa"/>
              <w:start w:w="140" w:type="dxa"/>
              <w:bottom w:w="120" w:type="dxa"/>
              <w:end w:w="140" w:type="dxa"/>
            </w:tcMar>
            <w:vAlign w:val="center"/>
          </w:tcPr>
          <w:p>
            <w:pPr>
              <w:spacing w:after="0" w:before="0" w:line="252" w:lineRule="auto"/>
            </w:pPr>
            <w:r>
              <w:rPr>
                <w:rFonts w:ascii="Aptos" w:hAnsi="Aptos" w:eastAsia="Aptos" w:cs="Aptos"/>
                <w:b/>
                <w:i w:val="0"/>
                <w:color w:val="0F7C82"/>
                <w:sz w:val="19"/>
              </w:rPr>
              <w:t>Best First Step</w:t>
            </w:r>
          </w:p>
          <w:p>
            <w:pPr>
              <w:spacing w:after="0" w:before="0" w:line="252" w:lineRule="auto"/>
            </w:pPr>
            <w:r>
              <w:rPr>
                <w:rFonts w:ascii="Aptos" w:hAnsi="Aptos" w:eastAsia="Aptos" w:cs="Aptos"/>
                <w:sz w:val="19"/>
              </w:rPr>
              <w:t>Ask directly about suicidal thoughts, intent, plan, access to means, recent behavior, and protective factors. Then integrate housing and other environmental needs into the safety and service plan.</w:t>
            </w:r>
          </w:p>
        </w:tc>
      </w:tr>
    </w:tbl>
    <w:p>
      <w:pPr>
        <w:spacing w:after="0"/>
      </w:pPr>
    </w:p>
    <w:p>
      <w:pPr>
        <w:pStyle w:val="Heading1"/>
        <w:keepNext/>
      </w:pPr>
      <w:r>
        <w:rPr>
          <w:rFonts w:ascii="Aptos" w:hAnsi="Aptos" w:eastAsia="Aptos" w:cs="Aptos"/>
        </w:rPr>
        <w:t>Worked Example 2: Older Adult Refusing Help</w:t>
      </w:r>
    </w:p>
    <w:p>
      <w:r>
        <w:rPr>
          <w:rFonts w:ascii="Aptos" w:hAnsi="Aptos" w:eastAsia="Aptos" w:cs="Aptos"/>
          <w:i w:val="0"/>
        </w:rPr>
        <w:t>An older adult is confused, dehydrated, without food, and unable to describe medication use, yet refuses to leave the apartment. The refusal does not end the assessment because decision-making ability and immediate medical danger are uncertain.</w:t>
      </w:r>
    </w:p>
    <w:tbl>
      <w:tblPr>
        <w:tblW w:type="auto" w:w="0"/>
        <w:jc w:val="center"/>
        <w:tblLayout w:type="fixed"/>
        <w:tblLook w:firstColumn="1" w:firstRow="1" w:lastColumn="0" w:lastRow="0" w:noHBand="0" w:noVBand="1" w:val="04A0"/>
      </w:tblPr>
      <w:tblGrid>
        <w:gridCol w:w="9936"/>
      </w:tblGrid>
      <w:tr>
        <w:trPr>
          <w:cantSplit/>
        </w:trPr>
        <w:tc>
          <w:tcPr>
            <w:tcW w:type="dxa" w:w="10080"/>
            <w:shd w:fill="EEF6F8"/>
            <w:tcMar>
              <w:top w:w="120" w:type="dxa"/>
              <w:start w:w="140" w:type="dxa"/>
              <w:bottom w:w="120" w:type="dxa"/>
              <w:end w:w="140" w:type="dxa"/>
            </w:tcMar>
            <w:vAlign w:val="center"/>
          </w:tcPr>
          <w:p>
            <w:pPr>
              <w:spacing w:after="0" w:before="0" w:line="252" w:lineRule="auto"/>
            </w:pPr>
            <w:r>
              <w:rPr>
                <w:rFonts w:ascii="Aptos" w:hAnsi="Aptos" w:eastAsia="Aptos" w:cs="Aptos"/>
                <w:b/>
                <w:i w:val="0"/>
                <w:color w:val="0F7C82"/>
                <w:sz w:val="19"/>
              </w:rPr>
              <w:t>Best First Step</w:t>
            </w:r>
          </w:p>
          <w:p>
            <w:pPr>
              <w:spacing w:after="0" w:before="0" w:line="252" w:lineRule="auto"/>
            </w:pPr>
            <w:r>
              <w:rPr>
                <w:rFonts w:ascii="Aptos" w:hAnsi="Aptos" w:eastAsia="Aptos" w:cs="Aptos"/>
                <w:sz w:val="19"/>
              </w:rPr>
              <w:t>Assess capacity and immediate medical risk while activating urgent medical or emergency evaluation. Long-term placement decisions follow stabilization.</w:t>
            </w:r>
          </w:p>
        </w:tc>
      </w:tr>
    </w:tbl>
    <w:p>
      <w:pPr>
        <w:spacing w:after="0"/>
      </w:pPr>
    </w:p>
    <w:p>
      <w:pPr>
        <w:pStyle w:val="Heading1"/>
        <w:keepNext/>
      </w:pPr>
      <w:r>
        <w:rPr>
          <w:rFonts w:ascii="Aptos" w:hAnsi="Aptos" w:eastAsia="Aptos" w:cs="Aptos"/>
        </w:rPr>
        <w:t>Crisis and Access Worksheet</w:t>
      </w:r>
    </w:p>
    <w:tbl>
      <w:tblPr>
        <w:tblStyle w:val="TableGrid"/>
        <w:tblW w:type="auto" w:w="0"/>
        <w:jc w:val="center"/>
        <w:tblLayout w:type="fixed"/>
        <w:tblLook w:firstColumn="1" w:firstRow="1" w:lastColumn="0" w:lastRow="0" w:noHBand="0" w:noVBand="1" w:val="04A0"/>
      </w:tblPr>
      <w:tblGrid>
        <w:gridCol w:w="4896"/>
        <w:gridCol w:w="5040"/>
      </w:tblGrid>
      <w:tr>
        <w:trPr>
          <w:tblHeader w:val="true"/>
          <w:cantSplit/>
        </w:trPr>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Prompt</w:t>
            </w:r>
          </w:p>
        </w:tc>
        <w:tc>
          <w:tcPr>
            <w:tcW w:type="dxa" w:w="504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Notes</w:t>
            </w:r>
          </w:p>
        </w:tc>
      </w:tr>
      <w:tr>
        <w:trPr>
          <w:cantSplit/>
        </w:trPr>
        <w:tc>
          <w:tcPr>
            <w:tcW w:type="dxa" w:w="4896"/>
            <w:tcMar>
              <w:top w:w="100" w:type="dxa"/>
              <w:start w:w="120" w:type="dxa"/>
              <w:bottom w:w="100" w:type="dxa"/>
              <w:end w:w="120" w:type="dxa"/>
            </w:tcMar>
            <w:vAlign w:val="center"/>
          </w:tcPr>
          <w:p>
            <w:pPr>
              <w:spacing w:after="40" w:before="0" w:line="245" w:lineRule="auto"/>
            </w:pPr>
            <w:r>
              <w:rPr>
                <w:rFonts w:ascii="Aptos" w:hAnsi="Aptos" w:eastAsia="Aptos" w:cs="Aptos"/>
                <w:sz w:val="18"/>
              </w:rPr>
              <w:t>Immediate safety and medical stability</w:t>
            </w:r>
          </w:p>
        </w:tc>
        <w:tc>
          <w:tcPr>
            <w:tcW w:type="dxa" w:w="5040"/>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r>
        <w:trPr>
          <w:cantSplit/>
        </w:trPr>
        <w:tc>
          <w:tcPr>
            <w:tcW w:type="dxa" w:w="489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Direct risk questions and responses</w:t>
            </w:r>
          </w:p>
        </w:tc>
        <w:tc>
          <w:tcPr>
            <w:tcW w:type="dxa" w:w="504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r>
      <w:tr>
        <w:trPr>
          <w:cantSplit/>
        </w:trPr>
        <w:tc>
          <w:tcPr>
            <w:tcW w:type="dxa" w:w="4896"/>
            <w:tcMar>
              <w:top w:w="100" w:type="dxa"/>
              <w:start w:w="120" w:type="dxa"/>
              <w:bottom w:w="100" w:type="dxa"/>
              <w:end w:w="120" w:type="dxa"/>
            </w:tcMar>
            <w:vAlign w:val="center"/>
          </w:tcPr>
          <w:p>
            <w:pPr>
              <w:spacing w:after="40" w:before="0" w:line="245" w:lineRule="auto"/>
            </w:pPr>
            <w:r>
              <w:rPr>
                <w:rFonts w:ascii="Aptos" w:hAnsi="Aptos" w:eastAsia="Aptos" w:cs="Aptos"/>
                <w:sz w:val="18"/>
              </w:rPr>
              <w:t>Capacity and ability to care for basic needs</w:t>
            </w:r>
          </w:p>
        </w:tc>
        <w:tc>
          <w:tcPr>
            <w:tcW w:type="dxa" w:w="5040"/>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r>
        <w:trPr>
          <w:cantSplit/>
        </w:trPr>
        <w:tc>
          <w:tcPr>
            <w:tcW w:type="dxa" w:w="489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Client preferences and protective factors</w:t>
            </w:r>
          </w:p>
        </w:tc>
        <w:tc>
          <w:tcPr>
            <w:tcW w:type="dxa" w:w="504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r>
      <w:tr>
        <w:trPr>
          <w:cantSplit/>
        </w:trPr>
        <w:tc>
          <w:tcPr>
            <w:tcW w:type="dxa" w:w="4896"/>
            <w:tcMar>
              <w:top w:w="100" w:type="dxa"/>
              <w:start w:w="120" w:type="dxa"/>
              <w:bottom w:w="100" w:type="dxa"/>
              <w:end w:w="120" w:type="dxa"/>
            </w:tcMar>
            <w:vAlign w:val="center"/>
          </w:tcPr>
          <w:p>
            <w:pPr>
              <w:spacing w:after="40" w:before="0" w:line="245" w:lineRule="auto"/>
            </w:pPr>
            <w:r>
              <w:rPr>
                <w:rFonts w:ascii="Aptos" w:hAnsi="Aptos" w:eastAsia="Aptos" w:cs="Aptos"/>
                <w:sz w:val="18"/>
              </w:rPr>
              <w:t>Housing, food, language, disability, transportation, technology, and cost barriers</w:t>
            </w:r>
          </w:p>
        </w:tc>
        <w:tc>
          <w:tcPr>
            <w:tcW w:type="dxa" w:w="5040"/>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r>
        <w:trPr>
          <w:cantSplit/>
        </w:trPr>
        <w:tc>
          <w:tcPr>
            <w:tcW w:type="dxa" w:w="489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Least restrictive safe response and resource match</w:t>
            </w:r>
          </w:p>
        </w:tc>
        <w:tc>
          <w:tcPr>
            <w:tcW w:type="dxa" w:w="504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r>
      <w:tr>
        <w:trPr>
          <w:cantSplit/>
        </w:trPr>
        <w:tc>
          <w:tcPr>
            <w:tcW w:type="dxa" w:w="4896"/>
            <w:tcMar>
              <w:top w:w="100" w:type="dxa"/>
              <w:start w:w="120" w:type="dxa"/>
              <w:bottom w:w="100" w:type="dxa"/>
              <w:end w:w="120" w:type="dxa"/>
            </w:tcMar>
            <w:vAlign w:val="center"/>
          </w:tcPr>
          <w:p>
            <w:pPr>
              <w:spacing w:after="40" w:before="0" w:line="245" w:lineRule="auto"/>
            </w:pPr>
            <w:r>
              <w:rPr>
                <w:rFonts w:ascii="Aptos" w:hAnsi="Aptos" w:eastAsia="Aptos" w:cs="Aptos"/>
                <w:sz w:val="18"/>
              </w:rPr>
              <w:t>Handoff, follow-up, and reassessment plan</w:t>
            </w:r>
          </w:p>
        </w:tc>
        <w:tc>
          <w:tcPr>
            <w:tcW w:type="dxa" w:w="5040"/>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bl>
    <w:p>
      <w:pPr>
        <w:spacing w:after="0"/>
      </w:pPr>
    </w:p>
    <w:p>
      <w:r>
        <w:rPr>
          <w:rFonts w:ascii="Aptos" w:hAnsi="Aptos" w:eastAsia="Aptos" w:cs="Aptos"/>
        </w:rPr>
        <w:br w:type="page"/>
      </w:r>
    </w:p>
    <w:p>
      <w:pPr>
        <w:pStyle w:val="Heading1"/>
        <w:keepNext/>
      </w:pPr>
      <w:r>
        <w:rPr>
          <w:rFonts w:ascii="Aptos" w:hAnsi="Aptos" w:eastAsia="Aptos" w:cs="Aptos"/>
        </w:rPr>
        <w:t>Chapter Summary</w:t>
      </w:r>
    </w:p>
    <w:p>
      <w:pPr>
        <w:pStyle w:val="ListBullet"/>
        <w:spacing w:before="0" w:after="40" w:line="259" w:lineRule="auto"/>
      </w:pPr>
      <w:r>
        <w:rPr>
          <w:rFonts w:ascii="Aptos" w:hAnsi="Aptos" w:eastAsia="Aptos" w:cs="Aptos"/>
        </w:rPr>
        <w:t>Use SAFER to stabilize, assess directly, formulate risk in context, execute the least restrictive safe response, and reconnect and reassess.</w:t>
      </w:r>
    </w:p>
    <w:p>
      <w:pPr>
        <w:pStyle w:val="ListBullet"/>
        <w:spacing w:before="0" w:after="40" w:line="259" w:lineRule="auto"/>
      </w:pPr>
      <w:r>
        <w:rPr>
          <w:rFonts w:ascii="Aptos" w:hAnsi="Aptos" w:eastAsia="Aptos" w:cs="Aptos"/>
        </w:rPr>
        <w:t>Possible overdose, severe withdrawal, altered consciousness, dehydration, or other medical instability takes priority over routine psychosocial intervention.</w:t>
      </w:r>
    </w:p>
    <w:p>
      <w:pPr>
        <w:pStyle w:val="ListBullet"/>
        <w:spacing w:before="0" w:after="40" w:line="259" w:lineRule="auto"/>
      </w:pPr>
      <w:r>
        <w:rPr>
          <w:rFonts w:ascii="Aptos" w:hAnsi="Aptos" w:eastAsia="Aptos" w:cs="Aptos"/>
        </w:rPr>
        <w:t>Self-determination requires meaningful choice, but refusal does not end assessment when capacity, immediate danger, or basic-needs functioning is uncertain.</w:t>
      </w:r>
    </w:p>
    <w:p>
      <w:pPr>
        <w:pStyle w:val="ListBullet"/>
        <w:spacing w:before="0" w:after="40" w:line="259" w:lineRule="auto"/>
      </w:pPr>
      <w:r>
        <w:rPr>
          <w:rFonts w:ascii="Aptos" w:hAnsi="Aptos" w:eastAsia="Aptos" w:cs="Aptos"/>
        </w:rPr>
        <w:t>A safety plan must be usable: language, disability access, transportation, housing, cost, caregiving, technology, and service availability affect whether the plan is safe.</w:t>
      </w:r>
    </w:p>
    <w:p>
      <w:pPr>
        <w:pStyle w:val="ListBullet"/>
        <w:spacing w:before="0" w:after="40" w:line="259" w:lineRule="auto"/>
      </w:pPr>
      <w:r>
        <w:rPr>
          <w:rFonts w:ascii="Aptos" w:hAnsi="Aptos" w:eastAsia="Aptos" w:cs="Aptos"/>
        </w:rPr>
        <w:t>On a national ASWB item, use the jurisdiction or legal rule supplied in the stem and avoid importing one state’s exact reporting, duty-to-protect, or involuntary-treatment procedure.</w:t>
      </w:r>
    </w:p>
    <w:p>
      <w:pPr>
        <w:pStyle w:val="Heading1"/>
        <w:keepNext/>
        <w:pageBreakBefore/>
      </w:pPr>
      <w:r>
        <w:rPr>
          <w:rFonts w:ascii="Aptos" w:hAnsi="Aptos" w:eastAsia="Aptos" w:cs="Aptos"/>
        </w:rPr>
        <w:t>Knowledge Check</w:t>
      </w:r>
    </w:p>
    <w:p>
      <w:r>
        <w:rPr>
          <w:rFonts w:ascii="Aptos" w:hAnsi="Aptos" w:eastAsia="Aptos" w:cs="Aptos"/>
          <w:i w:val="0"/>
        </w:rPr>
        <w:t>Complete all 10 original CTA practice questions before reviewing the answer key. Record your answer and confidence level. The set emphasizes application, scenario analysis, sequencing, scope, and integrated crisis reasoning.</w:t>
      </w:r>
    </w:p>
    <w:tbl>
      <w:tblPr>
        <w:tblStyle w:val="TableGrid"/>
        <w:tblW w:type="auto" w:w="0"/>
        <w:jc w:val="center"/>
        <w:tblLayout w:type="fixed"/>
        <w:tblLook w:firstColumn="1" w:firstRow="1" w:lastColumn="0" w:lastRow="0" w:noHBand="0" w:noVBand="1" w:val="04A0"/>
      </w:tblPr>
      <w:tblGrid>
        <w:gridCol w:w="1728"/>
        <w:gridCol w:w="2736"/>
        <w:gridCol w:w="2736"/>
        <w:gridCol w:w="2736"/>
      </w:tblGrid>
      <w:tr>
        <w:trPr>
          <w:tblHeader w:val="true"/>
          <w:cantSplit/>
        </w:trPr>
        <w:tc>
          <w:tcPr>
            <w:tcW w:type="dxa" w:w="252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Question</w:t>
            </w:r>
          </w:p>
        </w:tc>
        <w:tc>
          <w:tcPr>
            <w:tcW w:type="dxa" w:w="252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Your Answer</w:t>
            </w:r>
          </w:p>
        </w:tc>
        <w:tc>
          <w:tcPr>
            <w:tcW w:type="dxa" w:w="252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Confidence (1-3)</w:t>
            </w:r>
          </w:p>
        </w:tc>
        <w:tc>
          <w:tcPr>
            <w:tcW w:type="dxa" w:w="252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Review?</w:t>
            </w:r>
          </w:p>
        </w:tc>
      </w:tr>
      <w:tr>
        <w:trPr>
          <w:cantSplit/>
        </w:trPr>
        <w:tc>
          <w:tcPr>
            <w:tcW w:type="dxa" w:w="1728"/>
            <w:tcMar>
              <w:top w:w="100" w:type="dxa"/>
              <w:start w:w="120" w:type="dxa"/>
              <w:bottom w:w="100" w:type="dxa"/>
              <w:end w:w="120" w:type="dxa"/>
            </w:tcMar>
            <w:vAlign w:val="center"/>
          </w:tcPr>
          <w:p>
            <w:pPr>
              <w:spacing w:after="40" w:before="0" w:line="245" w:lineRule="auto"/>
            </w:pPr>
            <w:r>
              <w:rPr>
                <w:rFonts w:ascii="Aptos" w:hAnsi="Aptos" w:eastAsia="Aptos" w:cs="Aptos"/>
                <w:sz w:val="18"/>
              </w:rPr>
              <w:t>1</w:t>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r>
        <w:trPr>
          <w:cantSplit/>
        </w:trPr>
        <w:tc>
          <w:tcPr>
            <w:tcW w:type="dxa" w:w="17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2</w:t>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r>
      <w:tr>
        <w:trPr>
          <w:cantSplit/>
        </w:trPr>
        <w:tc>
          <w:tcPr>
            <w:tcW w:type="dxa" w:w="1728"/>
            <w:tcMar>
              <w:top w:w="100" w:type="dxa"/>
              <w:start w:w="120" w:type="dxa"/>
              <w:bottom w:w="100" w:type="dxa"/>
              <w:end w:w="120" w:type="dxa"/>
            </w:tcMar>
            <w:vAlign w:val="center"/>
          </w:tcPr>
          <w:p>
            <w:pPr>
              <w:spacing w:after="40" w:before="0" w:line="245" w:lineRule="auto"/>
            </w:pPr>
            <w:r>
              <w:rPr>
                <w:rFonts w:ascii="Aptos" w:hAnsi="Aptos" w:eastAsia="Aptos" w:cs="Aptos"/>
                <w:sz w:val="18"/>
              </w:rPr>
              <w:t>3</w:t>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r>
        <w:trPr>
          <w:cantSplit/>
        </w:trPr>
        <w:tc>
          <w:tcPr>
            <w:tcW w:type="dxa" w:w="17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4</w:t>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r>
      <w:tr>
        <w:trPr>
          <w:cantSplit/>
        </w:trPr>
        <w:tc>
          <w:tcPr>
            <w:tcW w:type="dxa" w:w="1728"/>
            <w:tcMar>
              <w:top w:w="100" w:type="dxa"/>
              <w:start w:w="120" w:type="dxa"/>
              <w:bottom w:w="100" w:type="dxa"/>
              <w:end w:w="120" w:type="dxa"/>
            </w:tcMar>
            <w:vAlign w:val="center"/>
          </w:tcPr>
          <w:p>
            <w:pPr>
              <w:spacing w:after="40" w:before="0" w:line="245" w:lineRule="auto"/>
            </w:pPr>
            <w:r>
              <w:rPr>
                <w:rFonts w:ascii="Aptos" w:hAnsi="Aptos" w:eastAsia="Aptos" w:cs="Aptos"/>
                <w:sz w:val="18"/>
              </w:rPr>
              <w:t>5</w:t>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r>
        <w:trPr>
          <w:cantSplit/>
        </w:trPr>
        <w:tc>
          <w:tcPr>
            <w:tcW w:type="dxa" w:w="17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6</w:t>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r>
      <w:tr>
        <w:trPr>
          <w:cantSplit/>
        </w:trPr>
        <w:tc>
          <w:tcPr>
            <w:tcW w:type="dxa" w:w="1728"/>
            <w:tcMar>
              <w:top w:w="100" w:type="dxa"/>
              <w:start w:w="120" w:type="dxa"/>
              <w:bottom w:w="100" w:type="dxa"/>
              <w:end w:w="120" w:type="dxa"/>
            </w:tcMar>
            <w:vAlign w:val="center"/>
          </w:tcPr>
          <w:p>
            <w:pPr>
              <w:spacing w:after="40" w:before="0" w:line="245" w:lineRule="auto"/>
            </w:pPr>
            <w:r>
              <w:rPr>
                <w:rFonts w:ascii="Aptos" w:hAnsi="Aptos" w:eastAsia="Aptos" w:cs="Aptos"/>
                <w:sz w:val="18"/>
              </w:rPr>
              <w:t>7</w:t>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r>
        <w:trPr>
          <w:cantSplit/>
        </w:trPr>
        <w:tc>
          <w:tcPr>
            <w:tcW w:type="dxa" w:w="17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8</w:t>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r>
      <w:tr>
        <w:trPr>
          <w:cantSplit/>
        </w:trPr>
        <w:tc>
          <w:tcPr>
            <w:tcW w:type="dxa" w:w="1728"/>
            <w:tcMar>
              <w:top w:w="100" w:type="dxa"/>
              <w:start w:w="120" w:type="dxa"/>
              <w:bottom w:w="100" w:type="dxa"/>
              <w:end w:w="120" w:type="dxa"/>
            </w:tcMar>
            <w:vAlign w:val="center"/>
          </w:tcPr>
          <w:p>
            <w:pPr>
              <w:spacing w:after="40" w:before="0" w:line="245" w:lineRule="auto"/>
            </w:pPr>
            <w:r>
              <w:rPr>
                <w:rFonts w:ascii="Aptos" w:hAnsi="Aptos" w:eastAsia="Aptos" w:cs="Aptos"/>
                <w:sz w:val="18"/>
              </w:rPr>
              <w:t>9</w:t>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r>
        <w:trPr>
          <w:cantSplit/>
        </w:trPr>
        <w:tc>
          <w:tcPr>
            <w:tcW w:type="dxa" w:w="17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10</w:t>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273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r>
    </w:tbl>
    <w:p>
      <w:pPr>
        <w:spacing w:after="0"/>
      </w:pPr>
    </w:p>
    <w:p>
      <w:pPr>
        <w:keepNext/>
        <w:spacing w:before="120" w:after="40" w:line="240" w:lineRule="auto"/>
      </w:pPr>
      <w:r>
        <w:rPr>
          <w:rFonts w:ascii="Aptos" w:hAnsi="Aptos" w:eastAsia="Aptos" w:cs="Aptos"/>
          <w:b/>
          <w:color w:val="0B7FAB"/>
          <w:sz w:val="17"/>
        </w:rPr>
        <w:t>LCSW-WB06-Q001 | Application | Easy | Primary concept: Direct suicide inquiry</w:t>
      </w:r>
    </w:p>
    <w:p>
      <w:pPr>
        <w:keepNext/>
        <w:keepLines/>
        <w:spacing w:before="0" w:after="40" w:line="259" w:lineRule="auto"/>
      </w:pPr>
      <w:r>
        <w:rPr>
          <w:rFonts w:ascii="Aptos" w:hAnsi="Aptos" w:eastAsia="Aptos" w:cs="Aptos"/>
          <w:b/>
          <w:i w:val="0"/>
          <w:color w:val="16324F"/>
          <w:sz w:val="20"/>
        </w:rPr>
        <w:t>1. A client who recently lost housing tells a clinical social worker, “I cannot do this anymore. I wish I would not wake up.” What should the social worker do FIRST?</w:t>
      </w:r>
    </w:p>
    <w:p>
      <w:pPr>
        <w:keepNext/>
        <w:keepLines/>
        <w:spacing w:after="20" w:before="0" w:line="245" w:lineRule="auto"/>
        <w:ind w:left="259" w:hanging="259"/>
      </w:pPr>
      <w:r>
        <w:rPr>
          <w:rFonts w:ascii="Aptos" w:hAnsi="Aptos" w:eastAsia="Aptos" w:cs="Aptos"/>
        </w:rPr>
        <w:t>A. Ask directly about suicidal thoughts, intent, plan, access to means, recent behavior, and protective factors</w:t>
      </w:r>
    </w:p>
    <w:p>
      <w:pPr>
        <w:keepNext/>
        <w:keepLines/>
        <w:spacing w:after="20" w:before="0" w:line="245" w:lineRule="auto"/>
        <w:ind w:left="259" w:hanging="259"/>
      </w:pPr>
      <w:r>
        <w:rPr>
          <w:rFonts w:ascii="Aptos" w:hAnsi="Aptos" w:eastAsia="Aptos" w:cs="Aptos"/>
        </w:rPr>
        <w:t>B. Begin an application for emergency housing</w:t>
      </w:r>
    </w:p>
    <w:p>
      <w:pPr>
        <w:keepNext/>
        <w:keepLines/>
        <w:spacing w:after="20" w:before="0" w:line="245" w:lineRule="auto"/>
        <w:ind w:left="259" w:hanging="259"/>
      </w:pPr>
      <w:r>
        <w:rPr>
          <w:rFonts w:ascii="Aptos" w:hAnsi="Aptos" w:eastAsia="Aptos" w:cs="Aptos"/>
        </w:rPr>
        <w:t>C. Explain the stages of grief</w:t>
      </w:r>
    </w:p>
    <w:p>
      <w:pPr>
        <w:keepNext w:val="0"/>
        <w:keepLines/>
        <w:spacing w:before="0" w:after="20" w:line="245" w:lineRule="auto"/>
        <w:ind w:left="259" w:hanging="259"/>
      </w:pPr>
      <w:r>
        <w:rPr>
          <w:rFonts w:ascii="Aptos" w:hAnsi="Aptos" w:eastAsia="Aptos" w:cs="Aptos"/>
        </w:rPr>
        <w:t>D. Ask the client to promise to remain safe until the next appointment</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LCSW-WB06-Q002 | Recall | Easy | Primary concept: Overdose and medical emergency</w:t>
      </w:r>
    </w:p>
    <w:p>
      <w:pPr>
        <w:keepNext/>
        <w:keepLines/>
        <w:spacing w:before="0" w:after="40" w:line="259" w:lineRule="auto"/>
      </w:pPr>
      <w:r>
        <w:rPr>
          <w:rFonts w:ascii="Aptos" w:hAnsi="Aptos" w:eastAsia="Aptos" w:cs="Aptos"/>
          <w:b/>
          <w:i w:val="0"/>
          <w:color w:val="16324F"/>
          <w:sz w:val="20"/>
        </w:rPr>
        <w:t>2. A hospital social worker meets with a patient who is drowsy, has slurred speech, and admits taking “a handful” of pain medication after an argument. What should the social worker do FIRST?</w:t>
      </w:r>
    </w:p>
    <w:p>
      <w:pPr>
        <w:keepNext/>
        <w:keepLines/>
        <w:spacing w:after="20" w:before="0" w:line="245" w:lineRule="auto"/>
        <w:ind w:left="259" w:hanging="259"/>
      </w:pPr>
      <w:r>
        <w:rPr>
          <w:rFonts w:ascii="Aptos" w:hAnsi="Aptos" w:eastAsia="Aptos" w:cs="Aptos"/>
        </w:rPr>
        <w:t>A. Ask the patient to identify coping skills</w:t>
      </w:r>
    </w:p>
    <w:p>
      <w:pPr>
        <w:keepNext/>
        <w:keepLines/>
        <w:spacing w:after="20" w:before="0" w:line="245" w:lineRule="auto"/>
        <w:ind w:left="259" w:hanging="259"/>
      </w:pPr>
      <w:r>
        <w:rPr>
          <w:rFonts w:ascii="Aptos" w:hAnsi="Aptos" w:eastAsia="Aptos" w:cs="Aptos"/>
        </w:rPr>
        <w:t>B. Contact the patient’s employer about leave</w:t>
      </w:r>
    </w:p>
    <w:p>
      <w:pPr>
        <w:keepNext/>
        <w:keepLines/>
        <w:spacing w:after="20" w:before="0" w:line="245" w:lineRule="auto"/>
        <w:ind w:left="259" w:hanging="259"/>
      </w:pPr>
      <w:r>
        <w:rPr>
          <w:rFonts w:ascii="Aptos" w:hAnsi="Aptos" w:eastAsia="Aptos" w:cs="Aptos"/>
        </w:rPr>
        <w:t>C. Schedule outpatient substance-use counseling</w:t>
      </w:r>
    </w:p>
    <w:p>
      <w:pPr>
        <w:keepNext w:val="0"/>
        <w:keepLines/>
        <w:spacing w:after="20" w:before="0" w:line="245" w:lineRule="auto"/>
        <w:ind w:left="259" w:hanging="259"/>
      </w:pPr>
      <w:r>
        <w:rPr>
          <w:rFonts w:ascii="Aptos" w:hAnsi="Aptos" w:eastAsia="Aptos" w:cs="Aptos"/>
        </w:rPr>
        <w:t>D. Immediately notify the medical team and remain engaged in emergency safety assessment</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LCSW-WB06-Q003 | Application | Moderate | Primary concept: Self-determination and IPV safety</w:t>
      </w:r>
    </w:p>
    <w:p>
      <w:pPr>
        <w:keepNext/>
        <w:keepLines/>
        <w:spacing w:before="0" w:after="40" w:line="259" w:lineRule="auto"/>
      </w:pPr>
      <w:r>
        <w:rPr>
          <w:rFonts w:ascii="Aptos" w:hAnsi="Aptos" w:eastAsia="Aptos" w:cs="Aptos"/>
          <w:b/>
          <w:i w:val="0"/>
          <w:color w:val="16324F"/>
          <w:sz w:val="20"/>
        </w:rPr>
        <w:t>3. An adult client in a domestic violence shelter says the client plans to return to the abusive partner tonight. What should the social worker do FIRST?</w:t>
      </w:r>
    </w:p>
    <w:p>
      <w:pPr>
        <w:keepNext/>
        <w:keepLines/>
        <w:spacing w:after="20" w:before="0" w:line="245" w:lineRule="auto"/>
        <w:ind w:left="259" w:hanging="259"/>
      </w:pPr>
      <w:r>
        <w:rPr>
          <w:rFonts w:ascii="Aptos" w:hAnsi="Aptos" w:eastAsia="Aptos" w:cs="Aptos"/>
        </w:rPr>
        <w:t>A. Tell the client that returning is unacceptable</w:t>
      </w:r>
    </w:p>
    <w:p>
      <w:pPr>
        <w:keepNext/>
        <w:keepLines/>
        <w:spacing w:after="20" w:before="0" w:line="245" w:lineRule="auto"/>
        <w:ind w:left="259" w:hanging="259"/>
      </w:pPr>
      <w:r>
        <w:rPr>
          <w:rFonts w:ascii="Aptos" w:hAnsi="Aptos" w:eastAsia="Aptos" w:cs="Aptos"/>
        </w:rPr>
        <w:t>B. Notify the partner that the shelter knows about the abuse</w:t>
      </w:r>
    </w:p>
    <w:p>
      <w:pPr>
        <w:keepNext/>
        <w:keepLines/>
        <w:spacing w:after="20" w:before="0" w:line="245" w:lineRule="auto"/>
        <w:ind w:left="259" w:hanging="259"/>
      </w:pPr>
      <w:r>
        <w:rPr>
          <w:rFonts w:ascii="Aptos" w:hAnsi="Aptos" w:eastAsia="Aptos" w:cs="Aptos"/>
        </w:rPr>
        <w:t>C. Assess immediate danger and help the client develop a safety plan consistent with the client’s decision</w:t>
      </w:r>
    </w:p>
    <w:p>
      <w:pPr>
        <w:keepNext w:val="0"/>
        <w:keepLines/>
        <w:spacing w:before="0" w:after="20" w:line="245" w:lineRule="auto"/>
        <w:ind w:left="259" w:hanging="259"/>
      </w:pPr>
      <w:r>
        <w:rPr>
          <w:rFonts w:ascii="Aptos" w:hAnsi="Aptos" w:eastAsia="Aptos" w:cs="Aptos"/>
        </w:rPr>
        <w:t>D. Contact law enforcement and require the client to leave the partner immediately</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LCSW-WB06-Q004 | Recall | Easy | Primary concept: Jurisdiction-supplied child abuse reporting</w:t>
      </w:r>
    </w:p>
    <w:p>
      <w:pPr>
        <w:keepNext/>
        <w:keepLines/>
        <w:spacing w:before="0" w:after="40" w:line="259" w:lineRule="auto"/>
      </w:pPr>
      <w:r>
        <w:rPr>
          <w:rFonts w:ascii="Aptos" w:hAnsi="Aptos" w:eastAsia="Aptos" w:cs="Aptos"/>
          <w:b/>
          <w:i w:val="0"/>
          <w:color w:val="16324F"/>
          <w:sz w:val="20"/>
        </w:rPr>
        <w:t>4. A school social worker observes bruises in different stages of healing on a child who says, “My stepfather gets mad when I make noise.” What should the social worker do NEXT?</w:t>
      </w:r>
    </w:p>
    <w:p>
      <w:pPr>
        <w:keepNext/>
        <w:keepLines/>
        <w:spacing w:after="20" w:before="0" w:line="245" w:lineRule="auto"/>
        <w:ind w:left="259" w:hanging="259"/>
      </w:pPr>
      <w:r>
        <w:rPr>
          <w:rFonts w:ascii="Aptos" w:hAnsi="Aptos" w:eastAsia="Aptos" w:cs="Aptos"/>
        </w:rPr>
        <w:t>A. Interview the stepfather before taking action</w:t>
      </w:r>
    </w:p>
    <w:p>
      <w:pPr>
        <w:keepNext/>
        <w:keepLines/>
        <w:spacing w:after="20" w:before="0" w:line="245" w:lineRule="auto"/>
        <w:ind w:left="259" w:hanging="259"/>
      </w:pPr>
      <w:r>
        <w:rPr>
          <w:rFonts w:ascii="Aptos" w:hAnsi="Aptos" w:eastAsia="Aptos" w:cs="Aptos"/>
        </w:rPr>
        <w:t>B. Follow the jurisdiction’s mandated reporting procedure and address the child’s immediate safety</w:t>
      </w:r>
    </w:p>
    <w:p>
      <w:pPr>
        <w:keepNext/>
        <w:keepLines/>
        <w:spacing w:after="20" w:before="0" w:line="245" w:lineRule="auto"/>
        <w:ind w:left="259" w:hanging="259"/>
      </w:pPr>
      <w:r>
        <w:rPr>
          <w:rFonts w:ascii="Aptos" w:hAnsi="Aptos" w:eastAsia="Aptos" w:cs="Aptos"/>
        </w:rPr>
        <w:t>C. Wait until the child gives a detailed description of each incident</w:t>
      </w:r>
    </w:p>
    <w:p>
      <w:pPr>
        <w:keepNext w:val="0"/>
        <w:keepLines/>
        <w:spacing w:after="20" w:before="0" w:line="245" w:lineRule="auto"/>
        <w:ind w:left="259" w:hanging="259"/>
      </w:pPr>
      <w:r>
        <w:rPr>
          <w:rFonts w:ascii="Aptos" w:hAnsi="Aptos" w:eastAsia="Aptos" w:cs="Aptos"/>
        </w:rPr>
        <w:t>D. Ask the teacher to monitor the child for another week</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LCSW-WB06-Q005 | Scenario | Moderate | Primary concept: Capacity, self-neglect, and medical danger</w:t>
      </w:r>
    </w:p>
    <w:p>
      <w:pPr>
        <w:keepNext/>
        <w:keepLines/>
        <w:spacing w:before="0" w:after="40" w:line="259" w:lineRule="auto"/>
      </w:pPr>
      <w:r>
        <w:rPr>
          <w:rFonts w:ascii="Aptos" w:hAnsi="Aptos" w:eastAsia="Aptos" w:cs="Aptos"/>
          <w:b/>
          <w:i w:val="0"/>
          <w:color w:val="16324F"/>
          <w:sz w:val="20"/>
        </w:rPr>
        <w:t>5. A home health social worker finds an older adult confused, dehydrated, without food, and unable to state when medications were last taken. The client refuses to leave the apartment. What should the social worker do FIRST?</w:t>
      </w:r>
    </w:p>
    <w:p>
      <w:pPr>
        <w:keepNext/>
        <w:keepLines/>
        <w:spacing w:after="20" w:before="0" w:line="245" w:lineRule="auto"/>
        <w:ind w:left="259" w:hanging="259"/>
      </w:pPr>
      <w:r>
        <w:rPr>
          <w:rFonts w:ascii="Aptos" w:hAnsi="Aptos" w:eastAsia="Aptos" w:cs="Aptos"/>
        </w:rPr>
        <w:t>A. Assess decision-making capacity and immediate medical danger while activating urgent medical or emergency evaluation</w:t>
      </w:r>
    </w:p>
    <w:p>
      <w:pPr>
        <w:keepNext/>
        <w:keepLines/>
        <w:spacing w:after="20" w:before="0" w:line="245" w:lineRule="auto"/>
        <w:ind w:left="259" w:hanging="259"/>
      </w:pPr>
      <w:r>
        <w:rPr>
          <w:rFonts w:ascii="Aptos" w:hAnsi="Aptos" w:eastAsia="Aptos" w:cs="Aptos"/>
        </w:rPr>
        <w:t>B. Respect the refusal and schedule another visit next week</w:t>
      </w:r>
    </w:p>
    <w:p>
      <w:pPr>
        <w:keepNext/>
        <w:keepLines/>
        <w:spacing w:after="20" w:before="0" w:line="245" w:lineRule="auto"/>
        <w:ind w:left="259" w:hanging="259"/>
      </w:pPr>
      <w:r>
        <w:rPr>
          <w:rFonts w:ascii="Aptos" w:hAnsi="Aptos" w:eastAsia="Aptos" w:cs="Aptos"/>
        </w:rPr>
        <w:t>C. Discuss long-term assisted living options</w:t>
      </w:r>
    </w:p>
    <w:p>
      <w:pPr>
        <w:keepNext w:val="0"/>
        <w:keepLines/>
        <w:spacing w:after="20" w:before="0" w:line="245" w:lineRule="auto"/>
        <w:ind w:left="259" w:hanging="259"/>
      </w:pPr>
      <w:r>
        <w:rPr>
          <w:rFonts w:ascii="Aptos" w:hAnsi="Aptos" w:eastAsia="Aptos" w:cs="Aptos"/>
        </w:rPr>
        <w:t>D. Ask a neighbor to bring groceries</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LCSW-WB06-Q006 | Recall | Easy | Primary concept: Threat assessment before protective action</w:t>
      </w:r>
    </w:p>
    <w:p>
      <w:pPr>
        <w:keepNext/>
        <w:keepLines/>
        <w:spacing w:before="0" w:after="40" w:line="259" w:lineRule="auto"/>
      </w:pPr>
      <w:r>
        <w:rPr>
          <w:rFonts w:ascii="Aptos" w:hAnsi="Aptos" w:eastAsia="Aptos" w:cs="Aptos"/>
          <w:b/>
          <w:i w:val="0"/>
          <w:color w:val="16324F"/>
          <w:sz w:val="20"/>
        </w:rPr>
        <w:t>6. A client says, “Sometimes I imagine making my supervisor pay,” but denies a plan, target location, weapons, or intent. What should the social worker do FIRST?</w:t>
      </w:r>
    </w:p>
    <w:p>
      <w:pPr>
        <w:keepNext/>
        <w:keepLines/>
        <w:spacing w:after="20" w:before="0" w:line="245" w:lineRule="auto"/>
        <w:ind w:left="259" w:hanging="259"/>
      </w:pPr>
      <w:r>
        <w:rPr>
          <w:rFonts w:ascii="Aptos" w:hAnsi="Aptos" w:eastAsia="Aptos" w:cs="Aptos"/>
        </w:rPr>
        <w:t>A. Immediately warn the supervisor</w:t>
      </w:r>
    </w:p>
    <w:p>
      <w:pPr>
        <w:keepNext/>
        <w:keepLines/>
        <w:spacing w:after="20" w:before="0" w:line="245" w:lineRule="auto"/>
        <w:ind w:left="259" w:hanging="259"/>
      </w:pPr>
      <w:r>
        <w:rPr>
          <w:rFonts w:ascii="Aptos" w:hAnsi="Aptos" w:eastAsia="Aptos" w:cs="Aptos"/>
        </w:rPr>
        <w:t>B. Terminate services because the client is dangerous</w:t>
      </w:r>
    </w:p>
    <w:p>
      <w:pPr>
        <w:keepNext/>
        <w:keepLines/>
        <w:spacing w:after="20" w:before="0" w:line="245" w:lineRule="auto"/>
        <w:ind w:left="259" w:hanging="259"/>
      </w:pPr>
      <w:r>
        <w:rPr>
          <w:rFonts w:ascii="Aptos" w:hAnsi="Aptos" w:eastAsia="Aptos" w:cs="Aptos"/>
        </w:rPr>
        <w:t>C. Begin anger-management education before asking additional questions</w:t>
      </w:r>
    </w:p>
    <w:p>
      <w:pPr>
        <w:keepNext w:val="0"/>
        <w:keepLines/>
        <w:spacing w:before="0" w:after="20" w:line="245" w:lineRule="auto"/>
        <w:ind w:left="259" w:hanging="259"/>
      </w:pPr>
      <w:r>
        <w:rPr>
          <w:rFonts w:ascii="Aptos" w:hAnsi="Aptos" w:eastAsia="Aptos" w:cs="Aptos"/>
        </w:rPr>
        <w:t>D. Conduct a more specific assessment of threat, intent, means, access, history, triggers, and protective factors</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LCSW-WB06-Q007 | Scenario | Moderate | Primary concept: Homelessness, psychosis, and outreach triage</w:t>
      </w:r>
    </w:p>
    <w:p>
      <w:pPr>
        <w:keepNext/>
        <w:keepLines/>
        <w:spacing w:before="0" w:after="40" w:line="259" w:lineRule="auto"/>
      </w:pPr>
      <w:r>
        <w:rPr>
          <w:rFonts w:ascii="Aptos" w:hAnsi="Aptos" w:eastAsia="Aptos" w:cs="Aptos"/>
          <w:b/>
          <w:i w:val="0"/>
          <w:color w:val="16324F"/>
          <w:sz w:val="20"/>
        </w:rPr>
        <w:t>7. An outreach social worker meets a client who is responding to voices, has not eaten for two days, and is sleeping near a highway. The client says shelters are unsafe but accepts water and continues talking. What should the social worker do NEXT?</w:t>
      </w:r>
    </w:p>
    <w:p>
      <w:pPr>
        <w:keepNext/>
        <w:keepLines/>
        <w:spacing w:after="20" w:before="0" w:line="245" w:lineRule="auto"/>
        <w:ind w:left="259" w:hanging="259"/>
      </w:pPr>
      <w:r>
        <w:rPr>
          <w:rFonts w:ascii="Aptos" w:hAnsi="Aptos" w:eastAsia="Aptos" w:cs="Aptos"/>
        </w:rPr>
        <w:t>A. Tell the client that shelter placement is mandatory</w:t>
      </w:r>
    </w:p>
    <w:p>
      <w:pPr>
        <w:keepNext/>
        <w:keepLines/>
        <w:spacing w:after="20" w:before="0" w:line="245" w:lineRule="auto"/>
        <w:ind w:left="259" w:hanging="259"/>
      </w:pPr>
      <w:r>
        <w:rPr>
          <w:rFonts w:ascii="Aptos" w:hAnsi="Aptos" w:eastAsia="Aptos" w:cs="Aptos"/>
        </w:rPr>
        <w:t>B. Begin cognitive restructuring of the voices</w:t>
      </w:r>
    </w:p>
    <w:p>
      <w:pPr>
        <w:keepNext/>
        <w:keepLines/>
        <w:spacing w:after="20" w:before="0" w:line="245" w:lineRule="auto"/>
        <w:ind w:left="259" w:hanging="259"/>
      </w:pPr>
      <w:r>
        <w:rPr>
          <w:rFonts w:ascii="Aptos" w:hAnsi="Aptos" w:eastAsia="Aptos" w:cs="Aptos"/>
        </w:rPr>
        <w:t>C. Assess current danger, medical needs, ability to care for basic needs, substance use, and willingness to accept crisis or medical evaluation while offering the least restrictive safe options</w:t>
      </w:r>
    </w:p>
    <w:p>
      <w:pPr>
        <w:keepNext w:val="0"/>
        <w:keepLines/>
        <w:spacing w:after="20" w:before="0" w:line="245" w:lineRule="auto"/>
        <w:ind w:left="259" w:hanging="259"/>
      </w:pPr>
      <w:r>
        <w:rPr>
          <w:rFonts w:ascii="Aptos" w:hAnsi="Aptos" w:eastAsia="Aptos" w:cs="Aptos"/>
        </w:rPr>
        <w:t>D. End the contact because the client refuses shelter</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LCSW-WB06-Q008 | Application | Moderate | Primary concept: Sexual assault safety and client choice</w:t>
      </w:r>
    </w:p>
    <w:p>
      <w:pPr>
        <w:keepNext/>
        <w:keepLines/>
        <w:spacing w:before="0" w:after="40" w:line="259" w:lineRule="auto"/>
      </w:pPr>
      <w:r>
        <w:rPr>
          <w:rFonts w:ascii="Aptos" w:hAnsi="Aptos" w:eastAsia="Aptos" w:cs="Aptos"/>
          <w:b/>
          <w:i w:val="0"/>
          <w:color w:val="16324F"/>
          <w:sz w:val="20"/>
        </w:rPr>
        <w:t>8. A college student tells a social worker that the student was sexually assaulted the previous night and is afraid the assailant knows where the student lives. What should the social worker do FIRST?</w:t>
      </w:r>
    </w:p>
    <w:p>
      <w:pPr>
        <w:keepNext/>
        <w:keepLines/>
        <w:spacing w:after="20" w:before="0" w:line="245" w:lineRule="auto"/>
        <w:ind w:left="259" w:hanging="259"/>
      </w:pPr>
      <w:r>
        <w:rPr>
          <w:rFonts w:ascii="Aptos" w:hAnsi="Aptos" w:eastAsia="Aptos" w:cs="Aptos"/>
        </w:rPr>
        <w:t>A. Encourage the student to confront the assailant</w:t>
      </w:r>
    </w:p>
    <w:p>
      <w:pPr>
        <w:keepNext/>
        <w:keepLines/>
        <w:spacing w:after="20" w:before="0" w:line="245" w:lineRule="auto"/>
        <w:ind w:left="259" w:hanging="259"/>
      </w:pPr>
      <w:r>
        <w:rPr>
          <w:rFonts w:ascii="Aptos" w:hAnsi="Aptos" w:eastAsia="Aptos" w:cs="Aptos"/>
        </w:rPr>
        <w:t>B. Assess immediate safety, medical needs, safe housing, supports, and the student’s preferences for advocacy and reporting resources</w:t>
      </w:r>
    </w:p>
    <w:p>
      <w:pPr>
        <w:keepNext/>
        <w:keepLines/>
        <w:spacing w:after="20" w:before="0" w:line="245" w:lineRule="auto"/>
        <w:ind w:left="259" w:hanging="259"/>
      </w:pPr>
      <w:r>
        <w:rPr>
          <w:rFonts w:ascii="Aptos" w:hAnsi="Aptos" w:eastAsia="Aptos" w:cs="Aptos"/>
        </w:rPr>
        <w:t>C. Ask for a detailed trauma narrative</w:t>
      </w:r>
    </w:p>
    <w:p>
      <w:pPr>
        <w:keepNext w:val="0"/>
        <w:keepLines/>
        <w:spacing w:after="20" w:before="0" w:line="245" w:lineRule="auto"/>
        <w:ind w:left="259" w:hanging="259"/>
      </w:pPr>
      <w:r>
        <w:rPr>
          <w:rFonts w:ascii="Aptos" w:hAnsi="Aptos" w:eastAsia="Aptos" w:cs="Aptos"/>
        </w:rPr>
        <w:t>D. Tell the student that reporting to police is required in every jurisdiction</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LCSW-WB06-Q009 | Scenario | Moderate | Primary concept: Disaster response and basic needs</w:t>
      </w:r>
    </w:p>
    <w:p>
      <w:pPr>
        <w:keepNext/>
        <w:keepLines/>
        <w:spacing w:before="0" w:after="40" w:line="259" w:lineRule="auto"/>
      </w:pPr>
      <w:r>
        <w:rPr>
          <w:rFonts w:ascii="Aptos" w:hAnsi="Aptos" w:eastAsia="Aptos" w:cs="Aptos"/>
          <w:b/>
          <w:i w:val="0"/>
          <w:color w:val="16324F"/>
          <w:sz w:val="20"/>
        </w:rPr>
        <w:t>9. After a hurricane, a family presents with panic, no medication for a child’s asthma, and no safe place to sleep. What should the social worker do FIRST?</w:t>
      </w:r>
    </w:p>
    <w:p>
      <w:pPr>
        <w:keepNext/>
        <w:keepLines/>
        <w:spacing w:after="20" w:before="0" w:line="245" w:lineRule="auto"/>
        <w:ind w:left="259" w:hanging="259"/>
      </w:pPr>
      <w:r>
        <w:rPr>
          <w:rFonts w:ascii="Aptos" w:hAnsi="Aptos" w:eastAsia="Aptos" w:cs="Aptos"/>
        </w:rPr>
        <w:t>A. Help secure urgent medication access and safe shelter while assessing immediate health and safety</w:t>
      </w:r>
    </w:p>
    <w:p>
      <w:pPr>
        <w:keepNext/>
        <w:keepLines/>
        <w:spacing w:after="20" w:before="0" w:line="245" w:lineRule="auto"/>
        <w:ind w:left="259" w:hanging="259"/>
      </w:pPr>
      <w:r>
        <w:rPr>
          <w:rFonts w:ascii="Aptos" w:hAnsi="Aptos" w:eastAsia="Aptos" w:cs="Aptos"/>
        </w:rPr>
        <w:t>B. Provide psychoeducation about posttraumatic stress</w:t>
      </w:r>
    </w:p>
    <w:p>
      <w:pPr>
        <w:keepNext/>
        <w:keepLines/>
        <w:spacing w:after="20" w:before="0" w:line="245" w:lineRule="auto"/>
        <w:ind w:left="259" w:hanging="259"/>
      </w:pPr>
      <w:r>
        <w:rPr>
          <w:rFonts w:ascii="Aptos" w:hAnsi="Aptos" w:eastAsia="Aptos" w:cs="Aptos"/>
        </w:rPr>
        <w:t>C. Explore the family’s pre-disaster communication pattern</w:t>
      </w:r>
    </w:p>
    <w:p>
      <w:pPr>
        <w:keepNext w:val="0"/>
        <w:keepLines/>
        <w:spacing w:before="0" w:after="20" w:line="245" w:lineRule="auto"/>
        <w:ind w:left="259" w:hanging="259"/>
      </w:pPr>
      <w:r>
        <w:rPr>
          <w:rFonts w:ascii="Aptos" w:hAnsi="Aptos" w:eastAsia="Aptos" w:cs="Aptos"/>
        </w:rPr>
        <w:t>D. Ask the family to complete a trauma-symptom checklist before addressing medication or shelter</w:t>
      </w:r>
    </w:p>
    <w:p>
      <w:pPr>
        <w:spacing w:before="0" w:after="120" w:line="240" w:lineRule="auto"/>
      </w:pPr>
      <w:r>
        <w:rPr>
          <w:rFonts w:ascii="Aptos" w:hAnsi="Aptos" w:eastAsia="Aptos" w:cs="Aptos"/>
          <w:i/>
          <w:color w:val="5B6573"/>
          <w:sz w:val="18"/>
        </w:rPr>
        <w:t>My answer: ______    Confidence: 1  2  3</w:t>
      </w:r>
    </w:p>
    <w:p>
      <w:pPr>
        <w:keepNext/>
        <w:spacing w:before="120" w:after="40" w:line="240" w:lineRule="auto"/>
      </w:pPr>
      <w:r>
        <w:rPr>
          <w:rFonts w:ascii="Aptos" w:hAnsi="Aptos" w:eastAsia="Aptos" w:cs="Aptos"/>
          <w:b/>
          <w:color w:val="0B7FAB"/>
          <w:sz w:val="17"/>
        </w:rPr>
        <w:t>LCSW-WB06-Q010 | Integrated | Challenge | Primary concept: Person-in-environment crisis planning</w:t>
      </w:r>
    </w:p>
    <w:p>
      <w:pPr>
        <w:keepNext/>
        <w:keepLines/>
        <w:spacing w:before="0" w:after="40" w:line="259" w:lineRule="auto"/>
      </w:pPr>
      <w:r>
        <w:rPr>
          <w:rFonts w:ascii="Aptos" w:hAnsi="Aptos" w:eastAsia="Aptos" w:cs="Aptos"/>
          <w:b/>
          <w:i w:val="0"/>
          <w:color w:val="16324F"/>
          <w:sz w:val="20"/>
        </w:rPr>
        <w:t>10. A refugee client reports nightmares, fear of deportation, recent job loss, and thoughts of “giving up.” The client has no plan or intent, identifies children as a reason to live, and is willing to accept help but lacks transportation and speaks limited English. What should the social worker do NEXT?</w:t>
      </w:r>
    </w:p>
    <w:p>
      <w:pPr>
        <w:keepNext/>
        <w:keepLines/>
        <w:spacing w:after="20" w:before="0" w:line="245" w:lineRule="auto"/>
        <w:ind w:left="259" w:hanging="259"/>
      </w:pPr>
      <w:r>
        <w:rPr>
          <w:rFonts w:ascii="Aptos" w:hAnsi="Aptos" w:eastAsia="Aptos" w:cs="Aptos"/>
        </w:rPr>
        <w:t>A. Hospitalize the client because any suicidal thought requires admission</w:t>
      </w:r>
    </w:p>
    <w:p>
      <w:pPr>
        <w:keepNext/>
        <w:keepLines/>
        <w:spacing w:after="20" w:before="0" w:line="245" w:lineRule="auto"/>
        <w:ind w:left="259" w:hanging="259"/>
      </w:pPr>
      <w:r>
        <w:rPr>
          <w:rFonts w:ascii="Aptos" w:hAnsi="Aptos" w:eastAsia="Aptos" w:cs="Aptos"/>
        </w:rPr>
        <w:t>B. Develop a collaborative safety plan, arrange language-accessible follow-up and crisis contacts, address transportation and legal/social-service resources, and reassess risk as circumstances change</w:t>
      </w:r>
    </w:p>
    <w:p>
      <w:pPr>
        <w:keepNext/>
        <w:keepLines/>
        <w:spacing w:after="20" w:before="0" w:line="245" w:lineRule="auto"/>
        <w:ind w:left="259" w:hanging="259"/>
      </w:pPr>
      <w:r>
        <w:rPr>
          <w:rFonts w:ascii="Aptos" w:hAnsi="Aptos" w:eastAsia="Aptos" w:cs="Aptos"/>
        </w:rPr>
        <w:t>C. Focus only on trauma processing</w:t>
      </w:r>
    </w:p>
    <w:p>
      <w:pPr>
        <w:keepNext w:val="0"/>
        <w:keepLines/>
        <w:spacing w:after="20" w:before="0" w:line="245" w:lineRule="auto"/>
        <w:ind w:left="259" w:hanging="259"/>
      </w:pPr>
      <w:r>
        <w:rPr>
          <w:rFonts w:ascii="Aptos" w:hAnsi="Aptos" w:eastAsia="Aptos" w:cs="Aptos"/>
        </w:rPr>
        <w:t>D. Tell the client to call emergency services without additional planning</w:t>
      </w:r>
    </w:p>
    <w:p>
      <w:pPr>
        <w:spacing w:before="0" w:after="120" w:line="240" w:lineRule="auto"/>
      </w:pPr>
      <w:r>
        <w:rPr>
          <w:rFonts w:ascii="Aptos" w:hAnsi="Aptos" w:eastAsia="Aptos" w:cs="Aptos"/>
          <w:i/>
          <w:color w:val="5B6573"/>
          <w:sz w:val="18"/>
        </w:rPr>
        <w:t>My answer: ______    Confidence: 1  2  3</w:t>
      </w:r>
    </w:p>
    <w:p>
      <w:r>
        <w:rPr>
          <w:rFonts w:ascii="Aptos" w:hAnsi="Aptos" w:eastAsia="Aptos" w:cs="Aptos"/>
        </w:rPr>
        <w:br w:type="page"/>
      </w:r>
    </w:p>
    <w:p>
      <w:pPr>
        <w:pStyle w:val="Heading1"/>
        <w:keepNext/>
        <w:pageBreakBefore/>
      </w:pPr>
      <w:r>
        <w:rPr>
          <w:rFonts w:ascii="Aptos" w:hAnsi="Aptos" w:eastAsia="Aptos" w:cs="Aptos"/>
        </w:rPr>
        <w:t>Answer Key and Detailed Rationales</w:t>
      </w:r>
    </w:p>
    <w:tbl>
      <w:tblPr>
        <w:tblW w:type="auto" w:w="0"/>
        <w:jc w:val="center"/>
        <w:tblLayout w:type="fixed"/>
        <w:tblLook w:firstColumn="1" w:firstRow="1" w:lastColumn="0" w:lastRow="0" w:noHBand="0" w:noVBand="1" w:val="04A0"/>
      </w:tblPr>
      <w:tblGrid>
        <w:gridCol w:w="9936"/>
      </w:tblGrid>
      <w:tr>
        <w:trPr>
          <w:cantSplit/>
        </w:trPr>
        <w:tc>
          <w:tcPr>
            <w:tcW w:type="dxa" w:w="10080"/>
            <w:shd w:fill="EEF6F8"/>
            <w:tcMar>
              <w:top w:w="120" w:type="dxa"/>
              <w:start w:w="140" w:type="dxa"/>
              <w:bottom w:w="120" w:type="dxa"/>
              <w:end w:w="140" w:type="dxa"/>
            </w:tcMar>
            <w:vAlign w:val="center"/>
          </w:tcPr>
          <w:p>
            <w:pPr>
              <w:spacing w:after="0" w:before="0" w:line="252" w:lineRule="auto"/>
            </w:pPr>
            <w:r>
              <w:rPr>
                <w:rFonts w:ascii="Aptos" w:hAnsi="Aptos" w:eastAsia="Aptos" w:cs="Aptos"/>
                <w:b/>
                <w:i w:val="0"/>
                <w:color w:val="0F7C82"/>
                <w:sz w:val="19"/>
              </w:rPr>
              <w:t>How to Review</w:t>
            </w:r>
          </w:p>
          <w:p>
            <w:pPr>
              <w:spacing w:after="0" w:before="0" w:line="252" w:lineRule="auto"/>
            </w:pPr>
            <w:r>
              <w:rPr>
                <w:rFonts w:ascii="Aptos" w:hAnsi="Aptos" w:eastAsia="Aptos" w:cs="Aptos"/>
                <w:sz w:val="19"/>
              </w:rPr>
              <w:t>For each missed item, identify whether the error came from urgency, sequencing, scope, legal-versus-clinical reasoning, self-determination, or an unrealistic safety plan. Rewrite the best-answer rule in your own words.</w:t>
            </w:r>
          </w:p>
        </w:tc>
      </w:tr>
    </w:tbl>
    <w:p>
      <w:pPr>
        <w:spacing w:after="0"/>
      </w:pPr>
    </w:p>
    <w:p>
      <w:pPr>
        <w:pStyle w:val="Heading2"/>
        <w:keepNext/>
        <w:keepLines/>
      </w:pPr>
      <w:r>
        <w:rPr>
          <w:rFonts w:ascii="Aptos" w:hAnsi="Aptos" w:eastAsia="Aptos" w:cs="Aptos"/>
        </w:rPr>
        <w:t>Question 1 (LCSW-WB06-Q001)</w:t>
      </w:r>
    </w:p>
    <w:p>
      <w:pPr>
        <w:keepNext/>
        <w:keepLines/>
      </w:pPr>
      <w:r>
        <w:rPr>
          <w:rFonts w:ascii="Aptos" w:hAnsi="Aptos" w:eastAsia="Aptos" w:cs="Aptos"/>
          <w:b/>
          <w:color w:val="16324F"/>
        </w:rPr>
        <w:t>Correct Answer: A</w:t>
      </w:r>
    </w:p>
    <w:p>
      <w:pPr>
        <w:keepNext/>
        <w:keepLines/>
        <w:spacing w:after="40" w:before="0" w:line="250" w:lineRule="auto"/>
        <w:ind w:left="173"/>
      </w:pPr>
      <w:r>
        <w:rPr>
          <w:rFonts w:ascii="Aptos" w:hAnsi="Aptos" w:eastAsia="Aptos" w:cs="Aptos"/>
        </w:rPr>
        <w:t>A. The statement requires direct risk assessment before the level of intervention can be determined.</w:t>
      </w:r>
    </w:p>
    <w:p>
      <w:pPr>
        <w:keepNext/>
        <w:keepLines/>
        <w:spacing w:after="40" w:before="0" w:line="250" w:lineRule="auto"/>
        <w:ind w:left="173"/>
      </w:pPr>
      <w:r>
        <w:rPr>
          <w:rFonts w:ascii="Aptos" w:hAnsi="Aptos" w:eastAsia="Aptos" w:cs="Aptos"/>
        </w:rPr>
        <w:t>B. Housing is important, but possible suicide risk must be assessed first.</w:t>
      </w:r>
    </w:p>
    <w:p>
      <w:pPr>
        <w:keepNext/>
        <w:keepLines/>
        <w:spacing w:after="40" w:before="0" w:line="250" w:lineRule="auto"/>
        <w:ind w:left="173"/>
      </w:pPr>
      <w:r>
        <w:rPr>
          <w:rFonts w:ascii="Aptos" w:hAnsi="Aptos" w:eastAsia="Aptos" w:cs="Aptos"/>
        </w:rPr>
        <w:t>C. Psychoeducation does not address immediate safety.</w:t>
      </w:r>
    </w:p>
    <w:p>
      <w:pPr>
        <w:keepNext/>
        <w:spacing w:before="0" w:after="40" w:line="250" w:lineRule="auto"/>
      </w:pPr>
      <w:r>
        <w:rPr>
          <w:rFonts w:ascii="Aptos" w:hAnsi="Aptos" w:eastAsia="Aptos" w:cs="Aptos"/>
        </w:rPr>
        <w:t>D. A promise does not replace direct assessment, a supported disposition, and follow-up.</w:t>
      </w:r>
    </w:p>
    <w:p>
      <w:pPr>
        <w:keepLines/>
        <w:spacing w:after="120" w:before="0" w:line="250" w:lineRule="auto"/>
        <w:ind w:left="173"/>
      </w:pPr>
      <w:r>
        <w:rPr>
          <w:rFonts w:ascii="Aptos" w:hAnsi="Aptos" w:eastAsia="Aptos" w:cs="Aptos"/>
          <w:b w:val="0"/>
          <w:i/>
          <w:color w:val="5B6573"/>
          <w:sz w:val="19"/>
        </w:rPr>
        <w:t>Exam Strategy: When acuity is not yet clear, ask direct questions about intent, plan, means, behavior, timing, and protective factors before choosing disposition.</w:t>
      </w:r>
    </w:p>
    <w:p>
      <w:pPr>
        <w:pStyle w:val="Heading2"/>
        <w:keepNext/>
        <w:keepLines/>
      </w:pPr>
      <w:r>
        <w:rPr>
          <w:rFonts w:ascii="Aptos" w:hAnsi="Aptos" w:eastAsia="Aptos" w:cs="Aptos"/>
        </w:rPr>
        <w:t>Question 2 (LCSW-WB06-Q002)</w:t>
      </w:r>
    </w:p>
    <w:p>
      <w:pPr>
        <w:keepNext/>
        <w:keepLines/>
      </w:pPr>
      <w:r>
        <w:rPr>
          <w:rFonts w:ascii="Aptos" w:hAnsi="Aptos" w:eastAsia="Aptos" w:cs="Aptos"/>
          <w:b/>
          <w:color w:val="16324F"/>
        </w:rPr>
        <w:t>Correct Answer: D</w:t>
      </w:r>
    </w:p>
    <w:p>
      <w:pPr>
        <w:keepNext/>
        <w:keepLines/>
        <w:spacing w:after="40" w:before="0" w:line="250" w:lineRule="auto"/>
        <w:ind w:left="173"/>
      </w:pPr>
      <w:r>
        <w:rPr>
          <w:rFonts w:ascii="Aptos" w:hAnsi="Aptos" w:eastAsia="Aptos" w:cs="Aptos"/>
        </w:rPr>
        <w:t>A. Coping work is premature during a possible overdose.</w:t>
      </w:r>
    </w:p>
    <w:p>
      <w:pPr>
        <w:keepNext/>
        <w:keepLines/>
        <w:spacing w:after="40" w:before="0" w:line="250" w:lineRule="auto"/>
        <w:ind w:left="173"/>
      </w:pPr>
      <w:r>
        <w:rPr>
          <w:rFonts w:ascii="Aptos" w:hAnsi="Aptos" w:eastAsia="Aptos" w:cs="Aptos"/>
        </w:rPr>
        <w:t>B. Employment concerns are not the current priority and raise confidentiality issues.</w:t>
      </w:r>
    </w:p>
    <w:p>
      <w:pPr>
        <w:keepNext/>
        <w:keepLines/>
        <w:spacing w:after="40" w:before="0" w:line="250" w:lineRule="auto"/>
        <w:ind w:left="173"/>
      </w:pPr>
      <w:r>
        <w:rPr>
          <w:rFonts w:ascii="Aptos" w:hAnsi="Aptos" w:eastAsia="Aptos" w:cs="Aptos"/>
        </w:rPr>
        <w:t>C. Outpatient referral can be considered after stabilization.</w:t>
      </w:r>
    </w:p>
    <w:p>
      <w:pPr>
        <w:keepNext/>
        <w:keepLines/>
        <w:spacing w:after="40" w:before="0" w:line="250" w:lineRule="auto"/>
        <w:ind w:left="173"/>
      </w:pPr>
      <w:r>
        <w:rPr>
          <w:rFonts w:ascii="Aptos" w:hAnsi="Aptos" w:eastAsia="Aptos" w:cs="Aptos"/>
        </w:rPr>
        <w:t>D. The presentation requires immediate medical response and suicide assessment.</w:t>
      </w:r>
    </w:p>
    <w:p>
      <w:pPr>
        <w:keepLines/>
        <w:spacing w:after="120" w:before="0" w:line="250" w:lineRule="auto"/>
        <w:ind w:left="173"/>
      </w:pPr>
      <w:r>
        <w:rPr>
          <w:rFonts w:ascii="Aptos" w:hAnsi="Aptos" w:eastAsia="Aptos" w:cs="Aptos"/>
          <w:b w:val="0"/>
          <w:i/>
          <w:color w:val="5B6573"/>
          <w:sz w:val="19"/>
        </w:rPr>
        <w:t>Exam Strategy: Treat altered consciousness, severe withdrawal, overdose, or medical instability as an emergency before routine psychotherapy.</w:t>
      </w:r>
    </w:p>
    <w:p>
      <w:pPr>
        <w:pStyle w:val="Heading2"/>
        <w:keepNext/>
        <w:keepLines/>
      </w:pPr>
      <w:r>
        <w:rPr>
          <w:rFonts w:ascii="Aptos" w:hAnsi="Aptos" w:eastAsia="Aptos" w:cs="Aptos"/>
        </w:rPr>
        <w:t>Question 3 (LCSW-WB06-Q003)</w:t>
      </w:r>
    </w:p>
    <w:p>
      <w:pPr>
        <w:keepNext/>
        <w:keepLines/>
      </w:pPr>
      <w:r>
        <w:rPr>
          <w:rFonts w:ascii="Aptos" w:hAnsi="Aptos" w:eastAsia="Aptos" w:cs="Aptos"/>
          <w:b/>
          <w:color w:val="16324F"/>
        </w:rPr>
        <w:t>Correct Answer: C</w:t>
      </w:r>
    </w:p>
    <w:p>
      <w:pPr>
        <w:keepNext/>
        <w:keepLines/>
        <w:spacing w:after="40" w:before="0" w:line="250" w:lineRule="auto"/>
        <w:ind w:left="173"/>
      </w:pPr>
      <w:r>
        <w:rPr>
          <w:rFonts w:ascii="Aptos" w:hAnsi="Aptos" w:eastAsia="Aptos" w:cs="Aptos"/>
        </w:rPr>
        <w:t>A. This disregards self-determination and may end engagement.</w:t>
      </w:r>
    </w:p>
    <w:p>
      <w:pPr>
        <w:keepNext/>
        <w:keepLines/>
        <w:spacing w:after="40" w:before="0" w:line="250" w:lineRule="auto"/>
        <w:ind w:left="173"/>
      </w:pPr>
      <w:r>
        <w:rPr>
          <w:rFonts w:ascii="Aptos" w:hAnsi="Aptos" w:eastAsia="Aptos" w:cs="Aptos"/>
        </w:rPr>
        <w:t>B. Contacting the partner can increase danger and violates confidentiality.</w:t>
      </w:r>
    </w:p>
    <w:p>
      <w:pPr>
        <w:keepNext/>
        <w:keepLines/>
        <w:spacing w:after="40" w:before="0" w:line="250" w:lineRule="auto"/>
        <w:ind w:left="173"/>
      </w:pPr>
      <w:r>
        <w:rPr>
          <w:rFonts w:ascii="Aptos" w:hAnsi="Aptos" w:eastAsia="Aptos" w:cs="Aptos"/>
        </w:rPr>
        <w:t>C. The response protects autonomy while addressing immediate safety.</w:t>
      </w:r>
    </w:p>
    <w:p>
      <w:pPr>
        <w:keepNext/>
        <w:spacing w:before="0" w:after="40" w:line="250" w:lineRule="auto"/>
      </w:pPr>
      <w:r>
        <w:rPr>
          <w:rFonts w:ascii="Aptos" w:hAnsi="Aptos" w:eastAsia="Aptos" w:cs="Aptos"/>
        </w:rPr>
        <w:t>D. Forced action without a legal basis can undermine self-determination and may increase danger.</w:t>
      </w:r>
    </w:p>
    <w:p>
      <w:pPr>
        <w:keepLines/>
        <w:spacing w:after="120" w:before="0" w:line="250" w:lineRule="auto"/>
        <w:ind w:left="173"/>
      </w:pPr>
      <w:r>
        <w:rPr>
          <w:rFonts w:ascii="Aptos" w:hAnsi="Aptos" w:eastAsia="Aptos" w:cs="Aptos"/>
          <w:b w:val="0"/>
          <w:i/>
          <w:color w:val="5B6573"/>
          <w:sz w:val="19"/>
        </w:rPr>
        <w:t>Exam Strategy: Preserve self-determination while still addressing immediate danger, capacity, and any overriding legal duty.</w:t>
      </w:r>
    </w:p>
    <w:p>
      <w:pPr>
        <w:pStyle w:val="Heading2"/>
        <w:keepNext/>
        <w:keepLines/>
      </w:pPr>
      <w:r>
        <w:rPr>
          <w:rFonts w:ascii="Aptos" w:hAnsi="Aptos" w:eastAsia="Aptos" w:cs="Aptos"/>
        </w:rPr>
        <w:t>Question 4 (LCSW-WB06-Q004)</w:t>
      </w:r>
    </w:p>
    <w:p>
      <w:pPr>
        <w:keepNext/>
        <w:keepLines/>
      </w:pPr>
      <w:r>
        <w:rPr>
          <w:rFonts w:ascii="Aptos" w:hAnsi="Aptos" w:eastAsia="Aptos" w:cs="Aptos"/>
          <w:b/>
          <w:color w:val="16324F"/>
        </w:rPr>
        <w:t>Correct Answer: B</w:t>
      </w:r>
    </w:p>
    <w:p>
      <w:pPr>
        <w:keepNext/>
        <w:keepLines/>
        <w:spacing w:after="40" w:before="0" w:line="250" w:lineRule="auto"/>
        <w:ind w:left="173"/>
      </w:pPr>
      <w:r>
        <w:rPr>
          <w:rFonts w:ascii="Aptos" w:hAnsi="Aptos" w:eastAsia="Aptos" w:cs="Aptos"/>
        </w:rPr>
        <w:t>A. The social worker should not delay a required report to confront the alleged perpetrator.</w:t>
      </w:r>
    </w:p>
    <w:p>
      <w:pPr>
        <w:keepNext/>
        <w:keepLines/>
        <w:spacing w:after="40" w:before="0" w:line="250" w:lineRule="auto"/>
        <w:ind w:left="173"/>
      </w:pPr>
      <w:r>
        <w:rPr>
          <w:rFonts w:ascii="Aptos" w:hAnsi="Aptos" w:eastAsia="Aptos" w:cs="Aptos"/>
        </w:rPr>
        <w:t>B. The indicators require protective and reporting action under applicable law.</w:t>
      </w:r>
    </w:p>
    <w:p>
      <w:pPr>
        <w:keepNext/>
        <w:keepLines/>
        <w:spacing w:after="40" w:before="0" w:line="250" w:lineRule="auto"/>
        <w:ind w:left="173"/>
      </w:pPr>
      <w:r>
        <w:rPr>
          <w:rFonts w:ascii="Aptos" w:hAnsi="Aptos" w:eastAsia="Aptos" w:cs="Aptos"/>
        </w:rPr>
        <w:t>C. A complete investigation is not the social worker’s role.</w:t>
      </w:r>
    </w:p>
    <w:p>
      <w:pPr>
        <w:keepNext/>
        <w:keepLines/>
        <w:spacing w:after="40" w:before="0" w:line="250" w:lineRule="auto"/>
        <w:ind w:left="173"/>
      </w:pPr>
      <w:r>
        <w:rPr>
          <w:rFonts w:ascii="Aptos" w:hAnsi="Aptos" w:eastAsia="Aptos" w:cs="Aptos"/>
        </w:rPr>
        <w:t>D. Monitoring alone is inadequate when abuse is reasonably suspected.</w:t>
      </w:r>
    </w:p>
    <w:p>
      <w:pPr>
        <w:keepLines/>
        <w:spacing w:after="120" w:before="0" w:line="250" w:lineRule="auto"/>
        <w:ind w:left="173"/>
      </w:pPr>
      <w:r>
        <w:rPr>
          <w:rFonts w:ascii="Aptos" w:hAnsi="Aptos" w:eastAsia="Aptos" w:cs="Aptos"/>
          <w:b w:val="0"/>
          <w:i/>
          <w:color w:val="5B6573"/>
          <w:sz w:val="19"/>
        </w:rPr>
        <w:t>Exam Strategy: When the facts establish reasonable suspicion or a supplied reporting duty, protect safety and make the required report without delaying for proof.</w:t>
      </w:r>
    </w:p>
    <w:p>
      <w:pPr>
        <w:pStyle w:val="Heading2"/>
        <w:keepNext/>
        <w:keepLines/>
      </w:pPr>
      <w:r>
        <w:rPr>
          <w:rFonts w:ascii="Aptos" w:hAnsi="Aptos" w:eastAsia="Aptos" w:cs="Aptos"/>
        </w:rPr>
        <w:t>Question 5 (LCSW-WB06-Q005)</w:t>
      </w:r>
    </w:p>
    <w:p>
      <w:pPr>
        <w:keepNext/>
        <w:keepLines/>
      </w:pPr>
      <w:r>
        <w:rPr>
          <w:rFonts w:ascii="Aptos" w:hAnsi="Aptos" w:eastAsia="Aptos" w:cs="Aptos"/>
          <w:b/>
          <w:color w:val="16324F"/>
        </w:rPr>
        <w:t>Correct Answer: A</w:t>
      </w:r>
    </w:p>
    <w:p>
      <w:pPr>
        <w:keepNext/>
        <w:keepLines/>
        <w:spacing w:after="40" w:before="0" w:line="250" w:lineRule="auto"/>
        <w:ind w:left="173"/>
      </w:pPr>
      <w:r>
        <w:rPr>
          <w:rFonts w:ascii="Aptos" w:hAnsi="Aptos" w:eastAsia="Aptos" w:cs="Aptos"/>
        </w:rPr>
        <w:t>A. The immediate priorities are medical risk, capacity, and safe evaluation.</w:t>
      </w:r>
    </w:p>
    <w:p>
      <w:pPr>
        <w:keepNext/>
        <w:keepLines/>
        <w:spacing w:after="40" w:before="0" w:line="250" w:lineRule="auto"/>
        <w:ind w:left="173"/>
      </w:pPr>
      <w:r>
        <w:rPr>
          <w:rFonts w:ascii="Aptos" w:hAnsi="Aptos" w:eastAsia="Aptos" w:cs="Aptos"/>
        </w:rPr>
        <w:t>B. Self-determination depends on capacity and does not require ignoring an apparent emergency.</w:t>
      </w:r>
    </w:p>
    <w:p>
      <w:pPr>
        <w:keepNext/>
        <w:keepLines/>
        <w:spacing w:after="40" w:before="0" w:line="250" w:lineRule="auto"/>
        <w:ind w:left="173"/>
      </w:pPr>
      <w:r>
        <w:rPr>
          <w:rFonts w:ascii="Aptos" w:hAnsi="Aptos" w:eastAsia="Aptos" w:cs="Aptos"/>
        </w:rPr>
        <w:t>C. Long-term placement planning follows stabilization and assessment.</w:t>
      </w:r>
    </w:p>
    <w:p>
      <w:pPr>
        <w:keepNext/>
        <w:keepLines/>
        <w:spacing w:after="40" w:before="0" w:line="250" w:lineRule="auto"/>
        <w:ind w:left="173"/>
      </w:pPr>
      <w:r>
        <w:rPr>
          <w:rFonts w:ascii="Aptos" w:hAnsi="Aptos" w:eastAsia="Aptos" w:cs="Aptos"/>
        </w:rPr>
        <w:t>D. Groceries alone do not address confusion, dehydration, or medication risk.</w:t>
      </w:r>
    </w:p>
    <w:p>
      <w:pPr>
        <w:keepLines/>
        <w:spacing w:after="120" w:before="0" w:line="250" w:lineRule="auto"/>
        <w:ind w:left="173"/>
      </w:pPr>
      <w:r>
        <w:rPr>
          <w:rFonts w:ascii="Aptos" w:hAnsi="Aptos" w:eastAsia="Aptos" w:cs="Aptos"/>
          <w:b w:val="0"/>
          <w:i/>
          <w:color w:val="5B6573"/>
          <w:sz w:val="19"/>
        </w:rPr>
        <w:t>Exam Strategy: Treat altered consciousness, severe withdrawal, overdose, or medical instability as an emergency before routine psychotherapy.</w:t>
      </w:r>
    </w:p>
    <w:p>
      <w:pPr>
        <w:pStyle w:val="Heading2"/>
        <w:keepNext/>
        <w:keepLines/>
      </w:pPr>
      <w:r>
        <w:rPr>
          <w:rFonts w:ascii="Aptos" w:hAnsi="Aptos" w:eastAsia="Aptos" w:cs="Aptos"/>
        </w:rPr>
        <w:t>Question 6 (LCSW-WB06-Q006)</w:t>
      </w:r>
    </w:p>
    <w:p>
      <w:pPr>
        <w:keepNext/>
        <w:keepLines/>
      </w:pPr>
      <w:r>
        <w:rPr>
          <w:rFonts w:ascii="Aptos" w:hAnsi="Aptos" w:eastAsia="Aptos" w:cs="Aptos"/>
          <w:b/>
          <w:color w:val="16324F"/>
        </w:rPr>
        <w:t>Correct Answer: D</w:t>
      </w:r>
    </w:p>
    <w:p>
      <w:pPr>
        <w:keepNext/>
        <w:keepLines/>
        <w:spacing w:after="40" w:before="0" w:line="250" w:lineRule="auto"/>
        <w:ind w:left="173"/>
      </w:pPr>
      <w:r>
        <w:rPr>
          <w:rFonts w:ascii="Aptos" w:hAnsi="Aptos" w:eastAsia="Aptos" w:cs="Aptos"/>
        </w:rPr>
        <w:t>A. The facts do not yet establish the nature or seriousness of the threat; exact legal duties also vary.</w:t>
      </w:r>
    </w:p>
    <w:p>
      <w:pPr>
        <w:keepNext/>
        <w:keepLines/>
        <w:spacing w:after="40" w:before="0" w:line="250" w:lineRule="auto"/>
        <w:ind w:left="173"/>
      </w:pPr>
      <w:r>
        <w:rPr>
          <w:rFonts w:ascii="Aptos" w:hAnsi="Aptos" w:eastAsia="Aptos" w:cs="Aptos"/>
        </w:rPr>
        <w:t>B. Termination would reduce care and is unsupported by the available facts.</w:t>
      </w:r>
    </w:p>
    <w:p>
      <w:pPr>
        <w:keepNext/>
        <w:keepLines/>
        <w:spacing w:after="40" w:before="0" w:line="250" w:lineRule="auto"/>
        <w:ind w:left="173"/>
      </w:pPr>
      <w:r>
        <w:rPr>
          <w:rFonts w:ascii="Aptos" w:hAnsi="Aptos" w:eastAsia="Aptos" w:cs="Aptos"/>
        </w:rPr>
        <w:t>C. Skills teaching is premature until the threat, intent, means, access, and immediacy are clarified.</w:t>
      </w:r>
    </w:p>
    <w:p>
      <w:pPr>
        <w:keepNext/>
        <w:spacing w:before="0" w:after="40" w:line="250" w:lineRule="auto"/>
      </w:pPr>
      <w:r>
        <w:rPr>
          <w:rFonts w:ascii="Aptos" w:hAnsi="Aptos" w:eastAsia="Aptos" w:cs="Aptos"/>
        </w:rPr>
        <w:t>D. More direct assessment is needed to determine risk and the appropriate response.</w:t>
      </w:r>
    </w:p>
    <w:p>
      <w:pPr>
        <w:keepLines/>
        <w:spacing w:after="120" w:before="0" w:line="250" w:lineRule="auto"/>
        <w:ind w:left="173"/>
      </w:pPr>
      <w:r>
        <w:rPr>
          <w:rFonts w:ascii="Aptos" w:hAnsi="Aptos" w:eastAsia="Aptos" w:cs="Aptos"/>
          <w:b w:val="0"/>
          <w:i/>
          <w:color w:val="5B6573"/>
          <w:sz w:val="19"/>
        </w:rPr>
        <w:t>Exam Strategy: When acuity is not yet clear, ask direct questions about intent, plan, means, behavior, timing, and protective factors before choosing disposition.</w:t>
      </w:r>
    </w:p>
    <w:p>
      <w:pPr>
        <w:pStyle w:val="Heading2"/>
        <w:keepNext/>
        <w:keepLines/>
      </w:pPr>
      <w:r>
        <w:rPr>
          <w:rFonts w:ascii="Aptos" w:hAnsi="Aptos" w:eastAsia="Aptos" w:cs="Aptos"/>
        </w:rPr>
        <w:t>Question 7 (LCSW-WB06-Q007)</w:t>
      </w:r>
    </w:p>
    <w:p>
      <w:pPr>
        <w:keepNext/>
        <w:keepLines/>
      </w:pPr>
      <w:r>
        <w:rPr>
          <w:rFonts w:ascii="Aptos" w:hAnsi="Aptos" w:eastAsia="Aptos" w:cs="Aptos"/>
          <w:b/>
          <w:color w:val="16324F"/>
        </w:rPr>
        <w:t>Correct Answer: C</w:t>
      </w:r>
    </w:p>
    <w:p>
      <w:pPr>
        <w:keepNext/>
        <w:keepLines/>
        <w:spacing w:after="40" w:before="0" w:line="250" w:lineRule="auto"/>
        <w:ind w:left="173"/>
      </w:pPr>
      <w:r>
        <w:rPr>
          <w:rFonts w:ascii="Aptos" w:hAnsi="Aptos" w:eastAsia="Aptos" w:cs="Aptos"/>
        </w:rPr>
        <w:t>A. The social worker should not impose a placement without assessing capacity, risk, and options.</w:t>
      </w:r>
    </w:p>
    <w:p>
      <w:pPr>
        <w:keepNext/>
        <w:keepLines/>
        <w:spacing w:after="40" w:before="0" w:line="250" w:lineRule="auto"/>
        <w:ind w:left="173"/>
      </w:pPr>
      <w:r>
        <w:rPr>
          <w:rFonts w:ascii="Aptos" w:hAnsi="Aptos" w:eastAsia="Aptos" w:cs="Aptos"/>
        </w:rPr>
        <w:t>B. Psychotherapy is premature before triage and stabilization.</w:t>
      </w:r>
    </w:p>
    <w:p>
      <w:pPr>
        <w:keepNext/>
        <w:keepLines/>
        <w:spacing w:after="40" w:before="0" w:line="250" w:lineRule="auto"/>
        <w:ind w:left="173"/>
      </w:pPr>
      <w:r>
        <w:rPr>
          <w:rFonts w:ascii="Aptos" w:hAnsi="Aptos" w:eastAsia="Aptos" w:cs="Aptos"/>
        </w:rPr>
        <w:t>C. This integrates safety, health, self-determination, and practical resources.</w:t>
      </w:r>
    </w:p>
    <w:p>
      <w:pPr>
        <w:keepNext/>
        <w:keepLines/>
        <w:spacing w:after="40" w:before="0" w:line="250" w:lineRule="auto"/>
        <w:ind w:left="173"/>
      </w:pPr>
      <w:r>
        <w:rPr>
          <w:rFonts w:ascii="Aptos" w:hAnsi="Aptos" w:eastAsia="Aptos" w:cs="Aptos"/>
        </w:rPr>
        <w:t>D. Refusal of one resource does not justify abandonment.</w:t>
      </w:r>
    </w:p>
    <w:p>
      <w:pPr>
        <w:keepLines/>
        <w:spacing w:after="120" w:before="0" w:line="250" w:lineRule="auto"/>
        <w:ind w:left="173"/>
      </w:pPr>
      <w:r>
        <w:rPr>
          <w:rFonts w:ascii="Aptos" w:hAnsi="Aptos" w:eastAsia="Aptos" w:cs="Aptos"/>
          <w:b w:val="0"/>
          <w:i/>
          <w:color w:val="5B6573"/>
          <w:sz w:val="19"/>
        </w:rPr>
        <w:t>Exam Strategy: Preserve self-determination while still addressing immediate danger, capacity, and any overriding legal duty.</w:t>
      </w:r>
    </w:p>
    <w:p>
      <w:pPr>
        <w:pStyle w:val="Heading2"/>
        <w:keepNext/>
        <w:keepLines/>
      </w:pPr>
      <w:r>
        <w:rPr>
          <w:rFonts w:ascii="Aptos" w:hAnsi="Aptos" w:eastAsia="Aptos" w:cs="Aptos"/>
        </w:rPr>
        <w:t>Question 8 (LCSW-WB06-Q008)</w:t>
      </w:r>
    </w:p>
    <w:p>
      <w:pPr>
        <w:keepNext/>
        <w:keepLines/>
      </w:pPr>
      <w:r>
        <w:rPr>
          <w:rFonts w:ascii="Aptos" w:hAnsi="Aptos" w:eastAsia="Aptos" w:cs="Aptos"/>
          <w:b/>
          <w:color w:val="16324F"/>
        </w:rPr>
        <w:t>Correct Answer: B</w:t>
      </w:r>
    </w:p>
    <w:p>
      <w:pPr>
        <w:keepNext/>
        <w:keepLines/>
        <w:spacing w:after="40" w:before="0" w:line="250" w:lineRule="auto"/>
        <w:ind w:left="173"/>
      </w:pPr>
      <w:r>
        <w:rPr>
          <w:rFonts w:ascii="Aptos" w:hAnsi="Aptos" w:eastAsia="Aptos" w:cs="Aptos"/>
        </w:rPr>
        <w:t>A. Confrontation can increase danger.</w:t>
      </w:r>
    </w:p>
    <w:p>
      <w:pPr>
        <w:keepNext/>
        <w:keepLines/>
        <w:spacing w:after="40" w:before="0" w:line="250" w:lineRule="auto"/>
        <w:ind w:left="173"/>
      </w:pPr>
      <w:r>
        <w:rPr>
          <w:rFonts w:ascii="Aptos" w:hAnsi="Aptos" w:eastAsia="Aptos" w:cs="Aptos"/>
        </w:rPr>
        <w:t>B. The first response addresses safety, health, control, and resource options.</w:t>
      </w:r>
    </w:p>
    <w:p>
      <w:pPr>
        <w:keepNext/>
        <w:keepLines/>
        <w:spacing w:after="40" w:before="0" w:line="250" w:lineRule="auto"/>
        <w:ind w:left="173"/>
      </w:pPr>
      <w:r>
        <w:rPr>
          <w:rFonts w:ascii="Aptos" w:hAnsi="Aptos" w:eastAsia="Aptos" w:cs="Aptos"/>
        </w:rPr>
        <w:t>C. Detailed processing is premature and may be overwhelming.</w:t>
      </w:r>
    </w:p>
    <w:p>
      <w:pPr>
        <w:keepNext/>
        <w:keepLines/>
        <w:spacing w:after="40" w:before="0" w:line="250" w:lineRule="auto"/>
        <w:ind w:left="173"/>
      </w:pPr>
      <w:r>
        <w:rPr>
          <w:rFonts w:ascii="Aptos" w:hAnsi="Aptos" w:eastAsia="Aptos" w:cs="Aptos"/>
        </w:rPr>
        <w:t>D. Adult reporting duties vary, and the client’s choices should not be overridden without a legal basis.</w:t>
      </w:r>
    </w:p>
    <w:p>
      <w:pPr>
        <w:keepLines/>
        <w:spacing w:after="120" w:before="0" w:line="250" w:lineRule="auto"/>
        <w:ind w:left="173"/>
      </w:pPr>
      <w:r>
        <w:rPr>
          <w:rFonts w:ascii="Aptos" w:hAnsi="Aptos" w:eastAsia="Aptos" w:cs="Aptos"/>
          <w:b w:val="0"/>
          <w:i/>
          <w:color w:val="5B6573"/>
          <w:sz w:val="19"/>
        </w:rPr>
        <w:t>Exam Strategy: When the facts establish reasonable suspicion or a supplied reporting duty, protect safety and make the required report without delaying for proof.</w:t>
      </w:r>
    </w:p>
    <w:p>
      <w:pPr>
        <w:pStyle w:val="Heading2"/>
        <w:keepNext/>
        <w:keepLines/>
      </w:pPr>
      <w:r>
        <w:rPr>
          <w:rFonts w:ascii="Aptos" w:hAnsi="Aptos" w:eastAsia="Aptos" w:cs="Aptos"/>
        </w:rPr>
        <w:t>Question 9 (LCSW-WB06-Q009)</w:t>
      </w:r>
    </w:p>
    <w:p>
      <w:pPr>
        <w:keepNext/>
        <w:keepLines/>
      </w:pPr>
      <w:r>
        <w:rPr>
          <w:rFonts w:ascii="Aptos" w:hAnsi="Aptos" w:eastAsia="Aptos" w:cs="Aptos"/>
          <w:b/>
          <w:color w:val="16324F"/>
        </w:rPr>
        <w:t>Correct Answer: A</w:t>
      </w:r>
    </w:p>
    <w:p>
      <w:pPr>
        <w:keepNext/>
        <w:keepLines/>
        <w:spacing w:after="40" w:before="0" w:line="250" w:lineRule="auto"/>
        <w:ind w:left="173"/>
      </w:pPr>
      <w:r>
        <w:rPr>
          <w:rFonts w:ascii="Aptos" w:hAnsi="Aptos" w:eastAsia="Aptos" w:cs="Aptos"/>
        </w:rPr>
        <w:t>A. Immediate health, safety, and basic needs are the priority.</w:t>
      </w:r>
    </w:p>
    <w:p>
      <w:pPr>
        <w:keepNext/>
        <w:keepLines/>
        <w:spacing w:after="40" w:before="0" w:line="250" w:lineRule="auto"/>
        <w:ind w:left="173"/>
      </w:pPr>
      <w:r>
        <w:rPr>
          <w:rFonts w:ascii="Aptos" w:hAnsi="Aptos" w:eastAsia="Aptos" w:cs="Aptos"/>
        </w:rPr>
        <w:t>B. Psychoeducation may help later but does not address urgent health and shelter needs.</w:t>
      </w:r>
    </w:p>
    <w:p>
      <w:pPr>
        <w:keepNext/>
        <w:keepLines/>
        <w:spacing w:after="40" w:before="0" w:line="250" w:lineRule="auto"/>
        <w:ind w:left="173"/>
      </w:pPr>
      <w:r>
        <w:rPr>
          <w:rFonts w:ascii="Aptos" w:hAnsi="Aptos" w:eastAsia="Aptos" w:cs="Aptos"/>
        </w:rPr>
        <w:t>C. Family assessment is not the first step during the current crisis.</w:t>
      </w:r>
    </w:p>
    <w:p>
      <w:pPr>
        <w:keepNext/>
        <w:spacing w:before="0" w:after="40" w:line="250" w:lineRule="auto"/>
      </w:pPr>
      <w:r>
        <w:rPr>
          <w:rFonts w:ascii="Aptos" w:hAnsi="Aptos" w:eastAsia="Aptos" w:cs="Aptos"/>
        </w:rPr>
        <w:t>D. A checklist does not address the urgent medication, health, and shelter needs in the stem.</w:t>
      </w:r>
    </w:p>
    <w:p>
      <w:pPr>
        <w:keepLines/>
        <w:spacing w:after="120" w:before="0" w:line="250" w:lineRule="auto"/>
        <w:ind w:left="173"/>
      </w:pPr>
      <w:r>
        <w:rPr>
          <w:rFonts w:ascii="Aptos" w:hAnsi="Aptos" w:eastAsia="Aptos" w:cs="Aptos"/>
          <w:b w:val="0"/>
          <w:i/>
          <w:color w:val="5B6573"/>
          <w:sz w:val="19"/>
        </w:rPr>
        <w:t>Exam Strategy: When acuity is not yet clear, ask direct questions about intent, plan, means, behavior, timing, and protective factors before choosing disposition.</w:t>
      </w:r>
    </w:p>
    <w:p>
      <w:pPr>
        <w:pStyle w:val="Heading2"/>
        <w:keepNext/>
        <w:keepLines/>
      </w:pPr>
      <w:r>
        <w:rPr>
          <w:rFonts w:ascii="Aptos" w:hAnsi="Aptos" w:eastAsia="Aptos" w:cs="Aptos"/>
        </w:rPr>
        <w:t>Question 10 (LCSW-WB06-Q010)</w:t>
      </w:r>
    </w:p>
    <w:p>
      <w:pPr>
        <w:keepNext/>
        <w:keepLines/>
      </w:pPr>
      <w:r>
        <w:rPr>
          <w:rFonts w:ascii="Aptos" w:hAnsi="Aptos" w:eastAsia="Aptos" w:cs="Aptos"/>
          <w:b/>
          <w:color w:val="16324F"/>
        </w:rPr>
        <w:t>Correct Answer: B</w:t>
      </w:r>
    </w:p>
    <w:p>
      <w:pPr>
        <w:keepNext/>
        <w:keepLines/>
        <w:spacing w:after="40" w:before="0" w:line="250" w:lineRule="auto"/>
        <w:ind w:left="173"/>
      </w:pPr>
      <w:r>
        <w:rPr>
          <w:rFonts w:ascii="Aptos" w:hAnsi="Aptos" w:eastAsia="Aptos" w:cs="Aptos"/>
        </w:rPr>
        <w:t>A. The facts do not automatically require hospitalization, and a less restrictive safe plan appears possible.</w:t>
      </w:r>
    </w:p>
    <w:p>
      <w:pPr>
        <w:keepNext/>
        <w:keepLines/>
        <w:spacing w:after="40" w:before="0" w:line="250" w:lineRule="auto"/>
        <w:ind w:left="173"/>
      </w:pPr>
      <w:r>
        <w:rPr>
          <w:rFonts w:ascii="Aptos" w:hAnsi="Aptos" w:eastAsia="Aptos" w:cs="Aptos"/>
        </w:rPr>
        <w:t>B. This integrates current risk, protective factors, language access, person-in-environment barriers, resources, and follow-up.</w:t>
      </w:r>
    </w:p>
    <w:p>
      <w:pPr>
        <w:keepNext/>
        <w:keepLines/>
        <w:spacing w:after="40" w:before="0" w:line="250" w:lineRule="auto"/>
        <w:ind w:left="173"/>
      </w:pPr>
      <w:r>
        <w:rPr>
          <w:rFonts w:ascii="Aptos" w:hAnsi="Aptos" w:eastAsia="Aptos" w:cs="Aptos"/>
        </w:rPr>
        <w:t>C. Trauma processing alone ignores safety and urgent structural stressors.</w:t>
      </w:r>
    </w:p>
    <w:p>
      <w:pPr>
        <w:keepNext/>
        <w:keepLines/>
        <w:spacing w:after="40" w:before="0" w:line="250" w:lineRule="auto"/>
        <w:ind w:left="173"/>
      </w:pPr>
      <w:r>
        <w:rPr>
          <w:rFonts w:ascii="Aptos" w:hAnsi="Aptos" w:eastAsia="Aptos" w:cs="Aptos"/>
        </w:rPr>
        <w:t>D. A generic instruction is insufficient given language and transportation barriers.</w:t>
      </w:r>
    </w:p>
    <w:p>
      <w:pPr>
        <w:keepLines/>
        <w:spacing w:after="120" w:before="0" w:line="250" w:lineRule="auto"/>
        <w:ind w:left="173"/>
      </w:pPr>
      <w:r>
        <w:rPr>
          <w:rFonts w:ascii="Aptos" w:hAnsi="Aptos" w:eastAsia="Aptos" w:cs="Aptos"/>
          <w:b w:val="0"/>
          <w:i/>
          <w:color w:val="5B6573"/>
          <w:sz w:val="19"/>
        </w:rPr>
        <w:t>Exam Strategy: Match the response to acuity: assess when facts are missing, act when danger or a legal duty is already established, then document and follow up.</w:t>
      </w:r>
    </w:p>
    <w:p>
      <w:r>
        <w:rPr>
          <w:rFonts w:ascii="Aptos" w:hAnsi="Aptos" w:eastAsia="Aptos" w:cs="Aptos"/>
        </w:rPr>
        <w:br w:type="page"/>
      </w:r>
    </w:p>
    <w:p>
      <w:pPr>
        <w:pStyle w:val="Heading1"/>
        <w:keepNext/>
      </w:pPr>
      <w:r>
        <w:rPr>
          <w:rFonts w:ascii="Aptos" w:hAnsi="Aptos" w:eastAsia="Aptos" w:cs="Aptos"/>
        </w:rPr>
        <w:t>Score and Study Plan</w:t>
      </w:r>
    </w:p>
    <w:tbl>
      <w:tblPr>
        <w:tblStyle w:val="TableGrid"/>
        <w:tblW w:type="auto" w:w="0"/>
        <w:jc w:val="center"/>
        <w:tblLayout w:type="fixed"/>
        <w:tblLook w:firstColumn="1" w:firstRow="1" w:lastColumn="0" w:lastRow="0" w:noHBand="0" w:noVBand="1" w:val="04A0"/>
      </w:tblPr>
      <w:tblGrid>
        <w:gridCol w:w="1728"/>
        <w:gridCol w:w="2880"/>
        <w:gridCol w:w="5328"/>
      </w:tblGrid>
      <w:tr>
        <w:trPr>
          <w:tblHeader w:val="true"/>
          <w:cantSplit/>
        </w:trPr>
        <w:tc>
          <w:tcPr>
            <w:tcW w:type="dxa" w:w="336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Score Range</w:t>
            </w:r>
          </w:p>
        </w:tc>
        <w:tc>
          <w:tcPr>
            <w:tcW w:type="dxa" w:w="336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Meaning</w:t>
            </w:r>
          </w:p>
        </w:tc>
        <w:tc>
          <w:tcPr>
            <w:tcW w:type="dxa" w:w="336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Recommended Next Step</w:t>
            </w:r>
          </w:p>
        </w:tc>
      </w:tr>
      <w:tr>
        <w:trPr>
          <w:cantSplit/>
        </w:trPr>
        <w:tc>
          <w:tcPr>
            <w:tcW w:type="dxa" w:w="1728"/>
            <w:tcMar>
              <w:top w:w="100" w:type="dxa"/>
              <w:start w:w="120" w:type="dxa"/>
              <w:bottom w:w="100" w:type="dxa"/>
              <w:end w:w="120" w:type="dxa"/>
            </w:tcMar>
            <w:vAlign w:val="center"/>
          </w:tcPr>
          <w:p>
            <w:pPr>
              <w:spacing w:after="40" w:before="0" w:line="245" w:lineRule="auto"/>
            </w:pPr>
            <w:r>
              <w:rPr>
                <w:rFonts w:ascii="Aptos" w:hAnsi="Aptos" w:eastAsia="Aptos" w:cs="Aptos"/>
                <w:sz w:val="18"/>
              </w:rPr>
              <w:t>9-10</w:t>
            </w:r>
          </w:p>
        </w:tc>
        <w:tc>
          <w:tcPr>
            <w:tcW w:type="dxa" w:w="2880"/>
            <w:tcMar>
              <w:top w:w="100" w:type="dxa"/>
              <w:start w:w="120" w:type="dxa"/>
              <w:bottom w:w="100" w:type="dxa"/>
              <w:end w:w="120" w:type="dxa"/>
            </w:tcMar>
            <w:vAlign w:val="center"/>
          </w:tcPr>
          <w:p>
            <w:pPr>
              <w:spacing w:after="40" w:before="0" w:line="245" w:lineRule="auto"/>
            </w:pPr>
            <w:r>
              <w:rPr>
                <w:rFonts w:ascii="Aptos" w:hAnsi="Aptos" w:eastAsia="Aptos" w:cs="Aptos"/>
                <w:sz w:val="18"/>
              </w:rPr>
              <w:t>Strong crisis sequencing</w:t>
            </w:r>
          </w:p>
        </w:tc>
        <w:tc>
          <w:tcPr>
            <w:tcW w:type="dxa" w:w="5328"/>
            <w:tcMar>
              <w:top w:w="100" w:type="dxa"/>
              <w:start w:w="120" w:type="dxa"/>
              <w:bottom w:w="100" w:type="dxa"/>
              <w:end w:w="120" w:type="dxa"/>
            </w:tcMar>
            <w:vAlign w:val="center"/>
          </w:tcPr>
          <w:p>
            <w:pPr>
              <w:spacing w:after="40" w:before="0" w:line="245" w:lineRule="auto"/>
            </w:pPr>
            <w:r>
              <w:rPr>
                <w:rFonts w:ascii="Aptos" w:hAnsi="Aptos" w:eastAsia="Aptos" w:cs="Aptos"/>
                <w:sz w:val="18"/>
              </w:rPr>
              <w:t>Review low-confidence items and practice mixed vignettes with legal and medical distractors.</w:t>
            </w:r>
          </w:p>
        </w:tc>
      </w:tr>
      <w:tr>
        <w:trPr>
          <w:cantSplit/>
        </w:trPr>
        <w:tc>
          <w:tcPr>
            <w:tcW w:type="dxa" w:w="17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7-8</w:t>
            </w:r>
          </w:p>
        </w:tc>
        <w:tc>
          <w:tcPr>
            <w:tcW w:type="dxa" w:w="288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Developing consistency</w:t>
            </w:r>
          </w:p>
        </w:tc>
        <w:tc>
          <w:tcPr>
            <w:tcW w:type="dxa" w:w="53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Revisit the SAFER sequence, direct risk assessment, and assess-versus-act distinctions.</w:t>
            </w:r>
          </w:p>
        </w:tc>
      </w:tr>
      <w:tr>
        <w:trPr>
          <w:cantSplit/>
        </w:trPr>
        <w:tc>
          <w:tcPr>
            <w:tcW w:type="dxa" w:w="1728"/>
            <w:tcMar>
              <w:top w:w="100" w:type="dxa"/>
              <w:start w:w="120" w:type="dxa"/>
              <w:bottom w:w="100" w:type="dxa"/>
              <w:end w:w="120" w:type="dxa"/>
            </w:tcMar>
            <w:vAlign w:val="center"/>
          </w:tcPr>
          <w:p>
            <w:pPr>
              <w:spacing w:after="40" w:before="0" w:line="245" w:lineRule="auto"/>
            </w:pPr>
            <w:r>
              <w:rPr>
                <w:rFonts w:ascii="Aptos" w:hAnsi="Aptos" w:eastAsia="Aptos" w:cs="Aptos"/>
                <w:sz w:val="18"/>
              </w:rPr>
              <w:t>5-6</w:t>
            </w:r>
          </w:p>
        </w:tc>
        <w:tc>
          <w:tcPr>
            <w:tcW w:type="dxa" w:w="2880"/>
            <w:tcMar>
              <w:top w:w="100" w:type="dxa"/>
              <w:start w:w="120" w:type="dxa"/>
              <w:bottom w:w="100" w:type="dxa"/>
              <w:end w:w="120" w:type="dxa"/>
            </w:tcMar>
            <w:vAlign w:val="center"/>
          </w:tcPr>
          <w:p>
            <w:pPr>
              <w:spacing w:after="40" w:before="0" w:line="245" w:lineRule="auto"/>
            </w:pPr>
            <w:r>
              <w:rPr>
                <w:rFonts w:ascii="Aptos" w:hAnsi="Aptos" w:eastAsia="Aptos" w:cs="Aptos"/>
                <w:sz w:val="18"/>
              </w:rPr>
              <w:t>Urgency or scope gaps</w:t>
            </w:r>
          </w:p>
        </w:tc>
        <w:tc>
          <w:tcPr>
            <w:tcW w:type="dxa" w:w="5328"/>
            <w:tcMar>
              <w:top w:w="100" w:type="dxa"/>
              <w:start w:w="120" w:type="dxa"/>
              <w:bottom w:w="100" w:type="dxa"/>
              <w:end w:w="120" w:type="dxa"/>
            </w:tcMar>
            <w:vAlign w:val="center"/>
          </w:tcPr>
          <w:p>
            <w:pPr>
              <w:spacing w:after="40" w:before="0" w:line="245" w:lineRule="auto"/>
            </w:pPr>
            <w:r>
              <w:rPr>
                <w:rFonts w:ascii="Aptos" w:hAnsi="Aptos" w:eastAsia="Aptos" w:cs="Aptos"/>
                <w:sz w:val="18"/>
              </w:rPr>
              <w:t>Review emergency indicators, reporting rules, and safety-planning realism before retesting.</w:t>
            </w:r>
          </w:p>
        </w:tc>
      </w:tr>
      <w:tr>
        <w:trPr>
          <w:cantSplit/>
        </w:trPr>
        <w:tc>
          <w:tcPr>
            <w:tcW w:type="dxa" w:w="17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0-4</w:t>
            </w:r>
          </w:p>
        </w:tc>
        <w:tc>
          <w:tcPr>
            <w:tcW w:type="dxa" w:w="2880"/>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Foundation needs reinforcement</w:t>
            </w:r>
          </w:p>
        </w:tc>
        <w:tc>
          <w:tcPr>
            <w:tcW w:type="dxa" w:w="5328"/>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t>Study one crisis category at a time and complete a second untimed attempt before advancing.</w:t>
            </w:r>
          </w:p>
        </w:tc>
      </w:tr>
    </w:tbl>
    <w:p>
      <w:pPr>
        <w:spacing w:after="0"/>
      </w:pPr>
    </w:p>
    <w:p>
      <w:pPr>
        <w:pStyle w:val="Heading2"/>
        <w:keepNext/>
      </w:pPr>
      <w:r>
        <w:rPr>
          <w:rFonts w:ascii="Aptos" w:hAnsi="Aptos" w:eastAsia="Aptos" w:cs="Aptos"/>
        </w:rPr>
        <w:t>My Error Patterns</w:t>
      </w:r>
    </w:p>
    <w:tbl>
      <w:tblPr>
        <w:tblStyle w:val="TableGrid"/>
        <w:tblW w:type="auto" w:w="0"/>
        <w:jc w:val="center"/>
        <w:tblLayout w:type="fixed"/>
        <w:tblLook w:firstColumn="1" w:firstRow="1" w:lastColumn="0" w:lastRow="0" w:noHBand="0" w:noVBand="1" w:val="04A0"/>
      </w:tblPr>
      <w:tblGrid>
        <w:gridCol w:w="2016"/>
        <w:gridCol w:w="3024"/>
        <w:gridCol w:w="4896"/>
      </w:tblGrid>
      <w:tr>
        <w:trPr>
          <w:tblHeader w:val="true"/>
          <w:cantSplit/>
        </w:trPr>
        <w:tc>
          <w:tcPr>
            <w:tcW w:type="dxa" w:w="336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Question(s)</w:t>
            </w:r>
          </w:p>
        </w:tc>
        <w:tc>
          <w:tcPr>
            <w:tcW w:type="dxa" w:w="336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Error Type</w:t>
            </w:r>
          </w:p>
        </w:tc>
        <w:tc>
          <w:tcPr>
            <w:tcW w:type="dxa" w:w="3360"/>
            <w:shd w:fill="16324F"/>
            <w:tcMar>
              <w:top w:w="100" w:type="dxa"/>
              <w:start w:w="120" w:type="dxa"/>
              <w:bottom w:w="100" w:type="dxa"/>
              <w:end w:w="120" w:type="dxa"/>
            </w:tcMar>
            <w:vAlign w:val="center"/>
          </w:tcPr>
          <w:p>
            <w:pPr>
              <w:spacing w:after="40" w:before="0" w:line="245" w:lineRule="auto"/>
            </w:pPr>
            <w:r>
              <w:rPr>
                <w:rFonts w:ascii="Aptos" w:hAnsi="Aptos" w:eastAsia="Aptos" w:cs="Aptos"/>
                <w:b/>
                <w:color w:val="FFFFFF"/>
                <w:sz w:val="18"/>
              </w:rPr>
              <w:t>Rule I Will Use Next Time</w:t>
            </w:r>
          </w:p>
        </w:tc>
      </w:tr>
      <w:tr>
        <w:trPr>
          <w:cantSplit/>
        </w:trPr>
        <w:tc>
          <w:tcPr>
            <w:tcW w:type="dxa" w:w="201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3024"/>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489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r>
        <w:trPr>
          <w:cantSplit/>
        </w:trPr>
        <w:tc>
          <w:tcPr>
            <w:tcW w:type="dxa" w:w="201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3024"/>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489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r>
      <w:tr>
        <w:trPr>
          <w:cantSplit/>
        </w:trPr>
        <w:tc>
          <w:tcPr>
            <w:tcW w:type="dxa" w:w="201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3024"/>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c>
          <w:tcPr>
            <w:tcW w:type="dxa" w:w="4896"/>
            <w:tcMar>
              <w:top w:w="100" w:type="dxa"/>
              <w:start w:w="120" w:type="dxa"/>
              <w:bottom w:w="100" w:type="dxa"/>
              <w:end w:w="120" w:type="dxa"/>
            </w:tcMar>
            <w:vAlign w:val="center"/>
          </w:tcPr>
          <w:p>
            <w:pPr>
              <w:spacing w:after="40" w:before="0" w:line="245" w:lineRule="auto"/>
            </w:pPr>
            <w:r>
              <w:rPr>
                <w:rFonts w:ascii="Aptos" w:hAnsi="Aptos" w:eastAsia="Aptos" w:cs="Aptos"/>
                <w:sz w:val="18"/>
              </w:rPr>
            </w:r>
          </w:p>
        </w:tc>
      </w:tr>
      <w:tr>
        <w:trPr>
          <w:cantSplit/>
        </w:trPr>
        <w:tc>
          <w:tcPr>
            <w:tcW w:type="dxa" w:w="201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3024"/>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c>
          <w:tcPr>
            <w:tcW w:type="dxa" w:w="4896"/>
            <w:tcMar>
              <w:top w:w="100" w:type="dxa"/>
              <w:start w:w="120" w:type="dxa"/>
              <w:bottom w:w="100" w:type="dxa"/>
              <w:end w:w="120" w:type="dxa"/>
            </w:tcMar>
            <w:shd w:fill="F7F8FA"/>
            <w:vAlign w:val="center"/>
          </w:tcPr>
          <w:p>
            <w:pPr>
              <w:spacing w:after="40" w:before="0" w:line="245" w:lineRule="auto"/>
            </w:pPr>
            <w:r>
              <w:rPr>
                <w:rFonts w:ascii="Aptos" w:hAnsi="Aptos" w:eastAsia="Aptos" w:cs="Aptos"/>
                <w:sz w:val="18"/>
              </w:rPr>
            </w:r>
          </w:p>
        </w:tc>
      </w:tr>
    </w:tbl>
    <w:p>
      <w:pPr>
        <w:spacing w:after="0"/>
      </w:pPr>
    </w:p>
    <w:p>
      <w:pPr>
        <w:pStyle w:val="Heading2"/>
        <w:keepNext/>
      </w:pPr>
      <w:r>
        <w:rPr>
          <w:rFonts w:ascii="Aptos" w:hAnsi="Aptos" w:eastAsia="Aptos" w:cs="Aptos"/>
        </w:rPr>
        <w:t>My Crisis Review Checklist</w:t>
      </w:r>
    </w:p>
    <w:p>
      <w:pPr>
        <w:pStyle w:val="ListBullet"/>
      </w:pPr>
      <w:r>
        <w:rPr>
          <w:rFonts w:ascii="Aptos" w:hAnsi="Aptos" w:eastAsia="Aptos" w:cs="Aptos"/>
        </w:rPr>
        <w:t>Did I identify immediate danger, medical instability, or a required protective action before routine treatment?</w:t>
      </w:r>
    </w:p>
    <w:p>
      <w:pPr>
        <w:pStyle w:val="ListBullet"/>
      </w:pPr>
      <w:r>
        <w:rPr>
          <w:rFonts w:ascii="Aptos" w:hAnsi="Aptos" w:eastAsia="Aptos" w:cs="Aptos"/>
        </w:rPr>
        <w:t>Did I ask directly about ideation, intent, plan, means, preparations, timing, target, behavior, and protective factors?</w:t>
      </w:r>
    </w:p>
    <w:p>
      <w:pPr>
        <w:pStyle w:val="ListBullet"/>
      </w:pPr>
      <w:r>
        <w:rPr>
          <w:rFonts w:ascii="Aptos" w:hAnsi="Aptos" w:eastAsia="Aptos" w:cs="Aptos"/>
        </w:rPr>
        <w:t>Did I distinguish facts that require more assessment from facts that already require action?</w:t>
      </w:r>
    </w:p>
    <w:p>
      <w:pPr>
        <w:pStyle w:val="ListBullet"/>
      </w:pPr>
      <w:r>
        <w:rPr>
          <w:rFonts w:ascii="Aptos" w:hAnsi="Aptos" w:eastAsia="Aptos" w:cs="Aptos"/>
        </w:rPr>
        <w:t>Did I select the least restrictive option that is actually safe, feasible, accessible, and supported?</w:t>
      </w:r>
    </w:p>
    <w:p>
      <w:pPr>
        <w:pStyle w:val="ListBullet"/>
      </w:pPr>
      <w:r>
        <w:rPr>
          <w:rFonts w:ascii="Aptos" w:hAnsi="Aptos" w:eastAsia="Aptos" w:cs="Aptos"/>
        </w:rPr>
        <w:t>Did I separate legal duties, emergency coordination, clinical support, documentation, and follow-up?</w:t>
      </w:r>
    </w:p>
    <w:p>
      <w:pPr>
        <w:pStyle w:val="Heading1"/>
        <w:keepNext/>
        <w:spacing w:before="80" w:after="40"/>
      </w:pPr>
      <w:r>
        <w:rPr>
          <w:rFonts w:ascii="Aptos" w:hAnsi="Aptos" w:eastAsia="Aptos" w:cs="Aptos"/>
        </w:rPr>
        <w:t>Sources and Currency Note</w:t>
      </w:r>
    </w:p>
    <w:p>
      <w:pPr>
        <w:pStyle w:val="ListBullet"/>
        <w:keepLines/>
        <w:spacing w:before="0" w:after="0" w:line="240" w:lineRule="auto"/>
      </w:pPr>
      <w:r>
        <w:rPr>
          <w:rFonts w:ascii="Aptos" w:hAnsi="Aptos" w:eastAsia="Aptos" w:cs="Aptos"/>
          <w:sz w:val="18"/>
        </w:rPr>
        <w:t>Association of Social Work Boards. Examination Guidebook: 2026 Blueprints (exams on or after August 3, 2026).</w:t>
      </w:r>
    </w:p>
    <w:p>
      <w:pPr>
        <w:pStyle w:val="ListBullet"/>
        <w:keepLines/>
        <w:spacing w:before="0" w:after="0" w:line="240" w:lineRule="auto"/>
      </w:pPr>
      <w:r>
        <w:rPr>
          <w:rFonts w:ascii="Aptos" w:hAnsi="Aptos" w:eastAsia="Aptos" w:cs="Aptos"/>
          <w:sz w:val="18"/>
        </w:rPr>
        <w:t>Association of Social Work Boards. 2026 exam-transition guidance.</w:t>
      </w:r>
    </w:p>
    <w:p>
      <w:pPr>
        <w:pStyle w:val="ListBullet"/>
        <w:keepLines/>
        <w:spacing w:before="0" w:after="0" w:line="240" w:lineRule="auto"/>
      </w:pPr>
      <w:r>
        <w:rPr>
          <w:rFonts w:ascii="Aptos" w:hAnsi="Aptos" w:eastAsia="Aptos" w:cs="Aptos"/>
          <w:sz w:val="18"/>
        </w:rPr>
        <w:t>SAMHSA SAFE-T and National Institute of Mental Health suicide-prevention resources.</w:t>
      </w:r>
    </w:p>
    <w:p>
      <w:pPr>
        <w:pStyle w:val="ListBullet"/>
        <w:keepLines/>
        <w:spacing w:before="0" w:after="0" w:line="240" w:lineRule="auto"/>
      </w:pPr>
      <w:r>
        <w:rPr>
          <w:rFonts w:ascii="Aptos" w:hAnsi="Aptos" w:eastAsia="Aptos" w:cs="Aptos"/>
          <w:sz w:val="18"/>
        </w:rPr>
        <w:t>Verify jurisdiction-specific reporting, confidentiality, duty-to-protect, and involuntary-treatment rules; do not import California law into a national ASWB item.</w:t>
      </w:r>
    </w:p>
    <w:p>
      <w:pPr>
        <w:pStyle w:val="ListBullet"/>
        <w:keepLines/>
        <w:spacing w:before="0" w:after="0" w:line="240" w:lineRule="auto"/>
      </w:pPr>
      <w:r>
        <w:rPr>
          <w:rFonts w:ascii="Aptos" w:hAnsi="Aptos" w:eastAsia="Aptos" w:cs="Aptos"/>
          <w:sz w:val="18"/>
        </w:rPr>
        <w:t>Exam specifications and guidance may change; consult current official ASWB and jurisdictional sources.</w:t>
      </w:r>
    </w:p>
    <w:sectPr w:rsidR="00FC693F" w:rsidRPr="0006063C" w:rsidSect="00034616">
      <w:headerReference w:type="first" r:id="rId10"/>
      <w:footerReference w:type="first" r:id="rId11"/>
      <w:headerReference w:type="default" r:id="rId12"/>
      <w:footerReference w:type="default" r:id="rId13"/>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Pr>
        <w:p>
          <w:r>
            <w:rPr>
              <w:rFonts w:ascii="Aptos" w:hAnsi="Aptos" w:eastAsia="Aptos" w:cs="Aptos"/>
              <w:color w:val="5B6573"/>
              <w:sz w:val="16"/>
            </w:rPr>
            <w:t>Clinical Training Academy | Student Workbook</w:t>
          </w:r>
        </w:p>
      </w:tc>
      <w:tc>
        <w:tcPr>
          <w:tcW w:type="dxa" w:w="5040"/>
        </w:tcPr>
        <w:p>
          <w:pPr>
            <w:jc w:val="right"/>
          </w:pPr>
          <w:r>
            <w:rPr>
              <w:rFonts w:ascii="Aptos" w:hAnsi="Aptos" w:eastAsia="Aptos" w:cs="Aptos"/>
              <w:color w:val="5B6573"/>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s="Aptos"/>
        <w:b/>
        <w:color w:val="16324F"/>
        <w:sz w:val="16"/>
      </w:rPr>
      <w:t>CTA LCSW Workbook 6 - Crisis, Abuse, and Risk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0B7FAB"/>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7" w:hanging="173"/>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WB6 Crisis Abuse and Risk Assessment Student Workbook v1.0</dc:title>
  <dc:subject>CTA exam preparation student workbook</dc:subject>
  <dc:creator>Clinical Training Academy</dc:creator>
  <cp:keywords>CTA, exam preparation, student workbook</cp:keywords>
  <dc:description/>
  <cp:lastModifiedBy>Clinical Training Academy</cp:lastModifiedBy>
  <cp:revision>1</cp:revision>
  <dcterms:created xsi:type="dcterms:W3CDTF">2013-12-23T23:15:00Z</dcterms:created>
  <dcterms:modified xsi:type="dcterms:W3CDTF">2013-12-23T23:15:00Z</dcterms:modified>
  <cp:category/>
</cp:coreProperties>
</file>