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descr="Clinical Training and Supervision Academy logo" title="Clinical Training and Supervision Academy logo"/>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LCSW EXAM PREPARATION PROGRAM</w:t>
      </w:r>
    </w:p>
    <w:p>
      <w:pPr>
        <w:spacing w:after="240"/>
        <w:jc w:val="center"/>
      </w:pPr>
      <w:r>
        <w:rPr>
          <w:b/>
          <w:i w:val="0"/>
          <w:color w:val="C17C00"/>
          <w:sz w:val="30"/>
        </w:rPr>
        <w:t>Student Workbook</w:t>
      </w:r>
    </w:p>
    <w:p>
      <w:pPr>
        <w:pStyle w:val="Title"/>
        <w:spacing w:after="160"/>
        <w:jc w:val="center"/>
      </w:pPr>
      <w:r>
        <w:t>CTA LCSW Workbook 7: Treatment and Service Planning</w:t>
      </w:r>
    </w:p>
    <w:p>
      <w:pPr>
        <w:spacing w:after="240"/>
        <w:jc w:val="center"/>
      </w:pPr>
      <w:r>
        <w:rPr>
          <w:b w:val="0"/>
          <w:i/>
          <w:color w:val="5B6573"/>
          <w:sz w:val="24"/>
        </w:rPr>
        <w:t>Prioritize needs, involve the client or client system, select feasible responses, measure outcomes, revise services, and preserve continuity</w:t>
      </w:r>
    </w:p>
    <w:p>
      <w:pPr>
        <w:spacing w:after="360"/>
        <w:jc w:val="center"/>
      </w:pPr>
      <w:r>
        <w:rPr>
          <w:b w:val="0"/>
          <w:i w:val="0"/>
          <w:color w:val="667085"/>
          <w:sz w:val="21"/>
        </w:rPr>
        <w:t>Version 1.0 - July 2026</w:t>
      </w:r>
    </w:p>
    <w:p>
      <w:pPr>
        <w:spacing w:before="240"/>
        <w:jc w:val="center"/>
      </w:pPr>
      <w:r>
        <w:rPr>
          <w:b/>
          <w:i w:val="0"/>
          <w:color w:val="17365D"/>
          <w:sz w:val="22"/>
        </w:rPr>
        <w:t>Clinical Training Academy</w:t>
      </w:r>
    </w:p>
    <w:p>
      <w:r>
        <w:br w:type="page"/>
      </w:r>
    </w:p>
    <w:tbl>
      <w:tblPr>
        <w:tblW w:type="auto" w:w="0"/>
        <w:jc w:val="center"/>
        <w:tblLayout w:type="fixed"/>
        <w:tblLook w:firstColumn="1" w:firstRow="1" w:lastColumn="0" w:lastRow="0" w:noHBand="0" w:noVBand="1" w:val="04A0"/>
      </w:tblPr>
      <w:tblGrid>
        <w:gridCol w:w="8208"/>
      </w:tblGrid>
      <w:tr>
        <w:trPr>
          <w:cantSplit/>
          <w:tblHeader/>
        </w:trPr>
        <w:tc>
          <w:tcPr>
            <w:tcW w:type="dxa" w:w="10080"/>
            <w:shd w:fill="EEF6F8"/>
            <w:tcMar>
              <w:top w:w="120" w:type="dxa"/>
              <w:start w:w="140" w:type="dxa"/>
              <w:bottom w:w="120" w:type="dxa"/>
              <w:end w:w="140" w:type="dxa"/>
            </w:tcMar>
            <w:vAlign w:val="center"/>
          </w:tcPr>
          <w:p>
            <w:pPr>
              <w:spacing w:after="0" w:before="0" w:line="252" w:lineRule="auto"/>
              <w:jc w:val="center"/>
            </w:pPr>
            <w:r>
              <w:rPr>
                <w:b/>
              </w:rPr>
              <w:t>Educational and Non-Affiliation Notice</w:t>
            </w:r>
            <w: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tbl>
      <w:tblPr>
        <w:tblW w:type="auto" w:w="0"/>
        <w:jc w:val="center"/>
        <w:tblLayout w:type="fixed"/>
        <w:tblLook w:firstColumn="1" w:firstRow="1" w:lastColumn="0" w:lastRow="0" w:noHBand="0" w:noVBand="1" w:val="04A0"/>
      </w:tblPr>
      <w:tblGrid>
        <w:gridCol w:w="9936"/>
      </w:tblGrid>
      <w:tr>
        <w:trPr>
          <w:cantSplit/>
          <w:tblHeader/>
        </w:trPr>
        <w:tc>
          <w:tcPr>
            <w:tcW w:type="dxa" w:w="10080"/>
            <w:shd w:fill="EEF6F8"/>
            <w:tcMar>
              <w:top w:w="120" w:type="dxa"/>
              <w:start w:w="140" w:type="dxa"/>
              <w:bottom w:w="120" w:type="dxa"/>
              <w:end w:w="140" w:type="dxa"/>
            </w:tcMar>
            <w:vAlign w:val="center"/>
          </w:tcPr>
          <w:p>
            <w:pPr>
              <w:spacing w:after="0" w:before="0" w:line="252" w:lineRule="auto"/>
            </w:pPr>
            <w:r>
              <w:rPr>
                <w:b/>
              </w:rPr>
              <w:t>National Examination and Clinical Scope Notice</w:t>
            </w:r>
            <w:r>
              <w:br/>
              <w:t>The ASWB examination is national. Unless a question supplies a jurisdiction or legal requirement, do not import California-specific rules. Follow the law stated in the item and use ethical clinical sequencing.</w:t>
              <w:br/>
              <w:br/>
              <w:t>The material is provided for examination preparation and professional education. It is not legal advice, clinical supervision, diagnosis, treatment, or a substitute for consultation with qualified legal, clinical, regulatory, or professional experts.</w:t>
            </w:r>
          </w:p>
        </w:tc>
      </w:tr>
    </w:tbl>
    <w:p>
      <w:pPr>
        <w:pStyle w:val="Heading1"/>
      </w:pPr>
      <w:r>
        <w:t>How to Use This Workbook</w:t>
      </w:r>
    </w:p>
    <w:p>
      <w:r>
        <w:rPr>
          <w:i w:val="0"/>
        </w:rPr>
        <w:t>Read the workbook in sequence and practice the PLAN-ER and CLOSE memory aids. In each vignette, identify the established priority, the client or client system’s goals, the person-in-environment factors affecting feasibility, the clinical or service response, and the method for evaluating progress. Complete the worksheet and all 10 questions before reviewing the rationales.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FFF4D6"/>
            <w:tcMar>
              <w:top w:w="150" w:type="dxa"/>
              <w:start w:w="180" w:type="dxa"/>
              <w:bottom w:w="150" w:type="dxa"/>
              <w:end w:w="180" w:type="dxa"/>
            </w:tcMar>
          </w:tcPr>
          <w:p>
            <w:pPr>
              <w:spacing w:after="80"/>
            </w:pPr>
            <w:r>
              <w:rPr>
                <w:b/>
                <w:i w:val="0"/>
                <w:color w:val="C17C00"/>
              </w:rPr>
              <w:t>Blueprint Note</w:t>
            </w:r>
          </w:p>
          <w:p>
            <w:pPr>
              <w:spacing w:after="0"/>
            </w:pPr>
            <w:r>
              <w:t>For Clinical exams administered on or after August 3, 2026, the ASWB outline assigns 36% to Values and Ethics, 32% to Assessment and Planning, and 32% to Intervention and Practice. Planning also appears across ethical self-determination, referral, case management, advocacy, evaluation, and continuity.</w:t>
            </w:r>
          </w:p>
        </w:tc>
      </w:tr>
    </w:tbl>
    <w:p>
      <w:pPr>
        <w:spacing w:after="0"/>
      </w:pPr>
    </w:p>
    <w:p>
      <w:pPr>
        <w:pStyle w:val="Heading1"/>
      </w:pPr>
      <w:r>
        <w:t>Learning Objectives</w:t>
      </w:r>
    </w:p>
    <w:p>
      <w:pPr>
        <w:pStyle w:val="ListBullet"/>
      </w:pPr>
      <w:r>
        <w:t>Convert assessment findings into prioritized, collaborative clinical, functional, resource, and service-access goals that distinguish urgent safety or basic-needs concerns from lower-acuity needs.</w:t>
      </w:r>
    </w:p>
    <w:p>
      <w:pPr>
        <w:pStyle w:val="ListBullet"/>
      </w:pPr>
      <w:r>
        <w:t>Apply self-determination and informed choice when clients decline or modify recommendations while recognizing the limits created by immediate danger, capacity concerns, or a stated legal requirement.</w:t>
      </w:r>
    </w:p>
    <w:p>
      <w:pPr>
        <w:pStyle w:val="ListBullet"/>
      </w:pPr>
      <w:r>
        <w:t>Select interventions, modalities, community resources, and levels of care based on needs, strengths, development, culture, abilities, evidence, accessibility, feasibility, and client or client-system preferences.</w:t>
      </w:r>
    </w:p>
    <w:p>
      <w:pPr>
        <w:pStyle w:val="ListBullet"/>
      </w:pPr>
      <w:r>
        <w:t>Monitor symptoms, functioning, service access, participation, alliance, environmental barriers, and client-defined outcomes and revise the plan when progress is absent.</w:t>
      </w:r>
    </w:p>
    <w:p>
      <w:pPr>
        <w:pStyle w:val="ListBullet"/>
      </w:pPr>
      <w:r>
        <w:t>Plan ethical termination, discharge, transfer, and continuity when goals, client choice, eligibility, agency limits, attendance barriers, or program transitions affect care.</w:t>
      </w:r>
    </w:p>
    <w:p>
      <w:pPr>
        <w:pStyle w:val="Heading1"/>
      </w:pPr>
      <w:r>
        <w:t>Why This Topic Matters</w:t>
      </w:r>
    </w:p>
    <w:p>
      <w:r>
        <w:rPr>
          <w:i w:val="0"/>
        </w:rPr>
        <w:t>ASWB planning questions test whether the social worker can move from assessment to an ethical and feasible response. A recommendation may be clinically sound yet still be wrong if the client was not involved, the resource is inaccessible, an urgent housing or safety need was ignored, or the plan lacks a way to evaluate progress. The strongest answer usually protects priority, self-determination, access, and continuity at the same time.</w:t>
      </w:r>
    </w:p>
    <w:p>
      <w:pPr>
        <w:pStyle w:val="Heading1"/>
      </w:pPr>
      <w:r>
        <w:t>1. The CTA PLAN-ER Sequence</w:t>
      </w:r>
    </w:p>
    <w:tbl>
      <w:tblPr>
        <w:tblStyle w:val="TableGrid"/>
        <w:tblW w:type="auto" w:w="0"/>
        <w:jc w:val="center"/>
        <w:tblLayout w:type="fixed"/>
        <w:tblLook w:firstColumn="1" w:firstRow="1" w:lastColumn="0" w:lastRow="0" w:noHBand="0" w:noVBand="1" w:val="04A0"/>
      </w:tblPr>
      <w:tblGrid>
        <w:gridCol w:w="1440"/>
        <w:gridCol w:w="2376"/>
        <w:gridCol w:w="2952"/>
        <w:gridCol w:w="3168"/>
      </w:tblGrid>
      <w:tr>
        <w:trPr>
          <w:tblHeader w:val="true"/>
          <w:cantSplit/>
        </w:trPr>
        <w:tc>
          <w:tcPr>
            <w:tcW w:type="dxa" w:w="2520"/>
            <w:shd w:fill="17365D"/>
            <w:tcMar>
              <w:top w:w="100" w:type="dxa"/>
              <w:start w:w="120" w:type="dxa"/>
              <w:bottom w:w="100" w:type="dxa"/>
              <w:end w:w="120" w:type="dxa"/>
            </w:tcMar>
          </w:tcPr>
          <w:p>
            <w:pPr>
              <w:spacing w:after="0"/>
            </w:pPr>
            <w:r>
              <w:rPr>
                <w:b/>
                <w:color w:val="FFFFFF"/>
                <w:sz w:val="16"/>
              </w:rPr>
              <w:t>Step</w:t>
            </w:r>
          </w:p>
        </w:tc>
        <w:tc>
          <w:tcPr>
            <w:tcW w:type="dxa" w:w="2520"/>
            <w:shd w:fill="17365D"/>
            <w:tcMar>
              <w:top w:w="100" w:type="dxa"/>
              <w:start w:w="120" w:type="dxa"/>
              <w:bottom w:w="100" w:type="dxa"/>
              <w:end w:w="120" w:type="dxa"/>
            </w:tcMar>
          </w:tcPr>
          <w:p>
            <w:pPr>
              <w:spacing w:after="0"/>
            </w:pPr>
            <w:r>
              <w:rPr>
                <w:b/>
                <w:color w:val="FFFFFF"/>
                <w:sz w:val="16"/>
              </w:rPr>
              <w:t>Question</w:t>
            </w:r>
          </w:p>
        </w:tc>
        <w:tc>
          <w:tcPr>
            <w:tcW w:type="dxa" w:w="2520"/>
            <w:shd w:fill="17365D"/>
            <w:tcMar>
              <w:top w:w="100" w:type="dxa"/>
              <w:start w:w="120" w:type="dxa"/>
              <w:bottom w:w="100" w:type="dxa"/>
              <w:end w:w="120" w:type="dxa"/>
            </w:tcMar>
          </w:tcPr>
          <w:p>
            <w:pPr>
              <w:spacing w:after="0"/>
            </w:pPr>
            <w:r>
              <w:rPr>
                <w:b/>
                <w:color w:val="FFFFFF"/>
                <w:sz w:val="16"/>
              </w:rPr>
              <w:t>Common Error</w:t>
            </w:r>
          </w:p>
        </w:tc>
        <w:tc>
          <w:tcPr>
            <w:tcW w:type="dxa" w:w="2520"/>
            <w:shd w:fill="17365D"/>
            <w:tcMar>
              <w:top w:w="100" w:type="dxa"/>
              <w:start w:w="120" w:type="dxa"/>
              <w:bottom w:w="100" w:type="dxa"/>
              <w:end w:w="120" w:type="dxa"/>
            </w:tcMar>
          </w:tcPr>
          <w:p>
            <w:pPr>
              <w:spacing w:after="0"/>
            </w:pPr>
            <w:r>
              <w:rPr>
                <w:b/>
                <w:color w:val="FFFFFF"/>
                <w:sz w:val="16"/>
              </w:rPr>
              <w:t>Better Response</w:t>
            </w:r>
          </w:p>
        </w:tc>
      </w:tr>
      <w:tr>
        <w:trPr>
          <w:cantSplit/>
        </w:trPr>
        <w:tc>
          <w:tcPr>
            <w:tcW w:type="dxa" w:w="1440"/>
            <w:tcMar>
              <w:top w:w="100" w:type="dxa"/>
              <w:start w:w="120" w:type="dxa"/>
              <w:bottom w:w="100" w:type="dxa"/>
              <w:end w:w="120" w:type="dxa"/>
            </w:tcMar>
          </w:tcPr>
          <w:p>
            <w:pPr>
              <w:spacing w:after="0"/>
            </w:pPr>
            <w:r>
              <w:rPr>
                <w:sz w:val="16"/>
              </w:rPr>
              <w:t>P — Prioritize</w:t>
            </w:r>
          </w:p>
        </w:tc>
        <w:tc>
          <w:tcPr>
            <w:tcW w:type="dxa" w:w="2376"/>
            <w:tcMar>
              <w:top w:w="100" w:type="dxa"/>
              <w:start w:w="120" w:type="dxa"/>
              <w:bottom w:w="100" w:type="dxa"/>
              <w:end w:w="120" w:type="dxa"/>
            </w:tcMar>
          </w:tcPr>
          <w:p>
            <w:pPr>
              <w:spacing w:after="0"/>
            </w:pPr>
            <w:r>
              <w:rPr>
                <w:sz w:val="16"/>
              </w:rPr>
              <w:t>What requires attention first?</w:t>
            </w:r>
          </w:p>
        </w:tc>
        <w:tc>
          <w:tcPr>
            <w:tcW w:type="dxa" w:w="2952"/>
            <w:tcMar>
              <w:top w:w="100" w:type="dxa"/>
              <w:start w:w="120" w:type="dxa"/>
              <w:bottom w:w="100" w:type="dxa"/>
              <w:end w:w="120" w:type="dxa"/>
            </w:tcMar>
          </w:tcPr>
          <w:p>
            <w:pPr>
              <w:spacing w:after="0"/>
            </w:pPr>
            <w:r>
              <w:rPr>
                <w:sz w:val="16"/>
              </w:rPr>
              <w:t>Treating every problem as equal.</w:t>
            </w:r>
          </w:p>
        </w:tc>
        <w:tc>
          <w:tcPr>
            <w:tcW w:type="dxa" w:w="3168"/>
            <w:tcMar>
              <w:top w:w="100" w:type="dxa"/>
              <w:start w:w="120" w:type="dxa"/>
              <w:bottom w:w="100" w:type="dxa"/>
              <w:end w:w="120" w:type="dxa"/>
            </w:tcMar>
          </w:tcPr>
          <w:p>
            <w:pPr>
              <w:spacing w:after="0"/>
            </w:pPr>
            <w:r>
              <w:rPr>
                <w:sz w:val="16"/>
              </w:rPr>
              <w:t>Rank safety, medical stability, basic needs, functioning, and client priorities.</w:t>
            </w:r>
          </w:p>
        </w:tc>
      </w:tr>
      <w:tr>
        <w:trPr>
          <w:cantSplit/>
        </w:trPr>
        <w:tc>
          <w:tcPr>
            <w:tcW w:type="dxa" w:w="1440"/>
            <w:tcMar>
              <w:top w:w="100" w:type="dxa"/>
              <w:start w:w="120" w:type="dxa"/>
              <w:bottom w:w="100" w:type="dxa"/>
              <w:end w:w="120" w:type="dxa"/>
            </w:tcMar>
            <w:shd w:fill="F7F8FA"/>
          </w:tcPr>
          <w:p>
            <w:pPr>
              <w:spacing w:after="0"/>
            </w:pPr>
            <w:r>
              <w:rPr>
                <w:sz w:val="16"/>
              </w:rPr>
              <w:t>L — Link</w:t>
            </w:r>
          </w:p>
        </w:tc>
        <w:tc>
          <w:tcPr>
            <w:tcW w:type="dxa" w:w="2376"/>
            <w:tcMar>
              <w:top w:w="100" w:type="dxa"/>
              <w:start w:w="120" w:type="dxa"/>
              <w:bottom w:w="100" w:type="dxa"/>
              <w:end w:w="120" w:type="dxa"/>
            </w:tcMar>
            <w:shd w:fill="F7F8FA"/>
          </w:tcPr>
          <w:p>
            <w:pPr>
              <w:spacing w:after="0"/>
            </w:pPr>
            <w:r>
              <w:rPr>
                <w:sz w:val="16"/>
              </w:rPr>
              <w:t>What assessment or PIE formulation explains the target?</w:t>
            </w:r>
          </w:p>
        </w:tc>
        <w:tc>
          <w:tcPr>
            <w:tcW w:type="dxa" w:w="2952"/>
            <w:tcMar>
              <w:top w:w="100" w:type="dxa"/>
              <w:start w:w="120" w:type="dxa"/>
              <w:bottom w:w="100" w:type="dxa"/>
              <w:end w:w="120" w:type="dxa"/>
            </w:tcMar>
            <w:shd w:fill="F7F8FA"/>
          </w:tcPr>
          <w:p>
            <w:pPr>
              <w:spacing w:after="0"/>
            </w:pPr>
            <w:r>
              <w:rPr>
                <w:sz w:val="16"/>
              </w:rPr>
              <w:t>Choosing a service or technique without a rationale.</w:t>
            </w:r>
          </w:p>
        </w:tc>
        <w:tc>
          <w:tcPr>
            <w:tcW w:type="dxa" w:w="3168"/>
            <w:tcMar>
              <w:top w:w="100" w:type="dxa"/>
              <w:start w:w="120" w:type="dxa"/>
              <w:bottom w:w="100" w:type="dxa"/>
              <w:end w:w="120" w:type="dxa"/>
            </w:tcMar>
            <w:shd w:fill="F7F8FA"/>
          </w:tcPr>
          <w:p>
            <w:pPr>
              <w:spacing w:after="0"/>
            </w:pPr>
            <w:r>
              <w:rPr>
                <w:sz w:val="16"/>
              </w:rPr>
              <w:t>Connect symptoms, strengths, environment, systems, and barriers to the goal.</w:t>
            </w:r>
          </w:p>
        </w:tc>
      </w:tr>
      <w:tr>
        <w:trPr>
          <w:cantSplit/>
        </w:trPr>
        <w:tc>
          <w:tcPr>
            <w:tcW w:type="dxa" w:w="1440"/>
            <w:tcMar>
              <w:top w:w="100" w:type="dxa"/>
              <w:start w:w="120" w:type="dxa"/>
              <w:bottom w:w="100" w:type="dxa"/>
              <w:end w:w="120" w:type="dxa"/>
            </w:tcMar>
          </w:tcPr>
          <w:p>
            <w:pPr>
              <w:spacing w:after="0"/>
            </w:pPr>
            <w:r>
              <w:rPr>
                <w:sz w:val="16"/>
              </w:rPr>
              <w:t>A — Agree</w:t>
            </w:r>
          </w:p>
        </w:tc>
        <w:tc>
          <w:tcPr>
            <w:tcW w:type="dxa" w:w="2376"/>
            <w:tcMar>
              <w:top w:w="100" w:type="dxa"/>
              <w:start w:w="120" w:type="dxa"/>
              <w:bottom w:w="100" w:type="dxa"/>
              <w:end w:w="120" w:type="dxa"/>
            </w:tcMar>
          </w:tcPr>
          <w:p>
            <w:pPr>
              <w:spacing w:after="0"/>
            </w:pPr>
            <w:r>
              <w:rPr>
                <w:sz w:val="16"/>
              </w:rPr>
              <w:t>Has the client/client system participated?</w:t>
            </w:r>
          </w:p>
        </w:tc>
        <w:tc>
          <w:tcPr>
            <w:tcW w:type="dxa" w:w="2952"/>
            <w:tcMar>
              <w:top w:w="100" w:type="dxa"/>
              <w:start w:w="120" w:type="dxa"/>
              <w:bottom w:w="100" w:type="dxa"/>
              <w:end w:w="120" w:type="dxa"/>
            </w:tcMar>
          </w:tcPr>
          <w:p>
            <w:pPr>
              <w:spacing w:after="0"/>
            </w:pPr>
            <w:r>
              <w:rPr>
                <w:sz w:val="16"/>
              </w:rPr>
              <w:t>Imposing provider or agency goals.</w:t>
            </w:r>
          </w:p>
        </w:tc>
        <w:tc>
          <w:tcPr>
            <w:tcW w:type="dxa" w:w="3168"/>
            <w:tcMar>
              <w:top w:w="100" w:type="dxa"/>
              <w:start w:w="120" w:type="dxa"/>
              <w:bottom w:w="100" w:type="dxa"/>
              <w:end w:w="120" w:type="dxa"/>
            </w:tcMar>
          </w:tcPr>
          <w:p>
            <w:pPr>
              <w:spacing w:after="0"/>
            </w:pPr>
            <w:r>
              <w:rPr>
                <w:sz w:val="16"/>
              </w:rPr>
              <w:t>Clarify choice, readiness, expectations, risks, and informed alternatives.</w:t>
            </w:r>
          </w:p>
        </w:tc>
      </w:tr>
      <w:tr>
        <w:trPr>
          <w:cantSplit/>
        </w:trPr>
        <w:tc>
          <w:tcPr>
            <w:tcW w:type="dxa" w:w="1440"/>
            <w:tcMar>
              <w:top w:w="100" w:type="dxa"/>
              <w:start w:w="120" w:type="dxa"/>
              <w:bottom w:w="100" w:type="dxa"/>
              <w:end w:w="120" w:type="dxa"/>
            </w:tcMar>
            <w:shd w:fill="F7F8FA"/>
          </w:tcPr>
          <w:p>
            <w:pPr>
              <w:spacing w:after="0"/>
            </w:pPr>
            <w:r>
              <w:rPr>
                <w:sz w:val="16"/>
              </w:rPr>
              <w:t>N — Name</w:t>
            </w:r>
          </w:p>
        </w:tc>
        <w:tc>
          <w:tcPr>
            <w:tcW w:type="dxa" w:w="2376"/>
            <w:tcMar>
              <w:top w:w="100" w:type="dxa"/>
              <w:start w:w="120" w:type="dxa"/>
              <w:bottom w:w="100" w:type="dxa"/>
              <w:end w:w="120" w:type="dxa"/>
            </w:tcMar>
            <w:shd w:fill="F7F8FA"/>
          </w:tcPr>
          <w:p>
            <w:pPr>
              <w:spacing w:after="0"/>
            </w:pPr>
            <w:r>
              <w:rPr>
                <w:sz w:val="16"/>
              </w:rPr>
              <w:t>What action and measure are specific?</w:t>
            </w:r>
          </w:p>
        </w:tc>
        <w:tc>
          <w:tcPr>
            <w:tcW w:type="dxa" w:w="2952"/>
            <w:tcMar>
              <w:top w:w="100" w:type="dxa"/>
              <w:start w:w="120" w:type="dxa"/>
              <w:bottom w:w="100" w:type="dxa"/>
              <w:end w:w="120" w:type="dxa"/>
            </w:tcMar>
            <w:shd w:fill="F7F8FA"/>
          </w:tcPr>
          <w:p>
            <w:pPr>
              <w:spacing w:after="0"/>
            </w:pPr>
            <w:r>
              <w:rPr>
                <w:sz w:val="16"/>
              </w:rPr>
              <w:t>Using vague goals or generic referrals.</w:t>
            </w:r>
          </w:p>
        </w:tc>
        <w:tc>
          <w:tcPr>
            <w:tcW w:type="dxa" w:w="3168"/>
            <w:tcMar>
              <w:top w:w="100" w:type="dxa"/>
              <w:start w:w="120" w:type="dxa"/>
              <w:bottom w:w="100" w:type="dxa"/>
              <w:end w:w="120" w:type="dxa"/>
            </w:tcMar>
            <w:shd w:fill="F7F8FA"/>
          </w:tcPr>
          <w:p>
            <w:pPr>
              <w:spacing w:after="0"/>
            </w:pPr>
            <w:r>
              <w:rPr>
                <w:sz w:val="16"/>
              </w:rPr>
              <w:t>Name the intervention, responsible party, time frame, access step, and indicator.</w:t>
            </w:r>
          </w:p>
        </w:tc>
      </w:tr>
      <w:tr>
        <w:trPr>
          <w:cantSplit/>
        </w:trPr>
        <w:tc>
          <w:tcPr>
            <w:tcW w:type="dxa" w:w="1440"/>
            <w:tcMar>
              <w:top w:w="100" w:type="dxa"/>
              <w:start w:w="120" w:type="dxa"/>
              <w:bottom w:w="100" w:type="dxa"/>
              <w:end w:w="120" w:type="dxa"/>
            </w:tcMar>
          </w:tcPr>
          <w:p>
            <w:pPr>
              <w:spacing w:after="0"/>
            </w:pPr>
            <w:r>
              <w:rPr>
                <w:sz w:val="16"/>
              </w:rPr>
              <w:t>E — Evaluate</w:t>
            </w:r>
          </w:p>
        </w:tc>
        <w:tc>
          <w:tcPr>
            <w:tcW w:type="dxa" w:w="2376"/>
            <w:tcMar>
              <w:top w:w="100" w:type="dxa"/>
              <w:start w:w="120" w:type="dxa"/>
              <w:bottom w:w="100" w:type="dxa"/>
              <w:end w:w="120" w:type="dxa"/>
            </w:tcMar>
          </w:tcPr>
          <w:p>
            <w:pPr>
              <w:spacing w:after="0"/>
            </w:pPr>
            <w:r>
              <w:rPr>
                <w:sz w:val="16"/>
              </w:rPr>
              <w:t>What do outcome and implementation data show?</w:t>
            </w:r>
          </w:p>
        </w:tc>
        <w:tc>
          <w:tcPr>
            <w:tcW w:type="dxa" w:w="2952"/>
            <w:tcMar>
              <w:top w:w="100" w:type="dxa"/>
              <w:start w:w="120" w:type="dxa"/>
              <w:bottom w:w="100" w:type="dxa"/>
              <w:end w:w="120" w:type="dxa"/>
            </w:tcMar>
          </w:tcPr>
          <w:p>
            <w:pPr>
              <w:spacing w:after="0"/>
            </w:pPr>
            <w:r>
              <w:rPr>
                <w:sz w:val="16"/>
              </w:rPr>
              <w:t>Waiting until discharge to review.</w:t>
            </w:r>
          </w:p>
        </w:tc>
        <w:tc>
          <w:tcPr>
            <w:tcW w:type="dxa" w:w="3168"/>
            <w:tcMar>
              <w:top w:w="100" w:type="dxa"/>
              <w:start w:w="120" w:type="dxa"/>
              <w:bottom w:w="100" w:type="dxa"/>
              <w:end w:w="120" w:type="dxa"/>
            </w:tcMar>
          </w:tcPr>
          <w:p>
            <w:pPr>
              <w:spacing w:after="0"/>
            </w:pPr>
            <w:r>
              <w:rPr>
                <w:sz w:val="16"/>
              </w:rPr>
              <w:t>Monitor symptoms, functioning, services, resources, participation, and barriers.</w:t>
            </w:r>
          </w:p>
        </w:tc>
      </w:tr>
      <w:tr>
        <w:trPr>
          <w:cantSplit/>
        </w:trPr>
        <w:tc>
          <w:tcPr>
            <w:tcW w:type="dxa" w:w="1440"/>
            <w:tcMar>
              <w:top w:w="100" w:type="dxa"/>
              <w:start w:w="120" w:type="dxa"/>
              <w:bottom w:w="100" w:type="dxa"/>
              <w:end w:w="120" w:type="dxa"/>
            </w:tcMar>
            <w:shd w:fill="F7F8FA"/>
          </w:tcPr>
          <w:p>
            <w:pPr>
              <w:spacing w:after="0"/>
            </w:pPr>
            <w:r>
              <w:rPr>
                <w:sz w:val="16"/>
              </w:rPr>
              <w:t>R — Revise</w:t>
            </w:r>
          </w:p>
        </w:tc>
        <w:tc>
          <w:tcPr>
            <w:tcW w:type="dxa" w:w="2376"/>
            <w:tcMar>
              <w:top w:w="100" w:type="dxa"/>
              <w:start w:w="120" w:type="dxa"/>
              <w:bottom w:w="100" w:type="dxa"/>
              <w:end w:w="120" w:type="dxa"/>
            </w:tcMar>
            <w:shd w:fill="F7F8FA"/>
          </w:tcPr>
          <w:p>
            <w:pPr>
              <w:spacing w:after="0"/>
            </w:pPr>
            <w:r>
              <w:rPr>
                <w:sz w:val="16"/>
              </w:rPr>
              <w:t>What should change now?</w:t>
            </w:r>
          </w:p>
        </w:tc>
        <w:tc>
          <w:tcPr>
            <w:tcW w:type="dxa" w:w="2952"/>
            <w:tcMar>
              <w:top w:w="100" w:type="dxa"/>
              <w:start w:w="120" w:type="dxa"/>
              <w:bottom w:w="100" w:type="dxa"/>
              <w:end w:w="120" w:type="dxa"/>
            </w:tcMar>
            <w:shd w:fill="F7F8FA"/>
          </w:tcPr>
          <w:p>
            <w:pPr>
              <w:spacing w:after="0"/>
            </w:pPr>
            <w:r>
              <w:rPr>
                <w:sz w:val="16"/>
              </w:rPr>
              <w:t>Repeating an ineffective plan or closing too early.</w:t>
            </w:r>
          </w:p>
        </w:tc>
        <w:tc>
          <w:tcPr>
            <w:tcW w:type="dxa" w:w="3168"/>
            <w:tcMar>
              <w:top w:w="100" w:type="dxa"/>
              <w:start w:w="120" w:type="dxa"/>
              <w:bottom w:w="100" w:type="dxa"/>
              <w:end w:w="120" w:type="dxa"/>
            </w:tcMar>
            <w:shd w:fill="F7F8FA"/>
          </w:tcPr>
          <w:p>
            <w:pPr>
              <w:spacing w:after="0"/>
            </w:pPr>
            <w:r>
              <w:rPr>
                <w:sz w:val="16"/>
              </w:rPr>
              <w:t>Reassess, advocate, coordinate, modify, consult, refer, or plan transition.</w:t>
            </w:r>
          </w:p>
        </w:tc>
      </w:tr>
    </w:tbl>
    <w:p>
      <w:pPr>
        <w:spacing w:after="0"/>
      </w:pPr>
    </w:p>
    <w:p>
      <w:pPr>
        <w:pStyle w:val="Heading1"/>
      </w:pPr>
      <w:r>
        <w:t>2. Person-in-Environment Priority Setting</w:t>
      </w:r>
    </w:p>
    <w:p>
      <w:r>
        <w:rPr>
          <w:i w:val="0"/>
        </w:rPr>
        <w:t>LCSW planning connects symptoms and functioning to housing, food, income, health care, education, employment, caregiving, discrimination, immigration, disability, transportation, legal systems, community resources, and organizational conditions. The exam often asks whether a basic need or system barrier must be addressed before a lower-acuity intervention can be effective.</w:t>
      </w:r>
    </w:p>
    <w:tbl>
      <w:tblPr>
        <w:tblStyle w:val="TableGrid"/>
        <w:tblW w:type="auto" w:w="0"/>
        <w:jc w:val="center"/>
        <w:tblLayout w:type="fixed"/>
        <w:tblLook w:firstColumn="1" w:firstRow="1" w:lastColumn="0" w:lastRow="0" w:noHBand="0" w:noVBand="1" w:val="04A0"/>
      </w:tblPr>
      <w:tblGrid>
        <w:gridCol w:w="1800"/>
        <w:gridCol w:w="4464"/>
        <w:gridCol w:w="3672"/>
      </w:tblGrid>
      <w:tr>
        <w:trPr>
          <w:tblHeader w:val="true"/>
          <w:cantSplit/>
        </w:trPr>
        <w:tc>
          <w:tcPr>
            <w:tcW w:type="dxa" w:w="3360"/>
            <w:shd w:fill="17365D"/>
            <w:tcMar>
              <w:top w:w="100" w:type="dxa"/>
              <w:start w:w="120" w:type="dxa"/>
              <w:bottom w:w="100" w:type="dxa"/>
              <w:end w:w="120" w:type="dxa"/>
            </w:tcMar>
          </w:tcPr>
          <w:p>
            <w:pPr>
              <w:spacing w:after="0"/>
            </w:pPr>
            <w:r>
              <w:rPr>
                <w:b/>
                <w:color w:val="FFFFFF"/>
                <w:sz w:val="17"/>
              </w:rPr>
              <w:t>Priority Level</w:t>
            </w:r>
          </w:p>
        </w:tc>
        <w:tc>
          <w:tcPr>
            <w:tcW w:type="dxa" w:w="3360"/>
            <w:shd w:fill="17365D"/>
            <w:tcMar>
              <w:top w:w="100" w:type="dxa"/>
              <w:start w:w="120" w:type="dxa"/>
              <w:bottom w:w="100" w:type="dxa"/>
              <w:end w:w="120" w:type="dxa"/>
            </w:tcMar>
          </w:tcPr>
          <w:p>
            <w:pPr>
              <w:spacing w:after="0"/>
            </w:pPr>
            <w:r>
              <w:rPr>
                <w:b/>
                <w:color w:val="FFFFFF"/>
                <w:sz w:val="17"/>
              </w:rPr>
              <w:t>Examples</w:t>
            </w:r>
          </w:p>
        </w:tc>
        <w:tc>
          <w:tcPr>
            <w:tcW w:type="dxa" w:w="3360"/>
            <w:shd w:fill="17365D"/>
            <w:tcMar>
              <w:top w:w="100" w:type="dxa"/>
              <w:start w:w="120" w:type="dxa"/>
              <w:bottom w:w="100" w:type="dxa"/>
              <w:end w:w="120" w:type="dxa"/>
            </w:tcMar>
          </w:tcPr>
          <w:p>
            <w:pPr>
              <w:spacing w:after="0"/>
            </w:pPr>
            <w:r>
              <w:rPr>
                <w:b/>
                <w:color w:val="FFFFFF"/>
                <w:sz w:val="17"/>
              </w:rPr>
              <w:t>Planning Direction</w:t>
            </w:r>
          </w:p>
        </w:tc>
      </w:tr>
      <w:tr>
        <w:trPr>
          <w:cantSplit/>
        </w:trPr>
        <w:tc>
          <w:tcPr>
            <w:tcW w:type="dxa" w:w="1800"/>
            <w:tcMar>
              <w:top w:w="100" w:type="dxa"/>
              <w:start w:w="120" w:type="dxa"/>
              <w:bottom w:w="100" w:type="dxa"/>
              <w:end w:w="120" w:type="dxa"/>
            </w:tcMar>
          </w:tcPr>
          <w:p>
            <w:pPr>
              <w:spacing w:after="0"/>
            </w:pPr>
            <w:r>
              <w:rPr>
                <w:sz w:val="17"/>
              </w:rPr>
              <w:t>Immediate</w:t>
            </w:r>
          </w:p>
        </w:tc>
        <w:tc>
          <w:tcPr>
            <w:tcW w:type="dxa" w:w="4464"/>
            <w:tcMar>
              <w:top w:w="100" w:type="dxa"/>
              <w:start w:w="120" w:type="dxa"/>
              <w:bottom w:w="100" w:type="dxa"/>
              <w:end w:w="120" w:type="dxa"/>
            </w:tcMar>
          </w:tcPr>
          <w:p>
            <w:pPr>
              <w:spacing w:after="0"/>
            </w:pPr>
            <w:r>
              <w:rPr>
                <w:sz w:val="17"/>
              </w:rPr>
              <w:t>Danger, medical instability, abuse, severe intoxication or withdrawal, inability to remain safe.</w:t>
            </w:r>
          </w:p>
        </w:tc>
        <w:tc>
          <w:tcPr>
            <w:tcW w:type="dxa" w:w="3672"/>
            <w:tcMar>
              <w:top w:w="100" w:type="dxa"/>
              <w:start w:w="120" w:type="dxa"/>
              <w:bottom w:w="100" w:type="dxa"/>
              <w:end w:w="120" w:type="dxa"/>
            </w:tcMar>
          </w:tcPr>
          <w:p>
            <w:pPr>
              <w:spacing w:after="0"/>
            </w:pPr>
            <w:r>
              <w:rPr>
                <w:sz w:val="17"/>
              </w:rPr>
              <w:t>Stabilize and activate the appropriate protective or emergency response.</w:t>
            </w:r>
          </w:p>
        </w:tc>
      </w:tr>
      <w:tr>
        <w:trPr>
          <w:cantSplit/>
        </w:trPr>
        <w:tc>
          <w:tcPr>
            <w:tcW w:type="dxa" w:w="1800"/>
            <w:tcMar>
              <w:top w:w="100" w:type="dxa"/>
              <w:start w:w="120" w:type="dxa"/>
              <w:bottom w:w="100" w:type="dxa"/>
              <w:end w:w="120" w:type="dxa"/>
            </w:tcMar>
            <w:shd w:fill="F7F8FA"/>
          </w:tcPr>
          <w:p>
            <w:pPr>
              <w:spacing w:after="0"/>
            </w:pPr>
            <w:r>
              <w:rPr>
                <w:sz w:val="17"/>
              </w:rPr>
              <w:t>Basic and access needs</w:t>
            </w:r>
          </w:p>
        </w:tc>
        <w:tc>
          <w:tcPr>
            <w:tcW w:type="dxa" w:w="4464"/>
            <w:tcMar>
              <w:top w:w="100" w:type="dxa"/>
              <w:start w:w="120" w:type="dxa"/>
              <w:bottom w:w="100" w:type="dxa"/>
              <w:end w:w="120" w:type="dxa"/>
            </w:tcMar>
            <w:shd w:fill="F7F8FA"/>
          </w:tcPr>
          <w:p>
            <w:pPr>
              <w:spacing w:after="0"/>
            </w:pPr>
            <w:r>
              <w:rPr>
                <w:sz w:val="17"/>
              </w:rPr>
              <w:t>Imminent housing loss, food insecurity, medication interruption, unsafe placement, transportation or language barrier.</w:t>
            </w:r>
          </w:p>
        </w:tc>
        <w:tc>
          <w:tcPr>
            <w:tcW w:type="dxa" w:w="3672"/>
            <w:tcMar>
              <w:top w:w="100" w:type="dxa"/>
              <w:start w:w="120" w:type="dxa"/>
              <w:bottom w:w="100" w:type="dxa"/>
              <w:end w:w="120" w:type="dxa"/>
            </w:tcMar>
            <w:shd w:fill="F7F8FA"/>
          </w:tcPr>
          <w:p>
            <w:pPr>
              <w:spacing w:after="0"/>
            </w:pPr>
            <w:r>
              <w:rPr>
                <w:sz w:val="17"/>
              </w:rPr>
              <w:t>Assess urgency and connect feasible resources while preserving client choice.</w:t>
            </w:r>
          </w:p>
        </w:tc>
      </w:tr>
      <w:tr>
        <w:trPr>
          <w:cantSplit/>
        </w:trPr>
        <w:tc>
          <w:tcPr>
            <w:tcW w:type="dxa" w:w="1800"/>
            <w:tcMar>
              <w:top w:w="100" w:type="dxa"/>
              <w:start w:w="120" w:type="dxa"/>
              <w:bottom w:w="100" w:type="dxa"/>
              <w:end w:w="120" w:type="dxa"/>
            </w:tcMar>
          </w:tcPr>
          <w:p>
            <w:pPr>
              <w:spacing w:after="0"/>
            </w:pPr>
            <w:r>
              <w:rPr>
                <w:sz w:val="17"/>
              </w:rPr>
              <w:t>Clinical and functional</w:t>
            </w:r>
          </w:p>
        </w:tc>
        <w:tc>
          <w:tcPr>
            <w:tcW w:type="dxa" w:w="4464"/>
            <w:tcMar>
              <w:top w:w="100" w:type="dxa"/>
              <w:start w:w="120" w:type="dxa"/>
              <w:bottom w:w="100" w:type="dxa"/>
              <w:end w:w="120" w:type="dxa"/>
            </w:tcMar>
          </w:tcPr>
          <w:p>
            <w:pPr>
              <w:spacing w:after="0"/>
            </w:pPr>
            <w:r>
              <w:rPr>
                <w:sz w:val="17"/>
              </w:rPr>
              <w:t>Depression, trauma, anxiety, substance use, parenting, relationship, school, or work impairment.</w:t>
            </w:r>
          </w:p>
        </w:tc>
        <w:tc>
          <w:tcPr>
            <w:tcW w:type="dxa" w:w="3672"/>
            <w:tcMar>
              <w:top w:w="100" w:type="dxa"/>
              <w:start w:w="120" w:type="dxa"/>
              <w:bottom w:w="100" w:type="dxa"/>
              <w:end w:w="120" w:type="dxa"/>
            </w:tcMar>
          </w:tcPr>
          <w:p>
            <w:pPr>
              <w:spacing w:after="0"/>
            </w:pPr>
            <w:r>
              <w:rPr>
                <w:sz w:val="17"/>
              </w:rPr>
              <w:t>Develop measurable clinical and functional goals with appropriate intervention.</w:t>
            </w:r>
          </w:p>
        </w:tc>
      </w:tr>
      <w:tr>
        <w:trPr>
          <w:cantSplit/>
        </w:trPr>
        <w:tc>
          <w:tcPr>
            <w:tcW w:type="dxa" w:w="1800"/>
            <w:tcMar>
              <w:top w:w="100" w:type="dxa"/>
              <w:start w:w="120" w:type="dxa"/>
              <w:bottom w:w="100" w:type="dxa"/>
              <w:end w:w="120" w:type="dxa"/>
            </w:tcMar>
            <w:shd w:fill="F7F8FA"/>
          </w:tcPr>
          <w:p>
            <w:pPr>
              <w:spacing w:after="0"/>
            </w:pPr>
            <w:r>
              <w:rPr>
                <w:sz w:val="17"/>
              </w:rPr>
              <w:t>Maintenance and transition</w:t>
            </w:r>
          </w:p>
        </w:tc>
        <w:tc>
          <w:tcPr>
            <w:tcW w:type="dxa" w:w="4464"/>
            <w:tcMar>
              <w:top w:w="100" w:type="dxa"/>
              <w:start w:w="120" w:type="dxa"/>
              <w:bottom w:w="100" w:type="dxa"/>
              <w:end w:w="120" w:type="dxa"/>
            </w:tcMar>
            <w:shd w:fill="F7F8FA"/>
          </w:tcPr>
          <w:p>
            <w:pPr>
              <w:spacing w:after="0"/>
            </w:pPr>
            <w:r>
              <w:rPr>
                <w:sz w:val="17"/>
              </w:rPr>
              <w:t>Relapse prevention, benefits continuity, aftercare, independent skill use, community support.</w:t>
            </w:r>
          </w:p>
        </w:tc>
        <w:tc>
          <w:tcPr>
            <w:tcW w:type="dxa" w:w="3672"/>
            <w:tcMar>
              <w:top w:w="100" w:type="dxa"/>
              <w:start w:w="120" w:type="dxa"/>
              <w:bottom w:w="100" w:type="dxa"/>
              <w:end w:w="120" w:type="dxa"/>
            </w:tcMar>
            <w:shd w:fill="F7F8FA"/>
          </w:tcPr>
          <w:p>
            <w:pPr>
              <w:spacing w:after="0"/>
            </w:pPr>
            <w:r>
              <w:rPr>
                <w:sz w:val="17"/>
              </w:rPr>
              <w:t>Strengthen supports and prepare for tapering, transfer, or closure.</w:t>
            </w:r>
          </w:p>
        </w:tc>
      </w:tr>
    </w:tbl>
    <w:p>
      <w:pPr>
        <w:spacing w:after="0"/>
      </w:pPr>
    </w:p>
    <w:p>
      <w:pPr>
        <w:pStyle w:val="Heading1"/>
      </w:pPr>
      <w:r>
        <w:t>3. Self-Determination and Informed Choice</w:t>
      </w:r>
    </w:p>
    <w:p>
      <w:pPr>
        <w:keepLines/>
      </w:pPr>
      <w:r>
        <w:rPr>
          <w:i w:val="0"/>
        </w:rPr>
        <w:t>Clients may decline a recommended service, prefer another option, or hold goals different from those of family members, agencies, courts, or providers. The social worker explores the concern, provides understandable information, identifies risks and alternatives, and supports an informed decision unless a legal limitation or immediate safety duty applies. Refusal of one recommendation is not the same as refusal of all help.</w:t>
      </w:r>
    </w:p>
    <w:tbl>
      <w:tblPr>
        <w:tblStyle w:val="TableGrid"/>
        <w:tblW w:type="auto" w:w="0"/>
        <w:jc w:val="center"/>
        <w:tblLayout w:type="fixed"/>
        <w:tblLook w:firstColumn="1" w:firstRow="1" w:lastColumn="0" w:lastRow="0" w:noHBand="0" w:noVBand="1" w:val="04A0"/>
      </w:tblPr>
      <w:tblGrid>
        <w:gridCol w:w="3888"/>
        <w:gridCol w:w="6048"/>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Weak Response</w:t>
            </w:r>
          </w:p>
        </w:tc>
        <w:tc>
          <w:tcPr>
            <w:tcW w:type="dxa" w:w="5040"/>
            <w:shd w:fill="17365D"/>
            <w:tcMar>
              <w:top w:w="100" w:type="dxa"/>
              <w:start w:w="120" w:type="dxa"/>
              <w:bottom w:w="100" w:type="dxa"/>
              <w:end w:w="120" w:type="dxa"/>
            </w:tcMar>
          </w:tcPr>
          <w:p>
            <w:pPr>
              <w:spacing w:after="0"/>
            </w:pPr>
            <w:r>
              <w:rPr>
                <w:b/>
                <w:color w:val="FFFFFF"/>
                <w:sz w:val="17"/>
              </w:rPr>
              <w:t>Stronger Response</w:t>
            </w:r>
          </w:p>
        </w:tc>
      </w:tr>
      <w:tr>
        <w:trPr>
          <w:cantSplit/>
        </w:trPr>
        <w:tc>
          <w:tcPr>
            <w:tcW w:type="dxa" w:w="3888"/>
            <w:tcMar>
              <w:top w:w="100" w:type="dxa"/>
              <w:start w:w="120" w:type="dxa"/>
              <w:bottom w:w="100" w:type="dxa"/>
              <w:end w:w="120" w:type="dxa"/>
            </w:tcMar>
          </w:tcPr>
          <w:p>
            <w:pPr>
              <w:spacing w:after="0"/>
            </w:pPr>
            <w:r>
              <w:rPr>
                <w:sz w:val="17"/>
              </w:rPr>
              <w:t>Document noncompliance and close the case.</w:t>
            </w:r>
          </w:p>
        </w:tc>
        <w:tc>
          <w:tcPr>
            <w:tcW w:type="dxa" w:w="6048"/>
            <w:tcMar>
              <w:top w:w="100" w:type="dxa"/>
              <w:start w:w="120" w:type="dxa"/>
              <w:bottom w:w="100" w:type="dxa"/>
              <w:end w:w="120" w:type="dxa"/>
            </w:tcMar>
          </w:tcPr>
          <w:p>
            <w:pPr>
              <w:spacing w:after="0"/>
            </w:pPr>
            <w:r>
              <w:rPr>
                <w:sz w:val="17"/>
              </w:rPr>
              <w:t>Explore the reason for refusal, identify barriers or prior harms, and collaborate on acceptable alternatives.</w:t>
            </w:r>
          </w:p>
        </w:tc>
      </w:tr>
      <w:tr>
        <w:trPr>
          <w:cantSplit/>
        </w:trPr>
        <w:tc>
          <w:tcPr>
            <w:tcW w:type="dxa" w:w="3888"/>
            <w:tcMar>
              <w:top w:w="100" w:type="dxa"/>
              <w:start w:w="120" w:type="dxa"/>
              <w:bottom w:w="100" w:type="dxa"/>
              <w:end w:w="120" w:type="dxa"/>
            </w:tcMar>
            <w:shd w:fill="F7F8FA"/>
          </w:tcPr>
          <w:p>
            <w:pPr>
              <w:spacing w:after="0"/>
            </w:pPr>
            <w:r>
              <w:rPr>
                <w:sz w:val="17"/>
              </w:rPr>
              <w:t>Insist that the agency’s standard service is the only option.</w:t>
            </w:r>
          </w:p>
        </w:tc>
        <w:tc>
          <w:tcPr>
            <w:tcW w:type="dxa" w:w="6048"/>
            <w:tcMar>
              <w:top w:w="100" w:type="dxa"/>
              <w:start w:w="120" w:type="dxa"/>
              <w:bottom w:w="100" w:type="dxa"/>
              <w:end w:w="120" w:type="dxa"/>
            </w:tcMar>
            <w:shd w:fill="F7F8FA"/>
          </w:tcPr>
          <w:p>
            <w:pPr>
              <w:spacing w:after="0"/>
            </w:pPr>
            <w:r>
              <w:rPr>
                <w:sz w:val="17"/>
              </w:rPr>
              <w:t>Explain options, benefits, limits, and risks in language the client can use.</w:t>
            </w:r>
          </w:p>
        </w:tc>
      </w:tr>
      <w:tr>
        <w:trPr>
          <w:cantSplit/>
        </w:trPr>
        <w:tc>
          <w:tcPr>
            <w:tcW w:type="dxa" w:w="3888"/>
            <w:tcMar>
              <w:top w:w="100" w:type="dxa"/>
              <w:start w:w="120" w:type="dxa"/>
              <w:bottom w:w="100" w:type="dxa"/>
              <w:end w:w="120" w:type="dxa"/>
            </w:tcMar>
          </w:tcPr>
          <w:p>
            <w:pPr>
              <w:spacing w:after="0"/>
            </w:pPr>
            <w:r>
              <w:rPr>
                <w:sz w:val="17"/>
              </w:rPr>
              <w:t>Contact family to persuade the client without authorization.</w:t>
            </w:r>
          </w:p>
        </w:tc>
        <w:tc>
          <w:tcPr>
            <w:tcW w:type="dxa" w:w="6048"/>
            <w:tcMar>
              <w:top w:w="100" w:type="dxa"/>
              <w:start w:w="120" w:type="dxa"/>
              <w:bottom w:w="100" w:type="dxa"/>
              <w:end w:w="120" w:type="dxa"/>
            </w:tcMar>
          </w:tcPr>
          <w:p>
            <w:pPr>
              <w:spacing w:after="0"/>
            </w:pPr>
            <w:r>
              <w:rPr>
                <w:sz w:val="17"/>
              </w:rPr>
              <w:t>Preserve confidentiality and involve supports with consent or another valid basis.</w:t>
            </w:r>
          </w:p>
        </w:tc>
      </w:tr>
      <w:tr>
        <w:trPr>
          <w:cantSplit/>
        </w:trPr>
        <w:tc>
          <w:tcPr>
            <w:tcW w:type="dxa" w:w="3888"/>
            <w:tcMar>
              <w:top w:w="100" w:type="dxa"/>
              <w:start w:w="120" w:type="dxa"/>
              <w:bottom w:w="100" w:type="dxa"/>
              <w:end w:w="120" w:type="dxa"/>
            </w:tcMar>
            <w:shd w:fill="F7F8FA"/>
          </w:tcPr>
          <w:p>
            <w:pPr>
              <w:spacing w:after="0"/>
            </w:pPr>
            <w:r>
              <w:rPr>
                <w:sz w:val="17"/>
              </w:rPr>
              <w:t>Assume the client lacks motivation.</w:t>
            </w:r>
          </w:p>
        </w:tc>
        <w:tc>
          <w:tcPr>
            <w:tcW w:type="dxa" w:w="6048"/>
            <w:tcMar>
              <w:top w:w="100" w:type="dxa"/>
              <w:start w:w="120" w:type="dxa"/>
              <w:bottom w:w="100" w:type="dxa"/>
              <w:end w:w="120" w:type="dxa"/>
            </w:tcMar>
            <w:shd w:fill="F7F8FA"/>
          </w:tcPr>
          <w:p>
            <w:pPr>
              <w:spacing w:after="0"/>
            </w:pPr>
            <w:r>
              <w:rPr>
                <w:sz w:val="17"/>
              </w:rPr>
              <w:t>Assess readiness, stigma, culture, access, cost, transportation, disability, and service fit.</w:t>
            </w:r>
          </w:p>
        </w:tc>
      </w:tr>
    </w:tbl>
    <w:p>
      <w:pPr>
        <w:spacing w:after="0"/>
      </w:pPr>
    </w:p>
    <w:p>
      <w:pPr>
        <w:pStyle w:val="Heading1"/>
      </w:pPr>
      <w:r>
        <w:t>4. Measurable Clinical, Functional, and Service Objectives</w:t>
      </w:r>
    </w:p>
    <w:tbl>
      <w:tblPr>
        <w:tblStyle w:val="TableGrid"/>
        <w:tblW w:type="auto" w:w="0"/>
        <w:jc w:val="center"/>
        <w:tblLayout w:type="fixed"/>
        <w:tblLook w:firstColumn="1" w:firstRow="1" w:lastColumn="0" w:lastRow="0" w:noHBand="0" w:noVBand="1" w:val="04A0"/>
      </w:tblPr>
      <w:tblGrid>
        <w:gridCol w:w="2880"/>
        <w:gridCol w:w="7056"/>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Vague Statement</w:t>
            </w:r>
          </w:p>
        </w:tc>
        <w:tc>
          <w:tcPr>
            <w:tcW w:type="dxa" w:w="5040"/>
            <w:shd w:fill="17365D"/>
            <w:tcMar>
              <w:top w:w="100" w:type="dxa"/>
              <w:start w:w="120" w:type="dxa"/>
              <w:bottom w:w="100" w:type="dxa"/>
              <w:end w:w="120" w:type="dxa"/>
            </w:tcMar>
          </w:tcPr>
          <w:p>
            <w:pPr>
              <w:spacing w:after="0"/>
            </w:pPr>
            <w:r>
              <w:rPr>
                <w:b/>
                <w:color w:val="FFFFFF"/>
                <w:sz w:val="17"/>
              </w:rPr>
              <w:t>More Useful Planning Language</w:t>
            </w:r>
          </w:p>
        </w:tc>
      </w:tr>
      <w:tr>
        <w:trPr>
          <w:cantSplit/>
        </w:trPr>
        <w:tc>
          <w:tcPr>
            <w:tcW w:type="dxa" w:w="2880"/>
            <w:tcMar>
              <w:top w:w="100" w:type="dxa"/>
              <w:start w:w="120" w:type="dxa"/>
              <w:bottom w:w="100" w:type="dxa"/>
              <w:end w:w="120" w:type="dxa"/>
            </w:tcMar>
          </w:tcPr>
          <w:p>
            <w:pPr>
              <w:spacing w:after="0"/>
            </w:pPr>
            <w:r>
              <w:rPr>
                <w:sz w:val="17"/>
              </w:rPr>
              <w:t>“Feel better.”</w:t>
            </w:r>
          </w:p>
        </w:tc>
        <w:tc>
          <w:tcPr>
            <w:tcW w:type="dxa" w:w="7056"/>
            <w:tcMar>
              <w:top w:w="100" w:type="dxa"/>
              <w:start w:w="120" w:type="dxa"/>
              <w:bottom w:w="100" w:type="dxa"/>
              <w:end w:w="120" w:type="dxa"/>
            </w:tcMar>
          </w:tcPr>
          <w:p>
            <w:pPr>
              <w:spacing w:after="0"/>
            </w:pPr>
            <w:r>
              <w:rPr>
                <w:sz w:val="17"/>
              </w:rPr>
              <w:t>Reduce depressive symptom severity and resume two valued weekly activities within eight weeks.</w:t>
            </w:r>
          </w:p>
        </w:tc>
      </w:tr>
      <w:tr>
        <w:trPr>
          <w:cantSplit/>
        </w:trPr>
        <w:tc>
          <w:tcPr>
            <w:tcW w:type="dxa" w:w="2880"/>
            <w:tcMar>
              <w:top w:w="100" w:type="dxa"/>
              <w:start w:w="120" w:type="dxa"/>
              <w:bottom w:w="100" w:type="dxa"/>
              <w:end w:w="120" w:type="dxa"/>
            </w:tcMar>
            <w:shd w:fill="F7F8FA"/>
          </w:tcPr>
          <w:p>
            <w:pPr>
              <w:spacing w:after="0"/>
            </w:pPr>
            <w:r>
              <w:rPr>
                <w:sz w:val="17"/>
              </w:rPr>
              <w:t>“Find housing.”</w:t>
            </w:r>
          </w:p>
        </w:tc>
        <w:tc>
          <w:tcPr>
            <w:tcW w:type="dxa" w:w="7056"/>
            <w:tcMar>
              <w:top w:w="100" w:type="dxa"/>
              <w:start w:w="120" w:type="dxa"/>
              <w:bottom w:w="100" w:type="dxa"/>
              <w:end w:w="120" w:type="dxa"/>
            </w:tcMar>
            <w:shd w:fill="F7F8FA"/>
          </w:tcPr>
          <w:p>
            <w:pPr>
              <w:spacing w:after="0"/>
            </w:pPr>
            <w:r>
              <w:rPr>
                <w:sz w:val="17"/>
              </w:rPr>
              <w:t>Complete eligibility screening for two accessible housing programs and identify a transportation plan by the next review.</w:t>
            </w:r>
          </w:p>
        </w:tc>
      </w:tr>
      <w:tr>
        <w:trPr>
          <w:cantSplit/>
        </w:trPr>
        <w:tc>
          <w:tcPr>
            <w:tcW w:type="dxa" w:w="2880"/>
            <w:tcMar>
              <w:top w:w="100" w:type="dxa"/>
              <w:start w:w="120" w:type="dxa"/>
              <w:bottom w:w="100" w:type="dxa"/>
              <w:end w:w="120" w:type="dxa"/>
            </w:tcMar>
          </w:tcPr>
          <w:p>
            <w:pPr>
              <w:spacing w:after="0"/>
            </w:pPr>
            <w:r>
              <w:rPr>
                <w:sz w:val="17"/>
              </w:rPr>
              <w:t>“Improve functioning.”</w:t>
            </w:r>
          </w:p>
        </w:tc>
        <w:tc>
          <w:tcPr>
            <w:tcW w:type="dxa" w:w="7056"/>
            <w:tcMar>
              <w:top w:w="100" w:type="dxa"/>
              <w:start w:w="120" w:type="dxa"/>
              <w:bottom w:w="100" w:type="dxa"/>
              <w:end w:w="120" w:type="dxa"/>
            </w:tcMar>
          </w:tcPr>
          <w:p>
            <w:pPr>
              <w:spacing w:after="0"/>
            </w:pPr>
            <w:r>
              <w:rPr>
                <w:sz w:val="17"/>
              </w:rPr>
              <w:t>Attend work at least four days per week and complete essential self-care on six of seven days.</w:t>
            </w:r>
          </w:p>
        </w:tc>
      </w:tr>
      <w:tr>
        <w:trPr>
          <w:cantSplit/>
        </w:trPr>
        <w:tc>
          <w:tcPr>
            <w:tcW w:type="dxa" w:w="2880"/>
            <w:tcMar>
              <w:top w:w="100" w:type="dxa"/>
              <w:start w:w="120" w:type="dxa"/>
              <w:bottom w:w="100" w:type="dxa"/>
              <w:end w:w="120" w:type="dxa"/>
            </w:tcMar>
            <w:shd w:fill="F7F8FA"/>
          </w:tcPr>
          <w:p>
            <w:pPr>
              <w:spacing w:after="0"/>
            </w:pPr>
            <w:r>
              <w:rPr>
                <w:sz w:val="17"/>
              </w:rPr>
              <w:t>“Use resources.”</w:t>
            </w:r>
          </w:p>
        </w:tc>
        <w:tc>
          <w:tcPr>
            <w:tcW w:type="dxa" w:w="7056"/>
            <w:tcMar>
              <w:top w:w="100" w:type="dxa"/>
              <w:start w:w="120" w:type="dxa"/>
              <w:bottom w:w="100" w:type="dxa"/>
              <w:end w:w="120" w:type="dxa"/>
            </w:tcMar>
            <w:shd w:fill="F7F8FA"/>
          </w:tcPr>
          <w:p>
            <w:pPr>
              <w:spacing w:after="0"/>
            </w:pPr>
            <w:r>
              <w:rPr>
                <w:sz w:val="17"/>
              </w:rPr>
              <w:t>Contact the selected benefits office with the social worker’s assistance and verify application status within 10 business days.</w:t>
            </w:r>
          </w:p>
        </w:tc>
      </w:tr>
      <w:tr>
        <w:trPr>
          <w:cantSplit/>
        </w:trPr>
        <w:tc>
          <w:tcPr>
            <w:tcW w:type="dxa" w:w="2880"/>
            <w:tcMar>
              <w:top w:w="100" w:type="dxa"/>
              <w:start w:w="120" w:type="dxa"/>
              <w:bottom w:w="100" w:type="dxa"/>
              <w:end w:w="120" w:type="dxa"/>
            </w:tcMar>
          </w:tcPr>
          <w:p>
            <w:pPr>
              <w:spacing w:after="0"/>
            </w:pPr>
            <w:r>
              <w:rPr>
                <w:sz w:val="17"/>
              </w:rPr>
              <w:t>“Stop using.”</w:t>
            </w:r>
          </w:p>
        </w:tc>
        <w:tc>
          <w:tcPr>
            <w:tcW w:type="dxa" w:w="7056"/>
            <w:tcMar>
              <w:top w:w="100" w:type="dxa"/>
              <w:start w:w="120" w:type="dxa"/>
              <w:bottom w:w="100" w:type="dxa"/>
              <w:end w:w="120" w:type="dxa"/>
            </w:tcMar>
          </w:tcPr>
          <w:p>
            <w:pPr>
              <w:spacing w:after="0"/>
            </w:pPr>
            <w:r>
              <w:rPr>
                <w:sz w:val="17"/>
              </w:rPr>
              <w:t>Track use, identify high-risk situations, and engage in the agreed treatment or harm-reduction plan with weekly review.</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AF3F8"/>
            <w:tcMar>
              <w:top w:w="150" w:type="dxa"/>
              <w:start w:w="180" w:type="dxa"/>
              <w:bottom w:w="150" w:type="dxa"/>
              <w:end w:w="180" w:type="dxa"/>
            </w:tcMar>
          </w:tcPr>
          <w:p>
            <w:pPr>
              <w:spacing w:after="80"/>
            </w:pPr>
            <w:r>
              <w:rPr>
                <w:b/>
                <w:i w:val="0"/>
                <w:color w:val="1F4E78"/>
              </w:rPr>
              <w:t>Measurement Rule</w:t>
            </w:r>
          </w:p>
          <w:p>
            <w:pPr>
              <w:spacing w:after="0"/>
            </w:pPr>
            <w:r>
              <w:t>A useful plan states what change will count, who will take the action, when it will be reviewed, and what will happen if the plan is not working.</w:t>
            </w:r>
          </w:p>
        </w:tc>
      </w:tr>
    </w:tbl>
    <w:p>
      <w:pPr>
        <w:spacing w:after="0"/>
      </w:pPr>
    </w:p>
    <w:p>
      <w:pPr>
        <w:pStyle w:val="Heading1"/>
      </w:pPr>
      <w:r>
        <w:t>5. Selecting an Intervention or Modality</w:t>
      </w:r>
    </w:p>
    <w:p>
      <w:r>
        <w:rPr>
          <w:i w:val="0"/>
        </w:rPr>
        <w:t>The best intervention is not automatically the most intensive, the most familiar to the social worker, or the agency default. Selection should fit the client or client system’s needs, abilities, developmental level, culture, life stage, preferences, risk, evidence, goals, and actual access.</w:t>
      </w:r>
    </w:p>
    <w:tbl>
      <w:tblPr>
        <w:tblStyle w:val="TableGrid"/>
        <w:tblW w:type="auto" w:w="0"/>
        <w:jc w:val="center"/>
        <w:tblLayout w:type="fixed"/>
        <w:tblLook w:firstColumn="1" w:firstRow="1" w:lastColumn="0" w:lastRow="0" w:noHBand="0" w:noVBand="1" w:val="04A0"/>
      </w:tblPr>
      <w:tblGrid>
        <w:gridCol w:w="2232"/>
        <w:gridCol w:w="770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Planning Task</w:t>
            </w:r>
          </w:p>
        </w:tc>
        <w:tc>
          <w:tcPr>
            <w:tcW w:type="dxa" w:w="5040"/>
            <w:shd w:fill="17365D"/>
            <w:tcMar>
              <w:top w:w="100" w:type="dxa"/>
              <w:start w:w="120" w:type="dxa"/>
              <w:bottom w:w="100" w:type="dxa"/>
              <w:end w:w="120" w:type="dxa"/>
            </w:tcMar>
          </w:tcPr>
          <w:p>
            <w:pPr>
              <w:spacing w:after="0"/>
            </w:pPr>
            <w:r>
              <w:rPr>
                <w:b/>
                <w:color w:val="FFFFFF"/>
                <w:sz w:val="17"/>
              </w:rPr>
              <w:t>Questions</w:t>
            </w:r>
          </w:p>
        </w:tc>
      </w:tr>
      <w:tr>
        <w:trPr>
          <w:cantSplit/>
        </w:trPr>
        <w:tc>
          <w:tcPr>
            <w:tcW w:type="dxa" w:w="2232"/>
            <w:tcMar>
              <w:top w:w="100" w:type="dxa"/>
              <w:start w:w="120" w:type="dxa"/>
              <w:bottom w:w="100" w:type="dxa"/>
              <w:end w:w="120" w:type="dxa"/>
            </w:tcMar>
          </w:tcPr>
          <w:p>
            <w:pPr>
              <w:spacing w:after="0"/>
            </w:pPr>
            <w:r>
              <w:rPr>
                <w:sz w:val="17"/>
              </w:rPr>
              <w:t>Triage</w:t>
            </w:r>
          </w:p>
        </w:tc>
        <w:tc>
          <w:tcPr>
            <w:tcW w:type="dxa" w:w="7704"/>
            <w:tcMar>
              <w:top w:w="100" w:type="dxa"/>
              <w:start w:w="120" w:type="dxa"/>
              <w:bottom w:w="100" w:type="dxa"/>
              <w:end w:w="120" w:type="dxa"/>
            </w:tcMar>
          </w:tcPr>
          <w:p>
            <w:pPr>
              <w:spacing w:after="0"/>
            </w:pPr>
            <w:r>
              <w:rPr>
                <w:sz w:val="17"/>
              </w:rPr>
              <w:t>Which need is most urgent, and what level of response is required?</w:t>
            </w:r>
          </w:p>
        </w:tc>
      </w:tr>
      <w:tr>
        <w:trPr>
          <w:cantSplit/>
        </w:trPr>
        <w:tc>
          <w:tcPr>
            <w:tcW w:type="dxa" w:w="2232"/>
            <w:tcMar>
              <w:top w:w="100" w:type="dxa"/>
              <w:start w:w="120" w:type="dxa"/>
              <w:bottom w:w="100" w:type="dxa"/>
              <w:end w:w="120" w:type="dxa"/>
            </w:tcMar>
            <w:shd w:fill="F7F8FA"/>
          </w:tcPr>
          <w:p>
            <w:pPr>
              <w:spacing w:after="0"/>
            </w:pPr>
            <w:r>
              <w:rPr>
                <w:sz w:val="17"/>
              </w:rPr>
              <w:t>Clinical modality</w:t>
            </w:r>
          </w:p>
        </w:tc>
        <w:tc>
          <w:tcPr>
            <w:tcW w:type="dxa" w:w="7704"/>
            <w:tcMar>
              <w:top w:w="100" w:type="dxa"/>
              <w:start w:w="120" w:type="dxa"/>
              <w:bottom w:w="100" w:type="dxa"/>
              <w:end w:w="120" w:type="dxa"/>
            </w:tcMar>
            <w:shd w:fill="F7F8FA"/>
          </w:tcPr>
          <w:p>
            <w:pPr>
              <w:spacing w:after="0"/>
            </w:pPr>
            <w:r>
              <w:rPr>
                <w:sz w:val="17"/>
              </w:rPr>
              <w:t>Does individual, family, couple, group, trauma-focused, substance-use, or another approach fit the formulation and goals?</w:t>
            </w:r>
          </w:p>
        </w:tc>
      </w:tr>
      <w:tr>
        <w:trPr>
          <w:cantSplit/>
        </w:trPr>
        <w:tc>
          <w:tcPr>
            <w:tcW w:type="dxa" w:w="2232"/>
            <w:tcMar>
              <w:top w:w="100" w:type="dxa"/>
              <w:start w:w="120" w:type="dxa"/>
              <w:bottom w:w="100" w:type="dxa"/>
              <w:end w:w="120" w:type="dxa"/>
            </w:tcMar>
          </w:tcPr>
          <w:p>
            <w:pPr>
              <w:spacing w:after="0"/>
            </w:pPr>
            <w:r>
              <w:rPr>
                <w:sz w:val="17"/>
              </w:rPr>
              <w:t>Resource selection</w:t>
            </w:r>
          </w:p>
        </w:tc>
        <w:tc>
          <w:tcPr>
            <w:tcW w:type="dxa" w:w="7704"/>
            <w:tcMar>
              <w:top w:w="100" w:type="dxa"/>
              <w:start w:w="120" w:type="dxa"/>
              <w:bottom w:w="100" w:type="dxa"/>
              <w:end w:w="120" w:type="dxa"/>
            </w:tcMar>
          </w:tcPr>
          <w:p>
            <w:pPr>
              <w:spacing w:after="0"/>
            </w:pPr>
            <w:r>
              <w:rPr>
                <w:sz w:val="17"/>
              </w:rPr>
              <w:t>Is the service available, eligible, accessible, culturally responsive, and acceptable?</w:t>
            </w:r>
          </w:p>
        </w:tc>
      </w:tr>
      <w:tr>
        <w:trPr>
          <w:cantSplit/>
        </w:trPr>
        <w:tc>
          <w:tcPr>
            <w:tcW w:type="dxa" w:w="2232"/>
            <w:tcMar>
              <w:top w:w="100" w:type="dxa"/>
              <w:start w:w="120" w:type="dxa"/>
              <w:bottom w:w="100" w:type="dxa"/>
              <w:end w:w="120" w:type="dxa"/>
            </w:tcMar>
            <w:shd w:fill="F7F8FA"/>
          </w:tcPr>
          <w:p>
            <w:pPr>
              <w:spacing w:after="0"/>
            </w:pPr>
            <w:r>
              <w:rPr>
                <w:sz w:val="17"/>
              </w:rPr>
              <w:t>Coordination</w:t>
            </w:r>
          </w:p>
        </w:tc>
        <w:tc>
          <w:tcPr>
            <w:tcW w:type="dxa" w:w="7704"/>
            <w:tcMar>
              <w:top w:w="100" w:type="dxa"/>
              <w:start w:w="120" w:type="dxa"/>
              <w:bottom w:w="100" w:type="dxa"/>
              <w:end w:w="120" w:type="dxa"/>
            </w:tcMar>
            <w:shd w:fill="F7F8FA"/>
          </w:tcPr>
          <w:p>
            <w:pPr>
              <w:spacing w:after="0"/>
            </w:pPr>
            <w:r>
              <w:rPr>
                <w:sz w:val="17"/>
              </w:rPr>
              <w:t>Who must communicate, what consent is needed, and who follows up?</w:t>
            </w:r>
          </w:p>
        </w:tc>
      </w:tr>
      <w:tr>
        <w:trPr>
          <w:cantSplit/>
        </w:trPr>
        <w:tc>
          <w:tcPr>
            <w:tcW w:type="dxa" w:w="2232"/>
            <w:tcMar>
              <w:top w:w="100" w:type="dxa"/>
              <w:start w:w="120" w:type="dxa"/>
              <w:bottom w:w="100" w:type="dxa"/>
              <w:end w:w="120" w:type="dxa"/>
            </w:tcMar>
          </w:tcPr>
          <w:p>
            <w:pPr>
              <w:spacing w:after="0"/>
            </w:pPr>
            <w:r>
              <w:rPr>
                <w:sz w:val="17"/>
              </w:rPr>
              <w:t>Advocacy</w:t>
            </w:r>
          </w:p>
        </w:tc>
        <w:tc>
          <w:tcPr>
            <w:tcW w:type="dxa" w:w="7704"/>
            <w:tcMar>
              <w:top w:w="100" w:type="dxa"/>
              <w:start w:w="120" w:type="dxa"/>
              <w:bottom w:w="100" w:type="dxa"/>
              <w:end w:w="120" w:type="dxa"/>
            </w:tcMar>
          </w:tcPr>
          <w:p>
            <w:pPr>
              <w:spacing w:after="0"/>
            </w:pPr>
            <w:r>
              <w:rPr>
                <w:sz w:val="17"/>
              </w:rPr>
              <w:t>What policy, organizational, financial, language, disability, or discrimination barrier undermines the plan?</w:t>
            </w:r>
          </w:p>
        </w:tc>
      </w:tr>
      <w:tr>
        <w:trPr>
          <w:cantSplit/>
        </w:trPr>
        <w:tc>
          <w:tcPr>
            <w:tcW w:type="dxa" w:w="2232"/>
            <w:tcMar>
              <w:top w:w="100" w:type="dxa"/>
              <w:start w:w="120" w:type="dxa"/>
              <w:bottom w:w="100" w:type="dxa"/>
              <w:end w:w="120" w:type="dxa"/>
            </w:tcMar>
            <w:shd w:fill="F7F8FA"/>
          </w:tcPr>
          <w:p>
            <w:pPr>
              <w:spacing w:after="0"/>
            </w:pPr>
            <w:r>
              <w:rPr>
                <w:sz w:val="17"/>
              </w:rPr>
              <w:t>Transition</w:t>
            </w:r>
          </w:p>
        </w:tc>
        <w:tc>
          <w:tcPr>
            <w:tcW w:type="dxa" w:w="7704"/>
            <w:tcMar>
              <w:top w:w="100" w:type="dxa"/>
              <w:start w:w="120" w:type="dxa"/>
              <w:bottom w:w="100" w:type="dxa"/>
              <w:end w:w="120" w:type="dxa"/>
            </w:tcMar>
            <w:shd w:fill="F7F8FA"/>
          </w:tcPr>
          <w:p>
            <w:pPr>
              <w:spacing w:after="0"/>
            </w:pPr>
            <w:r>
              <w:rPr>
                <w:sz w:val="17"/>
              </w:rPr>
              <w:t>What aftercare, transfer, benefits, placement, or community supports preserve continuity?</w:t>
            </w:r>
          </w:p>
        </w:tc>
      </w:tr>
    </w:tbl>
    <w:p>
      <w:pPr>
        <w:spacing w:after="0"/>
      </w:pPr>
    </w:p>
    <w:p>
      <w:pPr>
        <w:pStyle w:val="Heading1"/>
      </w:pPr>
      <w:r>
        <w:t>6. Resource Matching and Warm Handoffs</w:t>
      </w:r>
    </w:p>
    <w:p>
      <w:r>
        <w:rPr>
          <w:i w:val="0"/>
        </w:rPr>
        <w:t>A referral is not complete when the client receives a phone number. The social worker evaluates fit and helps the client move from recommendation to connection. Depending on setting and consent, this may include confirming eligibility, making a joint call, coordinating records, arranging interpretation or transportation, clarifying costs, and checking whether the service was obtained.</w:t>
      </w:r>
    </w:p>
    <w:tbl>
      <w:tblPr>
        <w:tblStyle w:val="TableGrid"/>
        <w:tblW w:type="auto" w:w="0"/>
        <w:jc w:val="center"/>
        <w:tblLayout w:type="fixed"/>
        <w:tblLook w:firstColumn="1" w:firstRow="1" w:lastColumn="0" w:lastRow="0" w:noHBand="0" w:noVBand="1" w:val="04A0"/>
      </w:tblPr>
      <w:tblGrid>
        <w:gridCol w:w="2160"/>
        <w:gridCol w:w="7776"/>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Resource Check</w:t>
            </w:r>
          </w:p>
        </w:tc>
        <w:tc>
          <w:tcPr>
            <w:tcW w:type="dxa" w:w="5040"/>
            <w:shd w:fill="17365D"/>
            <w:tcMar>
              <w:top w:w="100" w:type="dxa"/>
              <w:start w:w="120" w:type="dxa"/>
              <w:bottom w:w="100" w:type="dxa"/>
              <w:end w:w="120" w:type="dxa"/>
            </w:tcMar>
          </w:tcPr>
          <w:p>
            <w:pPr>
              <w:spacing w:after="0"/>
            </w:pPr>
            <w:r>
              <w:rPr>
                <w:b/>
                <w:color w:val="FFFFFF"/>
                <w:sz w:val="17"/>
              </w:rPr>
              <w:t>Questions</w:t>
            </w:r>
          </w:p>
        </w:tc>
      </w:tr>
      <w:tr>
        <w:trPr>
          <w:cantSplit/>
        </w:trPr>
        <w:tc>
          <w:tcPr>
            <w:tcW w:type="dxa" w:w="2160"/>
            <w:tcMar>
              <w:top w:w="100" w:type="dxa"/>
              <w:start w:w="120" w:type="dxa"/>
              <w:bottom w:w="100" w:type="dxa"/>
              <w:end w:w="120" w:type="dxa"/>
            </w:tcMar>
          </w:tcPr>
          <w:p>
            <w:pPr>
              <w:spacing w:after="0"/>
            </w:pPr>
            <w:r>
              <w:rPr>
                <w:sz w:val="17"/>
              </w:rPr>
              <w:t>Availability</w:t>
            </w:r>
          </w:p>
        </w:tc>
        <w:tc>
          <w:tcPr>
            <w:tcW w:type="dxa" w:w="7776"/>
            <w:tcMar>
              <w:top w:w="100" w:type="dxa"/>
              <w:start w:w="120" w:type="dxa"/>
              <w:bottom w:w="100" w:type="dxa"/>
              <w:end w:w="120" w:type="dxa"/>
            </w:tcMar>
          </w:tcPr>
          <w:p>
            <w:pPr>
              <w:spacing w:after="0"/>
            </w:pPr>
            <w:r>
              <w:rPr>
                <w:sz w:val="17"/>
              </w:rPr>
              <w:t>Is the program open, accepting referrals, and able to respond within the needed time?</w:t>
            </w:r>
          </w:p>
        </w:tc>
      </w:tr>
      <w:tr>
        <w:trPr>
          <w:cantSplit/>
        </w:trPr>
        <w:tc>
          <w:tcPr>
            <w:tcW w:type="dxa" w:w="2160"/>
            <w:tcMar>
              <w:top w:w="100" w:type="dxa"/>
              <w:start w:w="120" w:type="dxa"/>
              <w:bottom w:w="100" w:type="dxa"/>
              <w:end w:w="120" w:type="dxa"/>
            </w:tcMar>
            <w:shd w:fill="F7F8FA"/>
          </w:tcPr>
          <w:p>
            <w:pPr>
              <w:spacing w:after="0"/>
            </w:pPr>
            <w:r>
              <w:rPr>
                <w:sz w:val="17"/>
              </w:rPr>
              <w:t>Eligibility</w:t>
            </w:r>
          </w:p>
        </w:tc>
        <w:tc>
          <w:tcPr>
            <w:tcW w:type="dxa" w:w="7776"/>
            <w:tcMar>
              <w:top w:w="100" w:type="dxa"/>
              <w:start w:w="120" w:type="dxa"/>
              <w:bottom w:w="100" w:type="dxa"/>
              <w:end w:w="120" w:type="dxa"/>
            </w:tcMar>
            <w:shd w:fill="F7F8FA"/>
          </w:tcPr>
          <w:p>
            <w:pPr>
              <w:spacing w:after="0"/>
            </w:pPr>
            <w:r>
              <w:rPr>
                <w:sz w:val="17"/>
              </w:rPr>
              <w:t>Does the client meet age, diagnosis, income, insurance, location, legal, or functional criteria?</w:t>
            </w:r>
          </w:p>
        </w:tc>
      </w:tr>
      <w:tr>
        <w:trPr>
          <w:cantSplit/>
        </w:trPr>
        <w:tc>
          <w:tcPr>
            <w:tcW w:type="dxa" w:w="2160"/>
            <w:tcMar>
              <w:top w:w="100" w:type="dxa"/>
              <w:start w:w="120" w:type="dxa"/>
              <w:bottom w:w="100" w:type="dxa"/>
              <w:end w:w="120" w:type="dxa"/>
            </w:tcMar>
          </w:tcPr>
          <w:p>
            <w:pPr>
              <w:spacing w:after="0"/>
            </w:pPr>
            <w:r>
              <w:rPr>
                <w:sz w:val="17"/>
              </w:rPr>
              <w:t>Accessibility</w:t>
            </w:r>
          </w:p>
        </w:tc>
        <w:tc>
          <w:tcPr>
            <w:tcW w:type="dxa" w:w="7776"/>
            <w:tcMar>
              <w:top w:w="100" w:type="dxa"/>
              <w:start w:w="120" w:type="dxa"/>
              <w:bottom w:w="100" w:type="dxa"/>
              <w:end w:w="120" w:type="dxa"/>
            </w:tcMar>
          </w:tcPr>
          <w:p>
            <w:pPr>
              <w:spacing w:after="0"/>
            </w:pPr>
            <w:r>
              <w:rPr>
                <w:sz w:val="17"/>
              </w:rPr>
              <w:t>Can the client physically, linguistically, technologically, and cognitively use the service?</w:t>
            </w:r>
          </w:p>
        </w:tc>
      </w:tr>
      <w:tr>
        <w:trPr>
          <w:cantSplit/>
        </w:trPr>
        <w:tc>
          <w:tcPr>
            <w:tcW w:type="dxa" w:w="2160"/>
            <w:tcMar>
              <w:top w:w="100" w:type="dxa"/>
              <w:start w:w="120" w:type="dxa"/>
              <w:bottom w:w="100" w:type="dxa"/>
              <w:end w:w="120" w:type="dxa"/>
            </w:tcMar>
            <w:shd w:fill="F7F8FA"/>
          </w:tcPr>
          <w:p>
            <w:pPr>
              <w:spacing w:after="0"/>
            </w:pPr>
            <w:r>
              <w:rPr>
                <w:sz w:val="17"/>
              </w:rPr>
              <w:t>Acceptability</w:t>
            </w:r>
          </w:p>
        </w:tc>
        <w:tc>
          <w:tcPr>
            <w:tcW w:type="dxa" w:w="7776"/>
            <w:tcMar>
              <w:top w:w="100" w:type="dxa"/>
              <w:start w:w="120" w:type="dxa"/>
              <w:bottom w:w="100" w:type="dxa"/>
              <w:end w:w="120" w:type="dxa"/>
            </w:tcMar>
            <w:shd w:fill="F7F8FA"/>
          </w:tcPr>
          <w:p>
            <w:pPr>
              <w:spacing w:after="0"/>
            </w:pPr>
            <w:r>
              <w:rPr>
                <w:sz w:val="17"/>
              </w:rPr>
              <w:t>Does the option fit the client’s goals, culture, safety, prior experiences, and preferences?</w:t>
            </w:r>
          </w:p>
        </w:tc>
      </w:tr>
      <w:tr>
        <w:trPr>
          <w:cantSplit/>
        </w:trPr>
        <w:tc>
          <w:tcPr>
            <w:tcW w:type="dxa" w:w="2160"/>
            <w:tcMar>
              <w:top w:w="100" w:type="dxa"/>
              <w:start w:w="120" w:type="dxa"/>
              <w:bottom w:w="100" w:type="dxa"/>
              <w:end w:w="120" w:type="dxa"/>
            </w:tcMar>
          </w:tcPr>
          <w:p>
            <w:pPr>
              <w:spacing w:after="0"/>
            </w:pPr>
            <w:r>
              <w:rPr>
                <w:sz w:val="17"/>
              </w:rPr>
              <w:t>Logistics</w:t>
            </w:r>
          </w:p>
        </w:tc>
        <w:tc>
          <w:tcPr>
            <w:tcW w:type="dxa" w:w="7776"/>
            <w:tcMar>
              <w:top w:w="100" w:type="dxa"/>
              <w:start w:w="120" w:type="dxa"/>
              <w:bottom w:w="100" w:type="dxa"/>
              <w:end w:w="120" w:type="dxa"/>
            </w:tcMar>
          </w:tcPr>
          <w:p>
            <w:pPr>
              <w:spacing w:after="0"/>
            </w:pPr>
            <w:r>
              <w:rPr>
                <w:sz w:val="17"/>
              </w:rPr>
              <w:t>Are transportation, childcare, work schedule, phone, documentation, and cost barriers addressed?</w:t>
            </w:r>
          </w:p>
        </w:tc>
      </w:tr>
      <w:tr>
        <w:trPr>
          <w:cantSplit/>
        </w:trPr>
        <w:tc>
          <w:tcPr>
            <w:tcW w:type="dxa" w:w="2160"/>
            <w:tcMar>
              <w:top w:w="100" w:type="dxa"/>
              <w:start w:w="120" w:type="dxa"/>
              <w:bottom w:w="100" w:type="dxa"/>
              <w:end w:w="120" w:type="dxa"/>
            </w:tcMar>
            <w:shd w:fill="F7F8FA"/>
          </w:tcPr>
          <w:p>
            <w:pPr>
              <w:spacing w:after="0"/>
            </w:pPr>
            <w:r>
              <w:rPr>
                <w:sz w:val="17"/>
              </w:rPr>
              <w:t>Follow-through</w:t>
            </w:r>
          </w:p>
        </w:tc>
        <w:tc>
          <w:tcPr>
            <w:tcW w:type="dxa" w:w="7776"/>
            <w:tcMar>
              <w:top w:w="100" w:type="dxa"/>
              <w:start w:w="120" w:type="dxa"/>
              <w:bottom w:w="100" w:type="dxa"/>
              <w:end w:w="120" w:type="dxa"/>
            </w:tcMar>
            <w:shd w:fill="F7F8FA"/>
          </w:tcPr>
          <w:p>
            <w:pPr>
              <w:spacing w:after="0"/>
            </w:pPr>
            <w:r>
              <w:rPr>
                <w:sz w:val="17"/>
              </w:rPr>
              <w:t>Who will confirm connection, troubleshoot barriers, and revise the plan if the referral fails?</w:t>
            </w:r>
          </w:p>
        </w:tc>
      </w:tr>
    </w:tbl>
    <w:p>
      <w:pPr>
        <w:spacing w:after="0"/>
      </w:pPr>
    </w:p>
    <w:p>
      <w:pPr>
        <w:pStyle w:val="Heading1"/>
      </w:pPr>
      <w:r>
        <w:t>7. Outcome Monitoring</w:t>
      </w:r>
    </w:p>
    <w:tbl>
      <w:tblPr>
        <w:tblStyle w:val="TableGrid"/>
        <w:tblW w:type="auto" w:w="0"/>
        <w:jc w:val="center"/>
        <w:tblLayout w:type="fixed"/>
        <w:tblLook w:firstColumn="1" w:firstRow="1" w:lastColumn="0" w:lastRow="0" w:noHBand="0" w:noVBand="1" w:val="04A0"/>
      </w:tblPr>
      <w:tblGrid>
        <w:gridCol w:w="2520"/>
        <w:gridCol w:w="7416"/>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Monitor</w:t>
            </w:r>
          </w:p>
        </w:tc>
        <w:tc>
          <w:tcPr>
            <w:tcW w:type="dxa" w:w="5040"/>
            <w:shd w:fill="17365D"/>
            <w:tcMar>
              <w:top w:w="100" w:type="dxa"/>
              <w:start w:w="120" w:type="dxa"/>
              <w:bottom w:w="100" w:type="dxa"/>
              <w:end w:w="120" w:type="dxa"/>
            </w:tcMar>
          </w:tcPr>
          <w:p>
            <w:pPr>
              <w:spacing w:after="0"/>
            </w:pPr>
            <w:r>
              <w:rPr>
                <w:b/>
                <w:color w:val="FFFFFF"/>
                <w:sz w:val="17"/>
              </w:rPr>
              <w:t>Questions to Ask</w:t>
            </w:r>
          </w:p>
        </w:tc>
      </w:tr>
      <w:tr>
        <w:trPr>
          <w:cantSplit/>
        </w:trPr>
        <w:tc>
          <w:tcPr>
            <w:tcW w:type="dxa" w:w="2520"/>
            <w:tcMar>
              <w:top w:w="100" w:type="dxa"/>
              <w:start w:w="120" w:type="dxa"/>
              <w:bottom w:w="100" w:type="dxa"/>
              <w:end w:w="120" w:type="dxa"/>
            </w:tcMar>
          </w:tcPr>
          <w:p>
            <w:pPr>
              <w:spacing w:after="0"/>
            </w:pPr>
            <w:r>
              <w:rPr>
                <w:sz w:val="17"/>
              </w:rPr>
              <w:t>Symptoms and risk</w:t>
            </w:r>
          </w:p>
        </w:tc>
        <w:tc>
          <w:tcPr>
            <w:tcW w:type="dxa" w:w="7416"/>
            <w:tcMar>
              <w:top w:w="100" w:type="dxa"/>
              <w:start w:w="120" w:type="dxa"/>
              <w:bottom w:w="100" w:type="dxa"/>
              <w:end w:w="120" w:type="dxa"/>
            </w:tcMar>
          </w:tcPr>
          <w:p>
            <w:pPr>
              <w:spacing w:after="0"/>
            </w:pPr>
            <w:r>
              <w:rPr>
                <w:sz w:val="17"/>
              </w:rPr>
              <w:t>Are severity, frequency, duration, or safety indicators changing?</w:t>
            </w:r>
          </w:p>
        </w:tc>
      </w:tr>
      <w:tr>
        <w:trPr>
          <w:cantSplit/>
        </w:trPr>
        <w:tc>
          <w:tcPr>
            <w:tcW w:type="dxa" w:w="2520"/>
            <w:tcMar>
              <w:top w:w="100" w:type="dxa"/>
              <w:start w:w="120" w:type="dxa"/>
              <w:bottom w:w="100" w:type="dxa"/>
              <w:end w:w="120" w:type="dxa"/>
            </w:tcMar>
            <w:shd w:fill="F7F8FA"/>
          </w:tcPr>
          <w:p>
            <w:pPr>
              <w:spacing w:after="0"/>
            </w:pPr>
            <w:r>
              <w:rPr>
                <w:sz w:val="17"/>
              </w:rPr>
              <w:t>Functioning</w:t>
            </w:r>
          </w:p>
        </w:tc>
        <w:tc>
          <w:tcPr>
            <w:tcW w:type="dxa" w:w="7416"/>
            <w:tcMar>
              <w:top w:w="100" w:type="dxa"/>
              <w:start w:w="120" w:type="dxa"/>
              <w:bottom w:w="100" w:type="dxa"/>
              <w:end w:w="120" w:type="dxa"/>
            </w:tcMar>
            <w:shd w:fill="F7F8FA"/>
          </w:tcPr>
          <w:p>
            <w:pPr>
              <w:spacing w:after="0"/>
            </w:pPr>
            <w:r>
              <w:rPr>
                <w:sz w:val="17"/>
              </w:rPr>
              <w:t>Is the client functioning differently at home, work, school, or in relationships?</w:t>
            </w:r>
          </w:p>
        </w:tc>
      </w:tr>
      <w:tr>
        <w:trPr>
          <w:cantSplit/>
        </w:trPr>
        <w:tc>
          <w:tcPr>
            <w:tcW w:type="dxa" w:w="2520"/>
            <w:tcMar>
              <w:top w:w="100" w:type="dxa"/>
              <w:start w:w="120" w:type="dxa"/>
              <w:bottom w:w="100" w:type="dxa"/>
              <w:end w:w="120" w:type="dxa"/>
            </w:tcMar>
          </w:tcPr>
          <w:p>
            <w:pPr>
              <w:spacing w:after="0"/>
            </w:pPr>
            <w:r>
              <w:rPr>
                <w:sz w:val="17"/>
              </w:rPr>
              <w:t>Resource access</w:t>
            </w:r>
          </w:p>
        </w:tc>
        <w:tc>
          <w:tcPr>
            <w:tcW w:type="dxa" w:w="7416"/>
            <w:tcMar>
              <w:top w:w="100" w:type="dxa"/>
              <w:start w:w="120" w:type="dxa"/>
              <w:bottom w:w="100" w:type="dxa"/>
              <w:end w:w="120" w:type="dxa"/>
            </w:tcMar>
          </w:tcPr>
          <w:p>
            <w:pPr>
              <w:spacing w:after="0"/>
            </w:pPr>
            <w:r>
              <w:rPr>
                <w:sz w:val="17"/>
              </w:rPr>
              <w:t>Did the client obtain housing, benefits, medication, transportation, placement, or other planned supports?</w:t>
            </w:r>
          </w:p>
        </w:tc>
      </w:tr>
      <w:tr>
        <w:trPr>
          <w:cantSplit/>
        </w:trPr>
        <w:tc>
          <w:tcPr>
            <w:tcW w:type="dxa" w:w="2520"/>
            <w:tcMar>
              <w:top w:w="100" w:type="dxa"/>
              <w:start w:w="120" w:type="dxa"/>
              <w:bottom w:w="100" w:type="dxa"/>
              <w:end w:w="120" w:type="dxa"/>
            </w:tcMar>
            <w:shd w:fill="F7F8FA"/>
          </w:tcPr>
          <w:p>
            <w:pPr>
              <w:spacing w:after="0"/>
            </w:pPr>
            <w:r>
              <w:rPr>
                <w:sz w:val="17"/>
              </w:rPr>
              <w:t>Service outcomes</w:t>
            </w:r>
          </w:p>
        </w:tc>
        <w:tc>
          <w:tcPr>
            <w:tcW w:type="dxa" w:w="7416"/>
            <w:tcMar>
              <w:top w:w="100" w:type="dxa"/>
              <w:start w:w="120" w:type="dxa"/>
              <w:bottom w:w="100" w:type="dxa"/>
              <w:end w:w="120" w:type="dxa"/>
            </w:tcMar>
            <w:shd w:fill="F7F8FA"/>
          </w:tcPr>
          <w:p>
            <w:pPr>
              <w:spacing w:after="0"/>
            </w:pPr>
            <w:r>
              <w:rPr>
                <w:sz w:val="17"/>
              </w:rPr>
              <w:t>Did the intervention or referral produce the intended clinical or practical result?</w:t>
            </w:r>
          </w:p>
        </w:tc>
      </w:tr>
      <w:tr>
        <w:trPr>
          <w:cantSplit/>
        </w:trPr>
        <w:tc>
          <w:tcPr>
            <w:tcW w:type="dxa" w:w="2520"/>
            <w:tcMar>
              <w:top w:w="100" w:type="dxa"/>
              <w:start w:w="120" w:type="dxa"/>
              <w:bottom w:w="100" w:type="dxa"/>
              <w:end w:w="120" w:type="dxa"/>
            </w:tcMar>
          </w:tcPr>
          <w:p>
            <w:pPr>
              <w:spacing w:after="0"/>
            </w:pPr>
            <w:r>
              <w:rPr>
                <w:sz w:val="17"/>
              </w:rPr>
              <w:t>Participation and alliance</w:t>
            </w:r>
          </w:p>
        </w:tc>
        <w:tc>
          <w:tcPr>
            <w:tcW w:type="dxa" w:w="7416"/>
            <w:tcMar>
              <w:top w:w="100" w:type="dxa"/>
              <w:start w:w="120" w:type="dxa"/>
              <w:bottom w:w="100" w:type="dxa"/>
              <w:end w:w="120" w:type="dxa"/>
            </w:tcMar>
          </w:tcPr>
          <w:p>
            <w:pPr>
              <w:spacing w:after="0"/>
            </w:pPr>
            <w:r>
              <w:rPr>
                <w:sz w:val="17"/>
              </w:rPr>
              <w:t>Does the client feel understood, included, and able to use the plan?</w:t>
            </w:r>
          </w:p>
        </w:tc>
      </w:tr>
      <w:tr>
        <w:trPr>
          <w:cantSplit/>
        </w:trPr>
        <w:tc>
          <w:tcPr>
            <w:tcW w:type="dxa" w:w="2520"/>
            <w:tcMar>
              <w:top w:w="100" w:type="dxa"/>
              <w:start w:w="120" w:type="dxa"/>
              <w:bottom w:w="100" w:type="dxa"/>
              <w:end w:w="120" w:type="dxa"/>
            </w:tcMar>
            <w:shd w:fill="F7F8FA"/>
          </w:tcPr>
          <w:p>
            <w:pPr>
              <w:spacing w:after="0"/>
            </w:pPr>
            <w:r>
              <w:rPr>
                <w:sz w:val="17"/>
              </w:rPr>
              <w:t>Environmental barriers</w:t>
            </w:r>
          </w:p>
        </w:tc>
        <w:tc>
          <w:tcPr>
            <w:tcW w:type="dxa" w:w="7416"/>
            <w:tcMar>
              <w:top w:w="100" w:type="dxa"/>
              <w:start w:w="120" w:type="dxa"/>
              <w:bottom w:w="100" w:type="dxa"/>
              <w:end w:w="120" w:type="dxa"/>
            </w:tcMar>
            <w:shd w:fill="F7F8FA"/>
          </w:tcPr>
          <w:p>
            <w:pPr>
              <w:spacing w:after="0"/>
            </w:pPr>
            <w:r>
              <w:rPr>
                <w:sz w:val="17"/>
              </w:rPr>
              <w:t>Have poverty, discrimination, caregiving, agency policy, or service-system limits changed?</w:t>
            </w:r>
          </w:p>
        </w:tc>
      </w:tr>
    </w:tbl>
    <w:p>
      <w:pPr>
        <w:spacing w:after="0"/>
      </w:pPr>
    </w:p>
    <w:p>
      <w:pPr>
        <w:pStyle w:val="Heading1"/>
      </w:pPr>
      <w:r>
        <w:t>8. When the Plan Is Not Working</w:t>
      </w:r>
    </w:p>
    <w:p>
      <w:r>
        <w:rPr>
          <w:i w:val="0"/>
        </w:rPr>
        <w:t>No progress can reflect an inaccurate assessment, poor intervention fit, weak alliance, inaccessible resources, cultural mismatch, organizational limits, competing basic needs, side effects, inadequate intensity, or a change in risk. Reassessment should occur before the social worker blames motivation, continues unchanged, or terminates.</w:t>
      </w:r>
    </w:p>
    <w:p>
      <w:pPr>
        <w:pStyle w:val="ListNumber"/>
      </w:pPr>
      <w:r>
        <w:t>Review the client’s priorities, new information, risk, diagnosis, strengths, and person-in-environment formulation.</w:t>
      </w:r>
    </w:p>
    <w:p>
      <w:pPr>
        <w:pStyle w:val="ListNumber"/>
      </w:pPr>
      <w:r>
        <w:t>Ask whether the client feels understood and whether the goals remain meaningful.</w:t>
      </w:r>
    </w:p>
    <w:p>
      <w:pPr>
        <w:pStyle w:val="ListNumber"/>
      </w:pPr>
      <w:r>
        <w:t>Determine whether the intervention or referral was actually available and implemented.</w:t>
      </w:r>
    </w:p>
    <w:p>
      <w:pPr>
        <w:pStyle w:val="ListNumber"/>
      </w:pPr>
      <w:r>
        <w:t>Assess transportation, cost, language, disability, caregiving, schedule, stigma, and policy barriers.</w:t>
      </w:r>
    </w:p>
    <w:p>
      <w:pPr>
        <w:pStyle w:val="ListNumber"/>
      </w:pPr>
      <w:r>
        <w:t>Modify the plan, advocate, coordinate, consult, refer, or change level of care as indicated.</w:t>
      </w:r>
    </w:p>
    <w:p>
      <w:pPr>
        <w:pStyle w:val="ListNumber"/>
      </w:pPr>
      <w:r>
        <w:t>Set a new review point and document the client’s participation and informed choices.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FCE8E6"/>
            <w:tcMar>
              <w:top w:w="150" w:type="dxa"/>
              <w:start w:w="180" w:type="dxa"/>
              <w:bottom w:w="150" w:type="dxa"/>
              <w:end w:w="180" w:type="dxa"/>
            </w:tcMar>
          </w:tcPr>
          <w:p>
            <w:pPr>
              <w:spacing w:after="80"/>
            </w:pPr>
            <w:r>
              <w:rPr>
                <w:b/>
                <w:i w:val="0"/>
                <w:color w:val="9C2B2E"/>
              </w:rPr>
              <w:t>Decision Rule</w:t>
            </w:r>
          </w:p>
          <w:p>
            <w:pPr>
              <w:spacing w:after="0"/>
            </w:pPr>
            <w:r>
              <w:t>Reassess before repeating, intensifying, blaming, or ending.</w:t>
            </w:r>
          </w:p>
        </w:tc>
      </w:tr>
    </w:tbl>
    <w:p>
      <w:pPr>
        <w:spacing w:after="0"/>
      </w:pPr>
    </w:p>
    <w:p>
      <w:pPr>
        <w:pStyle w:val="Heading1"/>
      </w:pPr>
      <w:r>
        <w:t>9. Termination, Discharge, and Continuity</w:t>
      </w:r>
    </w:p>
    <w:p>
      <w:r>
        <w:rPr>
          <w:i w:val="0"/>
        </w:rPr>
        <w:t>Termination decisions incorporate goal attainment, safety, functioning, client choice, eligibility, service limits, resource access, supports, and follow-up. When a program closes or a social worker leaves, the focus shifts to transparent notice, transfer options, consent for information sharing, and reasonable continuity. Missed appointments require attention to risk, barriers, policy, outreach, and documentation before absence is treated as a simple refusal of care.</w:t>
      </w:r>
    </w:p>
    <w:tbl>
      <w:tblPr>
        <w:tblStyle w:val="TableGrid"/>
        <w:tblW w:type="auto" w:w="0"/>
        <w:jc w:val="center"/>
        <w:tblLayout w:type="fixed"/>
        <w:tblLook w:firstColumn="1" w:firstRow="1" w:lastColumn="0" w:lastRow="0" w:noHBand="0" w:noVBand="1" w:val="04A0"/>
      </w:tblPr>
      <w:tblGrid>
        <w:gridCol w:w="2952"/>
        <w:gridCol w:w="698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Termination Situation</w:t>
            </w:r>
          </w:p>
        </w:tc>
        <w:tc>
          <w:tcPr>
            <w:tcW w:type="dxa" w:w="5040"/>
            <w:shd w:fill="17365D"/>
            <w:tcMar>
              <w:top w:w="100" w:type="dxa"/>
              <w:start w:w="120" w:type="dxa"/>
              <w:bottom w:w="100" w:type="dxa"/>
              <w:end w:w="120" w:type="dxa"/>
            </w:tcMar>
          </w:tcPr>
          <w:p>
            <w:pPr>
              <w:spacing w:after="0"/>
            </w:pPr>
            <w:r>
              <w:rPr>
                <w:b/>
                <w:color w:val="FFFFFF"/>
                <w:sz w:val="17"/>
              </w:rPr>
              <w:t>Core Responsibilities</w:t>
            </w:r>
          </w:p>
        </w:tc>
      </w:tr>
      <w:tr>
        <w:trPr>
          <w:cantSplit/>
        </w:trPr>
        <w:tc>
          <w:tcPr>
            <w:tcW w:type="dxa" w:w="2952"/>
            <w:tcMar>
              <w:top w:w="100" w:type="dxa"/>
              <w:start w:w="120" w:type="dxa"/>
              <w:bottom w:w="100" w:type="dxa"/>
              <w:end w:w="120" w:type="dxa"/>
            </w:tcMar>
          </w:tcPr>
          <w:p>
            <w:pPr>
              <w:spacing w:after="0"/>
            </w:pPr>
            <w:r>
              <w:rPr>
                <w:sz w:val="17"/>
              </w:rPr>
              <w:t>Goals achieved</w:t>
            </w:r>
          </w:p>
        </w:tc>
        <w:tc>
          <w:tcPr>
            <w:tcW w:type="dxa" w:w="6984"/>
            <w:tcMar>
              <w:top w:w="100" w:type="dxa"/>
              <w:start w:w="120" w:type="dxa"/>
              <w:bottom w:w="100" w:type="dxa"/>
              <w:end w:w="120" w:type="dxa"/>
            </w:tcMar>
          </w:tcPr>
          <w:p>
            <w:pPr>
              <w:spacing w:after="0"/>
            </w:pPr>
            <w:r>
              <w:rPr>
                <w:sz w:val="17"/>
              </w:rPr>
              <w:t>Review outcomes, consolidate skills, identify future risks, develop aftercare, and process the ending.</w:t>
            </w:r>
          </w:p>
        </w:tc>
      </w:tr>
      <w:tr>
        <w:trPr>
          <w:cantSplit/>
        </w:trPr>
        <w:tc>
          <w:tcPr>
            <w:tcW w:type="dxa" w:w="2952"/>
            <w:tcMar>
              <w:top w:w="100" w:type="dxa"/>
              <w:start w:w="120" w:type="dxa"/>
              <w:bottom w:w="100" w:type="dxa"/>
              <w:end w:w="120" w:type="dxa"/>
            </w:tcMar>
            <w:shd w:fill="F7F8FA"/>
          </w:tcPr>
          <w:p>
            <w:pPr>
              <w:spacing w:after="0"/>
            </w:pPr>
            <w:r>
              <w:rPr>
                <w:sz w:val="17"/>
              </w:rPr>
              <w:t>Client chooses to stop</w:t>
            </w:r>
          </w:p>
        </w:tc>
        <w:tc>
          <w:tcPr>
            <w:tcW w:type="dxa" w:w="6984"/>
            <w:tcMar>
              <w:top w:w="100" w:type="dxa"/>
              <w:start w:w="120" w:type="dxa"/>
              <w:bottom w:w="100" w:type="dxa"/>
              <w:end w:w="120" w:type="dxa"/>
            </w:tcMar>
            <w:shd w:fill="F7F8FA"/>
          </w:tcPr>
          <w:p>
            <w:pPr>
              <w:spacing w:after="0"/>
            </w:pPr>
            <w:r>
              <w:rPr>
                <w:sz w:val="17"/>
              </w:rPr>
              <w:t>Explore reasons without coercion, discuss relevant risks and alternatives, and support informed choice.</w:t>
            </w:r>
          </w:p>
        </w:tc>
      </w:tr>
      <w:tr>
        <w:trPr>
          <w:cantSplit/>
        </w:trPr>
        <w:tc>
          <w:tcPr>
            <w:tcW w:type="dxa" w:w="2952"/>
            <w:tcMar>
              <w:top w:w="100" w:type="dxa"/>
              <w:start w:w="120" w:type="dxa"/>
              <w:bottom w:w="100" w:type="dxa"/>
              <w:end w:w="120" w:type="dxa"/>
            </w:tcMar>
          </w:tcPr>
          <w:p>
            <w:pPr>
              <w:spacing w:after="0"/>
            </w:pPr>
            <w:r>
              <w:rPr>
                <w:sz w:val="17"/>
              </w:rPr>
              <w:t>Agency or program closes</w:t>
            </w:r>
          </w:p>
        </w:tc>
        <w:tc>
          <w:tcPr>
            <w:tcW w:type="dxa" w:w="6984"/>
            <w:tcMar>
              <w:top w:w="100" w:type="dxa"/>
              <w:start w:w="120" w:type="dxa"/>
              <w:bottom w:w="100" w:type="dxa"/>
              <w:end w:w="120" w:type="dxa"/>
            </w:tcMar>
          </w:tcPr>
          <w:p>
            <w:pPr>
              <w:spacing w:after="0"/>
            </w:pPr>
            <w:r>
              <w:rPr>
                <w:sz w:val="17"/>
              </w:rPr>
              <w:t>Provide timely notice, referrals, transfer options, consent-based information sharing, and continuity efforts.</w:t>
            </w:r>
          </w:p>
        </w:tc>
      </w:tr>
      <w:tr>
        <w:trPr>
          <w:cantSplit/>
        </w:trPr>
        <w:tc>
          <w:tcPr>
            <w:tcW w:type="dxa" w:w="2952"/>
            <w:tcMar>
              <w:top w:w="100" w:type="dxa"/>
              <w:start w:w="120" w:type="dxa"/>
              <w:bottom w:w="100" w:type="dxa"/>
              <w:end w:w="120" w:type="dxa"/>
            </w:tcMar>
            <w:shd w:fill="F7F8FA"/>
          </w:tcPr>
          <w:p>
            <w:pPr>
              <w:spacing w:after="0"/>
            </w:pPr>
            <w:r>
              <w:rPr>
                <w:sz w:val="17"/>
              </w:rPr>
              <w:t>Higher or different service needed</w:t>
            </w:r>
          </w:p>
        </w:tc>
        <w:tc>
          <w:tcPr>
            <w:tcW w:type="dxa" w:w="6984"/>
            <w:tcMar>
              <w:top w:w="100" w:type="dxa"/>
              <w:start w:w="120" w:type="dxa"/>
              <w:bottom w:w="100" w:type="dxa"/>
              <w:end w:w="120" w:type="dxa"/>
            </w:tcMar>
            <w:shd w:fill="F7F8FA"/>
          </w:tcPr>
          <w:p>
            <w:pPr>
              <w:spacing w:after="0"/>
            </w:pPr>
            <w:r>
              <w:rPr>
                <w:sz w:val="17"/>
              </w:rPr>
              <w:t>Explain the rationale, coordinate a feasible handoff, and address urgent safety or access needs.</w:t>
            </w:r>
          </w:p>
        </w:tc>
      </w:tr>
      <w:tr>
        <w:trPr>
          <w:cantSplit/>
        </w:trPr>
        <w:tc>
          <w:tcPr>
            <w:tcW w:type="dxa" w:w="2952"/>
            <w:tcMar>
              <w:top w:w="100" w:type="dxa"/>
              <w:start w:w="120" w:type="dxa"/>
              <w:bottom w:w="100" w:type="dxa"/>
              <w:end w:w="120" w:type="dxa"/>
            </w:tcMar>
          </w:tcPr>
          <w:p>
            <w:pPr>
              <w:spacing w:after="0"/>
            </w:pPr>
            <w:r>
              <w:rPr>
                <w:sz w:val="17"/>
              </w:rPr>
              <w:t>Eligibility or session limit ends</w:t>
            </w:r>
          </w:p>
        </w:tc>
        <w:tc>
          <w:tcPr>
            <w:tcW w:type="dxa" w:w="6984"/>
            <w:tcMar>
              <w:top w:w="100" w:type="dxa"/>
              <w:start w:w="120" w:type="dxa"/>
              <w:bottom w:w="100" w:type="dxa"/>
              <w:end w:w="120" w:type="dxa"/>
            </w:tcMar>
          </w:tcPr>
          <w:p>
            <w:pPr>
              <w:spacing w:after="0"/>
            </w:pPr>
            <w:r>
              <w:rPr>
                <w:sz w:val="17"/>
              </w:rPr>
              <w:t>Distinguish administrative limits from clinical readiness and develop a transition plan.</w:t>
            </w:r>
          </w:p>
        </w:tc>
      </w:tr>
      <w:tr>
        <w:trPr>
          <w:cantSplit/>
        </w:trPr>
        <w:tc>
          <w:tcPr>
            <w:tcW w:type="dxa" w:w="2952"/>
            <w:tcMar>
              <w:top w:w="100" w:type="dxa"/>
              <w:start w:w="120" w:type="dxa"/>
              <w:bottom w:w="100" w:type="dxa"/>
              <w:end w:w="120" w:type="dxa"/>
            </w:tcMar>
            <w:shd w:fill="F7F8FA"/>
          </w:tcPr>
          <w:p>
            <w:pPr>
              <w:spacing w:after="0"/>
            </w:pPr>
            <w:r>
              <w:rPr>
                <w:sz w:val="17"/>
              </w:rPr>
              <w:t>Repeated missed visits</w:t>
            </w:r>
          </w:p>
        </w:tc>
        <w:tc>
          <w:tcPr>
            <w:tcW w:type="dxa" w:w="6984"/>
            <w:tcMar>
              <w:top w:w="100" w:type="dxa"/>
              <w:start w:w="120" w:type="dxa"/>
              <w:bottom w:w="100" w:type="dxa"/>
              <w:end w:w="120" w:type="dxa"/>
            </w:tcMar>
            <w:shd w:fill="F7F8FA"/>
          </w:tcPr>
          <w:p>
            <w:pPr>
              <w:spacing w:after="0"/>
            </w:pPr>
            <w:r>
              <w:rPr>
                <w:sz w:val="17"/>
              </w:rPr>
              <w:t>Use reasonable outreach, assess barriers and risk when feasible, and provide closure or re-entry information.</w:t>
            </w:r>
          </w:p>
        </w:tc>
      </w:tr>
    </w:tbl>
    <w:p>
      <w:pPr>
        <w:spacing w:after="0"/>
      </w:pPr>
    </w:p>
    <w:p>
      <w:pPr>
        <w:pStyle w:val="Heading1"/>
      </w:pPr>
      <w:r>
        <w:t>10. The CTA CLOSE Termination Check</w:t>
      </w:r>
    </w:p>
    <w:tbl>
      <w:tblPr>
        <w:tblStyle w:val="TableGrid"/>
        <w:tblW w:type="auto" w:w="0"/>
        <w:jc w:val="center"/>
        <w:tblLayout w:type="fixed"/>
        <w:tblLook w:firstColumn="1" w:firstRow="1" w:lastColumn="0" w:lastRow="0" w:noHBand="0" w:noVBand="1" w:val="04A0"/>
      </w:tblPr>
      <w:tblGrid>
        <w:gridCol w:w="1152"/>
        <w:gridCol w:w="8784"/>
      </w:tblGrid>
      <w:tr>
        <w:trPr>
          <w:tblHeader w:val="true"/>
          <w:cantSplit/>
        </w:trPr>
        <w:tc>
          <w:tcPr>
            <w:tcW w:type="dxa" w:w="5040"/>
            <w:shd w:fill="17365D"/>
            <w:tcMar>
              <w:top w:w="100" w:type="dxa"/>
              <w:start w:w="120" w:type="dxa"/>
              <w:bottom w:w="100" w:type="dxa"/>
              <w:end w:w="120" w:type="dxa"/>
            </w:tcMar>
          </w:tcPr>
          <w:p>
            <w:pPr>
              <w:spacing w:after="0"/>
            </w:pPr>
            <w:r>
              <w:rPr>
                <w:b/>
                <w:color w:val="FFFFFF"/>
                <w:sz w:val="18"/>
              </w:rPr>
              <w:t>Letter</w:t>
            </w:r>
          </w:p>
        </w:tc>
        <w:tc>
          <w:tcPr>
            <w:tcW w:type="dxa" w:w="5040"/>
            <w:shd w:fill="17365D"/>
            <w:tcMar>
              <w:top w:w="100" w:type="dxa"/>
              <w:start w:w="120" w:type="dxa"/>
              <w:bottom w:w="100" w:type="dxa"/>
              <w:end w:w="120" w:type="dxa"/>
            </w:tcMar>
          </w:tcPr>
          <w:p>
            <w:pPr>
              <w:spacing w:after="0"/>
            </w:pPr>
            <w:r>
              <w:rPr>
                <w:b/>
                <w:color w:val="FFFFFF"/>
                <w:sz w:val="18"/>
              </w:rPr>
              <w:t>Termination Task</w:t>
            </w:r>
          </w:p>
        </w:tc>
      </w:tr>
      <w:tr>
        <w:trPr>
          <w:cantSplit/>
        </w:trPr>
        <w:tc>
          <w:tcPr>
            <w:tcW w:type="dxa" w:w="1152"/>
            <w:tcMar>
              <w:top w:w="100" w:type="dxa"/>
              <w:start w:w="120" w:type="dxa"/>
              <w:bottom w:w="100" w:type="dxa"/>
              <w:end w:w="120" w:type="dxa"/>
            </w:tcMar>
          </w:tcPr>
          <w:p>
            <w:pPr>
              <w:spacing w:after="0"/>
            </w:pPr>
            <w:r>
              <w:rPr>
                <w:sz w:val="18"/>
              </w:rPr>
              <w:t>C</w:t>
            </w:r>
          </w:p>
        </w:tc>
        <w:tc>
          <w:tcPr>
            <w:tcW w:type="dxa" w:w="8784"/>
            <w:tcMar>
              <w:top w:w="100" w:type="dxa"/>
              <w:start w:w="120" w:type="dxa"/>
              <w:bottom w:w="100" w:type="dxa"/>
              <w:end w:w="120" w:type="dxa"/>
            </w:tcMar>
          </w:tcPr>
          <w:p>
            <w:pPr>
              <w:spacing w:after="0"/>
            </w:pPr>
            <w:r>
              <w:rPr>
                <w:sz w:val="18"/>
              </w:rPr>
              <w:t>Confirm progress, current risks, functioning, and remaining needs.</w:t>
            </w:r>
          </w:p>
        </w:tc>
      </w:tr>
      <w:tr>
        <w:trPr>
          <w:cantSplit/>
        </w:trPr>
        <w:tc>
          <w:tcPr>
            <w:tcW w:type="dxa" w:w="1152"/>
            <w:tcMar>
              <w:top w:w="100" w:type="dxa"/>
              <w:start w:w="120" w:type="dxa"/>
              <w:bottom w:w="100" w:type="dxa"/>
              <w:end w:w="120" w:type="dxa"/>
            </w:tcMar>
            <w:shd w:fill="F7F8FA"/>
          </w:tcPr>
          <w:p>
            <w:pPr>
              <w:spacing w:after="0"/>
            </w:pPr>
            <w:r>
              <w:rPr>
                <w:sz w:val="18"/>
              </w:rPr>
              <w:t>L</w:t>
            </w:r>
          </w:p>
        </w:tc>
        <w:tc>
          <w:tcPr>
            <w:tcW w:type="dxa" w:w="8784"/>
            <w:tcMar>
              <w:top w:w="100" w:type="dxa"/>
              <w:start w:w="120" w:type="dxa"/>
              <w:bottom w:w="100" w:type="dxa"/>
              <w:end w:w="120" w:type="dxa"/>
            </w:tcMar>
            <w:shd w:fill="F7F8FA"/>
          </w:tcPr>
          <w:p>
            <w:pPr>
              <w:spacing w:after="0"/>
            </w:pPr>
            <w:r>
              <w:rPr>
                <w:sz w:val="18"/>
              </w:rPr>
              <w:t>Look at the alliance, client choice, service limits, and meaning of ending.</w:t>
            </w:r>
          </w:p>
        </w:tc>
      </w:tr>
      <w:tr>
        <w:trPr>
          <w:cantSplit/>
        </w:trPr>
        <w:tc>
          <w:tcPr>
            <w:tcW w:type="dxa" w:w="1152"/>
            <w:tcMar>
              <w:top w:w="100" w:type="dxa"/>
              <w:start w:w="120" w:type="dxa"/>
              <w:bottom w:w="100" w:type="dxa"/>
              <w:end w:w="120" w:type="dxa"/>
            </w:tcMar>
          </w:tcPr>
          <w:p>
            <w:pPr>
              <w:spacing w:after="0"/>
            </w:pPr>
            <w:r>
              <w:rPr>
                <w:sz w:val="18"/>
              </w:rPr>
              <w:t>O</w:t>
            </w:r>
          </w:p>
        </w:tc>
        <w:tc>
          <w:tcPr>
            <w:tcW w:type="dxa" w:w="8784"/>
            <w:tcMar>
              <w:top w:w="100" w:type="dxa"/>
              <w:start w:w="120" w:type="dxa"/>
              <w:bottom w:w="100" w:type="dxa"/>
              <w:end w:w="120" w:type="dxa"/>
            </w:tcMar>
          </w:tcPr>
          <w:p>
            <w:pPr>
              <w:spacing w:after="0"/>
            </w:pPr>
            <w:r>
              <w:rPr>
                <w:sz w:val="18"/>
              </w:rPr>
              <w:t>Organize aftercare, benefits, supports, referrals, transfer, and continuity.</w:t>
            </w:r>
          </w:p>
        </w:tc>
      </w:tr>
      <w:tr>
        <w:trPr>
          <w:cantSplit/>
        </w:trPr>
        <w:tc>
          <w:tcPr>
            <w:tcW w:type="dxa" w:w="1152"/>
            <w:tcMar>
              <w:top w:w="100" w:type="dxa"/>
              <w:start w:w="120" w:type="dxa"/>
              <w:bottom w:w="100" w:type="dxa"/>
              <w:end w:w="120" w:type="dxa"/>
            </w:tcMar>
            <w:shd w:fill="F7F8FA"/>
          </w:tcPr>
          <w:p>
            <w:pPr>
              <w:spacing w:after="0"/>
            </w:pPr>
            <w:r>
              <w:rPr>
                <w:sz w:val="18"/>
              </w:rPr>
              <w:t>S</w:t>
            </w:r>
          </w:p>
        </w:tc>
        <w:tc>
          <w:tcPr>
            <w:tcW w:type="dxa" w:w="8784"/>
            <w:tcMar>
              <w:top w:w="100" w:type="dxa"/>
              <w:start w:w="120" w:type="dxa"/>
              <w:bottom w:w="100" w:type="dxa"/>
              <w:end w:w="120" w:type="dxa"/>
            </w:tcMar>
            <w:shd w:fill="F7F8FA"/>
          </w:tcPr>
          <w:p>
            <w:pPr>
              <w:spacing w:after="0"/>
            </w:pPr>
            <w:r>
              <w:rPr>
                <w:sz w:val="18"/>
              </w:rPr>
              <w:t>Summarize gains, effective strategies, warning signs, and future access steps.</w:t>
            </w:r>
          </w:p>
        </w:tc>
      </w:tr>
      <w:tr>
        <w:trPr>
          <w:cantSplit/>
        </w:trPr>
        <w:tc>
          <w:tcPr>
            <w:tcW w:type="dxa" w:w="1152"/>
            <w:tcMar>
              <w:top w:w="100" w:type="dxa"/>
              <w:start w:w="120" w:type="dxa"/>
              <w:bottom w:w="100" w:type="dxa"/>
              <w:end w:w="120" w:type="dxa"/>
            </w:tcMar>
          </w:tcPr>
          <w:p>
            <w:pPr>
              <w:spacing w:after="0"/>
            </w:pPr>
            <w:r>
              <w:rPr>
                <w:sz w:val="18"/>
              </w:rPr>
              <w:t>E</w:t>
            </w:r>
          </w:p>
        </w:tc>
        <w:tc>
          <w:tcPr>
            <w:tcW w:type="dxa" w:w="8784"/>
            <w:tcMar>
              <w:top w:w="100" w:type="dxa"/>
              <w:start w:w="120" w:type="dxa"/>
              <w:bottom w:w="100" w:type="dxa"/>
              <w:end w:w="120" w:type="dxa"/>
            </w:tcMar>
          </w:tcPr>
          <w:p>
            <w:pPr>
              <w:spacing w:after="0"/>
            </w:pPr>
            <w:r>
              <w:rPr>
                <w:sz w:val="18"/>
              </w:rPr>
              <w:t>End transparently, collaboratively, and with appropriate documentation.</w:t>
            </w:r>
          </w:p>
        </w:tc>
      </w:tr>
    </w:tbl>
    <w:p>
      <w:pPr>
        <w:spacing w:after="0"/>
      </w:pPr>
    </w:p>
    <w:p>
      <w:pPr>
        <w:pStyle w:val="Heading1"/>
      </w:pPr>
      <w:r>
        <w:t>Common Exam Traps</w:t>
      </w:r>
    </w:p>
    <w:tbl>
      <w:tblPr>
        <w:tblStyle w:val="TableGrid"/>
        <w:tblW w:type="auto" w:w="0"/>
        <w:jc w:val="center"/>
        <w:tblLayout w:type="fixed"/>
        <w:tblLook w:firstColumn="1" w:firstRow="1" w:lastColumn="0" w:lastRow="0" w:noHBand="0" w:noVBand="1" w:val="04A0"/>
      </w:tblPr>
      <w:tblGrid>
        <w:gridCol w:w="4176"/>
        <w:gridCol w:w="57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Trap</w:t>
            </w:r>
          </w:p>
        </w:tc>
        <w:tc>
          <w:tcPr>
            <w:tcW w:type="dxa" w:w="5040"/>
            <w:shd w:fill="17365D"/>
            <w:tcMar>
              <w:top w:w="100" w:type="dxa"/>
              <w:start w:w="120" w:type="dxa"/>
              <w:bottom w:w="100" w:type="dxa"/>
              <w:end w:w="120" w:type="dxa"/>
            </w:tcMar>
          </w:tcPr>
          <w:p>
            <w:pPr>
              <w:spacing w:after="0"/>
            </w:pPr>
            <w:r>
              <w:rPr>
                <w:b/>
                <w:color w:val="FFFFFF"/>
                <w:sz w:val="17"/>
              </w:rPr>
              <w:t>Correction</w:t>
            </w:r>
          </w:p>
        </w:tc>
      </w:tr>
      <w:tr>
        <w:trPr>
          <w:cantSplit/>
        </w:trPr>
        <w:tc>
          <w:tcPr>
            <w:tcW w:type="dxa" w:w="4176"/>
            <w:tcMar>
              <w:top w:w="100" w:type="dxa"/>
              <w:start w:w="120" w:type="dxa"/>
              <w:bottom w:w="100" w:type="dxa"/>
              <w:end w:w="120" w:type="dxa"/>
            </w:tcMar>
          </w:tcPr>
          <w:p>
            <w:pPr>
              <w:spacing w:after="0"/>
            </w:pPr>
            <w:r>
              <w:rPr>
                <w:sz w:val="17"/>
              </w:rPr>
              <w:t>Starting psychotherapy while imminent housing or safety needs are unresolved</w:t>
            </w:r>
          </w:p>
        </w:tc>
        <w:tc>
          <w:tcPr>
            <w:tcW w:type="dxa" w:w="5760"/>
            <w:tcMar>
              <w:top w:w="100" w:type="dxa"/>
              <w:start w:w="120" w:type="dxa"/>
              <w:bottom w:w="100" w:type="dxa"/>
              <w:end w:w="120" w:type="dxa"/>
            </w:tcMar>
          </w:tcPr>
          <w:p>
            <w:pPr>
              <w:spacing w:after="0"/>
            </w:pPr>
            <w:r>
              <w:rPr>
                <w:sz w:val="17"/>
              </w:rPr>
              <w:t>Assess the urgent need and feasible resources first.</w:t>
            </w:r>
          </w:p>
        </w:tc>
      </w:tr>
      <w:tr>
        <w:trPr>
          <w:cantSplit/>
        </w:trPr>
        <w:tc>
          <w:tcPr>
            <w:tcW w:type="dxa" w:w="4176"/>
            <w:tcMar>
              <w:top w:w="100" w:type="dxa"/>
              <w:start w:w="120" w:type="dxa"/>
              <w:bottom w:w="100" w:type="dxa"/>
              <w:end w:w="120" w:type="dxa"/>
            </w:tcMar>
            <w:shd w:fill="F7F8FA"/>
          </w:tcPr>
          <w:p>
            <w:pPr>
              <w:spacing w:after="0"/>
            </w:pPr>
            <w:r>
              <w:rPr>
                <w:sz w:val="17"/>
              </w:rPr>
              <w:t>Treating client participation as optional</w:t>
            </w:r>
          </w:p>
        </w:tc>
        <w:tc>
          <w:tcPr>
            <w:tcW w:type="dxa" w:w="5760"/>
            <w:tcMar>
              <w:top w:w="100" w:type="dxa"/>
              <w:start w:w="120" w:type="dxa"/>
              <w:bottom w:w="100" w:type="dxa"/>
              <w:end w:w="120" w:type="dxa"/>
            </w:tcMar>
            <w:shd w:fill="F7F8FA"/>
          </w:tcPr>
          <w:p>
            <w:pPr>
              <w:spacing w:after="0"/>
            </w:pPr>
            <w:r>
              <w:rPr>
                <w:sz w:val="17"/>
              </w:rPr>
              <w:t>Involve the client or client system in goals, choices, and review unless an overriding duty applies.</w:t>
            </w:r>
          </w:p>
        </w:tc>
      </w:tr>
      <w:tr>
        <w:trPr>
          <w:cantSplit/>
        </w:trPr>
        <w:tc>
          <w:tcPr>
            <w:tcW w:type="dxa" w:w="4176"/>
            <w:tcMar>
              <w:top w:w="100" w:type="dxa"/>
              <w:start w:w="120" w:type="dxa"/>
              <w:bottom w:w="100" w:type="dxa"/>
              <w:end w:w="120" w:type="dxa"/>
            </w:tcMar>
          </w:tcPr>
          <w:p>
            <w:pPr>
              <w:spacing w:after="0"/>
            </w:pPr>
            <w:r>
              <w:rPr>
                <w:sz w:val="17"/>
              </w:rPr>
              <w:t>Choosing the provider’s preferred theory</w:t>
            </w:r>
          </w:p>
        </w:tc>
        <w:tc>
          <w:tcPr>
            <w:tcW w:type="dxa" w:w="5760"/>
            <w:tcMar>
              <w:top w:w="100" w:type="dxa"/>
              <w:start w:w="120" w:type="dxa"/>
              <w:bottom w:w="100" w:type="dxa"/>
              <w:end w:w="120" w:type="dxa"/>
            </w:tcMar>
          </w:tcPr>
          <w:p>
            <w:pPr>
              <w:spacing w:after="0"/>
            </w:pPr>
            <w:r>
              <w:rPr>
                <w:sz w:val="17"/>
              </w:rPr>
              <w:t>Select the modality based on client and context fit.</w:t>
            </w:r>
          </w:p>
        </w:tc>
      </w:tr>
      <w:tr>
        <w:trPr>
          <w:cantSplit/>
        </w:trPr>
        <w:tc>
          <w:tcPr>
            <w:tcW w:type="dxa" w:w="4176"/>
            <w:tcMar>
              <w:top w:w="100" w:type="dxa"/>
              <w:start w:w="120" w:type="dxa"/>
              <w:bottom w:w="100" w:type="dxa"/>
              <w:end w:w="120" w:type="dxa"/>
            </w:tcMar>
            <w:shd w:fill="F7F8FA"/>
          </w:tcPr>
          <w:p>
            <w:pPr>
              <w:spacing w:after="0"/>
            </w:pPr>
            <w:r>
              <w:rPr>
                <w:sz w:val="17"/>
              </w:rPr>
              <w:t>Making a generic referral</w:t>
            </w:r>
          </w:p>
        </w:tc>
        <w:tc>
          <w:tcPr>
            <w:tcW w:type="dxa" w:w="5760"/>
            <w:tcMar>
              <w:top w:w="100" w:type="dxa"/>
              <w:start w:w="120" w:type="dxa"/>
              <w:bottom w:w="100" w:type="dxa"/>
              <w:end w:w="120" w:type="dxa"/>
            </w:tcMar>
            <w:shd w:fill="F7F8FA"/>
          </w:tcPr>
          <w:p>
            <w:pPr>
              <w:spacing w:after="0"/>
            </w:pPr>
            <w:r>
              <w:rPr>
                <w:sz w:val="17"/>
              </w:rPr>
              <w:t>Check availability, eligibility, accessibility, acceptability, logistics, and follow-through.</w:t>
            </w:r>
          </w:p>
        </w:tc>
      </w:tr>
      <w:tr>
        <w:trPr>
          <w:cantSplit/>
        </w:trPr>
        <w:tc>
          <w:tcPr>
            <w:tcW w:type="dxa" w:w="4176"/>
            <w:tcMar>
              <w:top w:w="100" w:type="dxa"/>
              <w:start w:w="120" w:type="dxa"/>
              <w:bottom w:w="100" w:type="dxa"/>
              <w:end w:w="120" w:type="dxa"/>
            </w:tcMar>
          </w:tcPr>
          <w:p>
            <w:pPr>
              <w:spacing w:after="0"/>
            </w:pPr>
            <w:r>
              <w:rPr>
                <w:sz w:val="17"/>
              </w:rPr>
              <w:t>Calling refusal noncompliance</w:t>
            </w:r>
          </w:p>
        </w:tc>
        <w:tc>
          <w:tcPr>
            <w:tcW w:type="dxa" w:w="5760"/>
            <w:tcMar>
              <w:top w:w="100" w:type="dxa"/>
              <w:start w:w="120" w:type="dxa"/>
              <w:bottom w:w="100" w:type="dxa"/>
              <w:end w:w="120" w:type="dxa"/>
            </w:tcMar>
          </w:tcPr>
          <w:p>
            <w:pPr>
              <w:spacing w:after="0"/>
            </w:pPr>
            <w:r>
              <w:rPr>
                <w:sz w:val="17"/>
              </w:rPr>
              <w:t>Explore the concern, prior experience, stigma, barrier, and acceptable alternatives.</w:t>
            </w:r>
          </w:p>
        </w:tc>
      </w:tr>
      <w:tr>
        <w:trPr>
          <w:cantSplit/>
        </w:trPr>
        <w:tc>
          <w:tcPr>
            <w:tcW w:type="dxa" w:w="4176"/>
            <w:tcMar>
              <w:top w:w="100" w:type="dxa"/>
              <w:start w:w="120" w:type="dxa"/>
              <w:bottom w:w="100" w:type="dxa"/>
              <w:end w:w="120" w:type="dxa"/>
            </w:tcMar>
            <w:shd w:fill="F7F8FA"/>
          </w:tcPr>
          <w:p>
            <w:pPr>
              <w:spacing w:after="0"/>
            </w:pPr>
            <w:r>
              <w:rPr>
                <w:sz w:val="17"/>
              </w:rPr>
              <w:t>Continuing unchanged because the plan was followed</w:t>
            </w:r>
          </w:p>
        </w:tc>
        <w:tc>
          <w:tcPr>
            <w:tcW w:type="dxa" w:w="5760"/>
            <w:tcMar>
              <w:top w:w="100" w:type="dxa"/>
              <w:start w:w="120" w:type="dxa"/>
              <w:bottom w:w="100" w:type="dxa"/>
              <w:end w:w="120" w:type="dxa"/>
            </w:tcMar>
            <w:shd w:fill="F7F8FA"/>
          </w:tcPr>
          <w:p>
            <w:pPr>
              <w:spacing w:after="0"/>
            </w:pPr>
            <w:r>
              <w:rPr>
                <w:sz w:val="17"/>
              </w:rPr>
              <w:t>Use outcome data and reassessment to revise ineffective care.</w:t>
            </w:r>
          </w:p>
        </w:tc>
      </w:tr>
      <w:tr>
        <w:trPr>
          <w:cantSplit/>
        </w:trPr>
        <w:tc>
          <w:tcPr>
            <w:tcW w:type="dxa" w:w="4176"/>
            <w:tcMar>
              <w:top w:w="100" w:type="dxa"/>
              <w:start w:w="120" w:type="dxa"/>
              <w:bottom w:w="100" w:type="dxa"/>
              <w:end w:w="120" w:type="dxa"/>
            </w:tcMar>
          </w:tcPr>
          <w:p>
            <w:pPr>
              <w:spacing w:after="0"/>
            </w:pPr>
            <w:r>
              <w:rPr>
                <w:sz w:val="17"/>
              </w:rPr>
              <w:t>Discharging automatically after missed visits</w:t>
            </w:r>
          </w:p>
        </w:tc>
        <w:tc>
          <w:tcPr>
            <w:tcW w:type="dxa" w:w="5760"/>
            <w:tcMar>
              <w:top w:w="100" w:type="dxa"/>
              <w:start w:w="120" w:type="dxa"/>
              <w:bottom w:w="100" w:type="dxa"/>
              <w:end w:w="120" w:type="dxa"/>
            </w:tcMar>
          </w:tcPr>
          <w:p>
            <w:pPr>
              <w:spacing w:after="0"/>
            </w:pPr>
            <w:r>
              <w:rPr>
                <w:sz w:val="17"/>
              </w:rPr>
              <w:t>Apply policy with reasonable outreach, risk review, barrier assessment, and continuity.</w:t>
            </w:r>
          </w:p>
        </w:tc>
      </w:tr>
      <w:tr>
        <w:trPr>
          <w:cantSplit/>
        </w:trPr>
        <w:tc>
          <w:tcPr>
            <w:tcW w:type="dxa" w:w="4176"/>
            <w:tcMar>
              <w:top w:w="100" w:type="dxa"/>
              <w:start w:w="120" w:type="dxa"/>
              <w:bottom w:w="100" w:type="dxa"/>
              <w:end w:w="120" w:type="dxa"/>
            </w:tcMar>
            <w:shd w:fill="F7F8FA"/>
          </w:tcPr>
          <w:p>
            <w:pPr>
              <w:spacing w:after="0"/>
            </w:pPr>
            <w:r>
              <w:rPr>
                <w:sz w:val="17"/>
              </w:rPr>
              <w:t>Using a fixed session count as proof of readiness</w:t>
            </w:r>
          </w:p>
        </w:tc>
        <w:tc>
          <w:tcPr>
            <w:tcW w:type="dxa" w:w="5760"/>
            <w:tcMar>
              <w:top w:w="100" w:type="dxa"/>
              <w:start w:w="120" w:type="dxa"/>
              <w:bottom w:w="100" w:type="dxa"/>
              <w:end w:w="120" w:type="dxa"/>
            </w:tcMar>
            <w:shd w:fill="F7F8FA"/>
          </w:tcPr>
          <w:p>
            <w:pPr>
              <w:spacing w:after="0"/>
            </w:pPr>
            <w:r>
              <w:rPr>
                <w:sz w:val="17"/>
              </w:rPr>
              <w:t>Base termination on functioning, goals, choice, risk, supports, and transition needs.</w:t>
            </w:r>
          </w:p>
        </w:tc>
      </w:tr>
    </w:tbl>
    <w:p>
      <w:pPr>
        <w:spacing w:after="0"/>
      </w:pPr>
    </w:p>
    <w:p>
      <w:pPr>
        <w:pStyle w:val="Heading1"/>
      </w:pPr>
      <w:r>
        <w:t>Worked Example 1: Depression and Imminent Eviction</w:t>
      </w:r>
    </w:p>
    <w:p>
      <w:r>
        <w:rPr>
          <w:i w:val="0"/>
        </w:rPr>
        <w:t>A client seeking treatment for depression has an eviction notice and no safe place to stay after the week ends. Cognitive intervention may eventually help, but the first planning task is to assess the immediacy of the housing need and available emergency resources because housing instability affects safety, functioning, and engagement.</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Best First Step</w:t>
            </w:r>
          </w:p>
          <w:p>
            <w:pPr>
              <w:spacing w:after="0"/>
            </w:pPr>
            <w:r>
              <w:t>Prioritize the urgent housing need while integrating depression treatment into the broader service plan.</w:t>
            </w:r>
          </w:p>
        </w:tc>
      </w:tr>
    </w:tbl>
    <w:p>
      <w:pPr>
        <w:spacing w:after="0"/>
      </w:pPr>
    </w:p>
    <w:p>
      <w:pPr>
        <w:pStyle w:val="Heading1"/>
      </w:pPr>
      <w:r>
        <w:t>Worked Example 2: Client Declines a Group</w:t>
      </w:r>
    </w:p>
    <w:p>
      <w:r>
        <w:rPr>
          <w:i w:val="0"/>
        </w:rPr>
        <w:t>A client declines a substance-use group because prior groups felt stigmatizing. The strongest response is not to label the client noncompliant or insist on the recommendation. The social worker explores the experience and collaborates on a clinically appropriate alternative the client can use.</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Best Next Step</w:t>
            </w:r>
          </w:p>
          <w:p>
            <w:pPr>
              <w:spacing w:after="0"/>
            </w:pPr>
            <w:r>
              <w:t>Preserve self-determination, assess the barrier, explain options, and revise the plan collaboratively.</w:t>
            </w:r>
          </w:p>
        </w:tc>
      </w:tr>
    </w:tbl>
    <w:p>
      <w:pPr>
        <w:spacing w:after="0"/>
      </w:pPr>
    </w:p>
    <w:p>
      <w:r>
        <w:br w:type="page"/>
      </w:r>
    </w:p>
    <w:p>
      <w:pPr>
        <w:pStyle w:val="Heading1"/>
      </w:pPr>
      <w:r>
        <w:t>Treatment and Service-Planning Worksheet</w:t>
      </w:r>
    </w:p>
    <w:tbl>
      <w:tblPr>
        <w:tblStyle w:val="TableGrid"/>
        <w:tblW w:type="auto" w:w="0"/>
        <w:jc w:val="center"/>
        <w:tblLayout w:type="fixed"/>
        <w:tblLook w:firstColumn="1" w:firstRow="1" w:lastColumn="0" w:lastRow="0" w:noHBand="0" w:noVBand="1" w:val="04A0"/>
      </w:tblPr>
      <w:tblGrid>
        <w:gridCol w:w="5112"/>
        <w:gridCol w:w="482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Prompt</w:t>
            </w:r>
          </w:p>
        </w:tc>
        <w:tc>
          <w:tcPr>
            <w:tcW w:type="dxa" w:w="5040"/>
            <w:shd w:fill="17365D"/>
            <w:tcMar>
              <w:top w:w="100" w:type="dxa"/>
              <w:start w:w="120" w:type="dxa"/>
              <w:bottom w:w="100" w:type="dxa"/>
              <w:end w:w="120" w:type="dxa"/>
            </w:tcMar>
          </w:tcPr>
          <w:p>
            <w:pPr>
              <w:spacing w:after="0"/>
            </w:pPr>
            <w:r>
              <w:rPr>
                <w:b/>
                <w:color w:val="FFFFFF"/>
                <w:sz w:val="17"/>
              </w:rPr>
              <w:t>Notes</w:t>
            </w:r>
          </w:p>
        </w:tc>
      </w:tr>
      <w:tr>
        <w:trPr>
          <w:cantSplit/>
        </w:trPr>
        <w:tc>
          <w:tcPr>
            <w:tcW w:type="dxa" w:w="5112"/>
            <w:tcMar>
              <w:top w:w="100" w:type="dxa"/>
              <w:start w:w="120" w:type="dxa"/>
              <w:bottom w:w="100" w:type="dxa"/>
              <w:end w:w="120" w:type="dxa"/>
            </w:tcMar>
          </w:tcPr>
          <w:p>
            <w:pPr>
              <w:spacing w:after="0"/>
            </w:pPr>
            <w:r>
              <w:rPr>
                <w:sz w:val="17"/>
              </w:rPr>
              <w:t>Immediate safety, medical, or basic-needs priority</w:t>
            </w:r>
          </w:p>
        </w:tc>
        <w:tc>
          <w:tcPr>
            <w:tcW w:type="dxa" w:w="4824"/>
            <w:tcMar>
              <w:top w:w="100" w:type="dxa"/>
              <w:start w:w="120" w:type="dxa"/>
              <w:bottom w:w="100" w:type="dxa"/>
              <w:end w:w="120" w:type="dxa"/>
            </w:tcMar>
          </w:tcPr>
          <w:p>
            <w:pPr>
              <w:spacing w:after="0"/>
            </w:pPr>
            <w:r>
              <w:rPr>
                <w:sz w:val="17"/>
              </w:rPr>
            </w:r>
          </w:p>
        </w:tc>
      </w:tr>
      <w:tr>
        <w:trPr>
          <w:cantSplit/>
        </w:trPr>
        <w:tc>
          <w:tcPr>
            <w:tcW w:type="dxa" w:w="5112"/>
            <w:tcMar>
              <w:top w:w="100" w:type="dxa"/>
              <w:start w:w="120" w:type="dxa"/>
              <w:bottom w:w="100" w:type="dxa"/>
              <w:end w:w="120" w:type="dxa"/>
            </w:tcMar>
            <w:shd w:fill="F7F8FA"/>
          </w:tcPr>
          <w:p>
            <w:pPr>
              <w:spacing w:after="0"/>
            </w:pPr>
            <w:r>
              <w:rPr>
                <w:sz w:val="17"/>
              </w:rPr>
              <w:t>Client/client system priorities and informed choices</w:t>
            </w:r>
          </w:p>
        </w:tc>
        <w:tc>
          <w:tcPr>
            <w:tcW w:type="dxa" w:w="4824"/>
            <w:tcMar>
              <w:top w:w="100" w:type="dxa"/>
              <w:start w:w="120" w:type="dxa"/>
              <w:bottom w:w="100" w:type="dxa"/>
              <w:end w:w="120" w:type="dxa"/>
            </w:tcMar>
            <w:shd w:fill="F7F8FA"/>
          </w:tcPr>
          <w:p>
            <w:pPr>
              <w:spacing w:after="0"/>
            </w:pPr>
            <w:r>
              <w:rPr>
                <w:sz w:val="17"/>
              </w:rPr>
            </w:r>
          </w:p>
        </w:tc>
      </w:tr>
      <w:tr>
        <w:trPr>
          <w:cantSplit/>
        </w:trPr>
        <w:tc>
          <w:tcPr>
            <w:tcW w:type="dxa" w:w="5112"/>
            <w:tcMar>
              <w:top w:w="100" w:type="dxa"/>
              <w:start w:w="120" w:type="dxa"/>
              <w:bottom w:w="100" w:type="dxa"/>
              <w:end w:w="120" w:type="dxa"/>
            </w:tcMar>
          </w:tcPr>
          <w:p>
            <w:pPr>
              <w:spacing w:after="0"/>
            </w:pPr>
            <w:r>
              <w:rPr>
                <w:sz w:val="17"/>
              </w:rPr>
              <w:t>PIE formulation: symptoms, strengths, environment, and systems</w:t>
            </w:r>
          </w:p>
        </w:tc>
        <w:tc>
          <w:tcPr>
            <w:tcW w:type="dxa" w:w="4824"/>
            <w:tcMar>
              <w:top w:w="100" w:type="dxa"/>
              <w:start w:w="120" w:type="dxa"/>
              <w:bottom w:w="100" w:type="dxa"/>
              <w:end w:w="120" w:type="dxa"/>
            </w:tcMar>
          </w:tcPr>
          <w:p>
            <w:pPr>
              <w:spacing w:after="0"/>
            </w:pPr>
            <w:r>
              <w:rPr>
                <w:sz w:val="17"/>
              </w:rPr>
            </w:r>
          </w:p>
        </w:tc>
      </w:tr>
      <w:tr>
        <w:trPr>
          <w:cantSplit/>
        </w:trPr>
        <w:tc>
          <w:tcPr>
            <w:tcW w:type="dxa" w:w="5112"/>
            <w:tcMar>
              <w:top w:w="100" w:type="dxa"/>
              <w:start w:w="120" w:type="dxa"/>
              <w:bottom w:w="100" w:type="dxa"/>
              <w:end w:w="120" w:type="dxa"/>
            </w:tcMar>
            <w:shd w:fill="F7F8FA"/>
          </w:tcPr>
          <w:p>
            <w:pPr>
              <w:spacing w:after="0"/>
            </w:pPr>
            <w:r>
              <w:rPr>
                <w:sz w:val="17"/>
              </w:rPr>
              <w:t>Clinical, functional, resource, and service goals</w:t>
            </w:r>
          </w:p>
        </w:tc>
        <w:tc>
          <w:tcPr>
            <w:tcW w:type="dxa" w:w="4824"/>
            <w:tcMar>
              <w:top w:w="100" w:type="dxa"/>
              <w:start w:w="120" w:type="dxa"/>
              <w:bottom w:w="100" w:type="dxa"/>
              <w:end w:w="120" w:type="dxa"/>
            </w:tcMar>
            <w:shd w:fill="F7F8FA"/>
          </w:tcPr>
          <w:p>
            <w:pPr>
              <w:spacing w:after="0"/>
            </w:pPr>
            <w:r>
              <w:rPr>
                <w:sz w:val="17"/>
              </w:rPr>
            </w:r>
          </w:p>
        </w:tc>
      </w:tr>
      <w:tr>
        <w:trPr>
          <w:cantSplit/>
        </w:trPr>
        <w:tc>
          <w:tcPr>
            <w:tcW w:type="dxa" w:w="5112"/>
            <w:tcMar>
              <w:top w:w="100" w:type="dxa"/>
              <w:start w:w="120" w:type="dxa"/>
              <w:bottom w:w="100" w:type="dxa"/>
              <w:end w:w="120" w:type="dxa"/>
            </w:tcMar>
          </w:tcPr>
          <w:p>
            <w:pPr>
              <w:spacing w:after="0"/>
            </w:pPr>
            <w:r>
              <w:rPr>
                <w:sz w:val="17"/>
              </w:rPr>
              <w:t>Intervention, modality, resource, and responsible party</w:t>
            </w:r>
          </w:p>
        </w:tc>
        <w:tc>
          <w:tcPr>
            <w:tcW w:type="dxa" w:w="4824"/>
            <w:tcMar>
              <w:top w:w="100" w:type="dxa"/>
              <w:start w:w="120" w:type="dxa"/>
              <w:bottom w:w="100" w:type="dxa"/>
              <w:end w:w="120" w:type="dxa"/>
            </w:tcMar>
          </w:tcPr>
          <w:p>
            <w:pPr>
              <w:spacing w:after="0"/>
            </w:pPr>
            <w:r>
              <w:rPr>
                <w:sz w:val="17"/>
              </w:rPr>
            </w:r>
          </w:p>
        </w:tc>
      </w:tr>
      <w:tr>
        <w:trPr>
          <w:cantSplit/>
        </w:trPr>
        <w:tc>
          <w:tcPr>
            <w:tcW w:type="dxa" w:w="5112"/>
            <w:tcMar>
              <w:top w:w="100" w:type="dxa"/>
              <w:start w:w="120" w:type="dxa"/>
              <w:bottom w:w="100" w:type="dxa"/>
              <w:end w:w="120" w:type="dxa"/>
            </w:tcMar>
            <w:shd w:fill="F7F8FA"/>
          </w:tcPr>
          <w:p>
            <w:pPr>
              <w:spacing w:after="0"/>
            </w:pPr>
            <w:r>
              <w:rPr>
                <w:sz w:val="17"/>
              </w:rPr>
              <w:t>Availability, eligibility, accessibility, acceptability, and logistics</w:t>
            </w:r>
          </w:p>
        </w:tc>
        <w:tc>
          <w:tcPr>
            <w:tcW w:type="dxa" w:w="4824"/>
            <w:tcMar>
              <w:top w:w="100" w:type="dxa"/>
              <w:start w:w="120" w:type="dxa"/>
              <w:bottom w:w="100" w:type="dxa"/>
              <w:end w:w="120" w:type="dxa"/>
            </w:tcMar>
            <w:shd w:fill="F7F8FA"/>
          </w:tcPr>
          <w:p>
            <w:pPr>
              <w:spacing w:after="0"/>
            </w:pPr>
            <w:r>
              <w:rPr>
                <w:sz w:val="17"/>
              </w:rPr>
            </w:r>
          </w:p>
        </w:tc>
      </w:tr>
      <w:tr>
        <w:trPr>
          <w:cantSplit/>
        </w:trPr>
        <w:tc>
          <w:tcPr>
            <w:tcW w:type="dxa" w:w="5112"/>
            <w:tcMar>
              <w:top w:w="100" w:type="dxa"/>
              <w:start w:w="120" w:type="dxa"/>
              <w:bottom w:w="100" w:type="dxa"/>
              <w:end w:w="120" w:type="dxa"/>
            </w:tcMar>
          </w:tcPr>
          <w:p>
            <w:pPr>
              <w:spacing w:after="0"/>
            </w:pPr>
            <w:r>
              <w:rPr>
                <w:sz w:val="17"/>
              </w:rPr>
              <w:t>Outcome indicators and review schedule</w:t>
            </w:r>
          </w:p>
        </w:tc>
        <w:tc>
          <w:tcPr>
            <w:tcW w:type="dxa" w:w="4824"/>
            <w:tcMar>
              <w:top w:w="100" w:type="dxa"/>
              <w:start w:w="120" w:type="dxa"/>
              <w:bottom w:w="100" w:type="dxa"/>
              <w:end w:w="120" w:type="dxa"/>
            </w:tcMar>
          </w:tcPr>
          <w:p>
            <w:pPr>
              <w:spacing w:after="0"/>
            </w:pPr>
            <w:r>
              <w:rPr>
                <w:sz w:val="17"/>
              </w:rPr>
            </w:r>
          </w:p>
        </w:tc>
      </w:tr>
      <w:tr>
        <w:trPr>
          <w:cantSplit/>
        </w:trPr>
        <w:tc>
          <w:tcPr>
            <w:tcW w:type="dxa" w:w="5112"/>
            <w:tcMar>
              <w:top w:w="100" w:type="dxa"/>
              <w:start w:w="120" w:type="dxa"/>
              <w:bottom w:w="100" w:type="dxa"/>
              <w:end w:w="120" w:type="dxa"/>
            </w:tcMar>
            <w:shd w:fill="F7F8FA"/>
          </w:tcPr>
          <w:p>
            <w:pPr>
              <w:spacing w:after="0"/>
            </w:pPr>
            <w:r>
              <w:rPr>
                <w:sz w:val="17"/>
              </w:rPr>
              <w:t>Barrier, advocacy, coordination, and contingency plan</w:t>
            </w:r>
          </w:p>
        </w:tc>
        <w:tc>
          <w:tcPr>
            <w:tcW w:type="dxa" w:w="4824"/>
            <w:tcMar>
              <w:top w:w="100" w:type="dxa"/>
              <w:start w:w="120" w:type="dxa"/>
              <w:bottom w:w="100" w:type="dxa"/>
              <w:end w:w="120" w:type="dxa"/>
            </w:tcMar>
            <w:shd w:fill="F7F8FA"/>
          </w:tcPr>
          <w:p>
            <w:pPr>
              <w:spacing w:after="0"/>
            </w:pPr>
            <w:r>
              <w:rPr>
                <w:sz w:val="17"/>
              </w:rPr>
            </w:r>
          </w:p>
        </w:tc>
      </w:tr>
      <w:tr>
        <w:trPr>
          <w:cantSplit/>
        </w:trPr>
        <w:tc>
          <w:tcPr>
            <w:tcW w:type="dxa" w:w="5112"/>
            <w:tcMar>
              <w:top w:w="100" w:type="dxa"/>
              <w:start w:w="120" w:type="dxa"/>
              <w:bottom w:w="100" w:type="dxa"/>
              <w:end w:w="120" w:type="dxa"/>
            </w:tcMar>
          </w:tcPr>
          <w:p>
            <w:pPr>
              <w:spacing w:after="0"/>
            </w:pPr>
            <w:r>
              <w:rPr>
                <w:sz w:val="17"/>
              </w:rPr>
              <w:t>Termination, transfer, aftercare, and continuity</w:t>
            </w:r>
          </w:p>
        </w:tc>
        <w:tc>
          <w:tcPr>
            <w:tcW w:type="dxa" w:w="4824"/>
            <w:tcMar>
              <w:top w:w="100" w:type="dxa"/>
              <w:start w:w="120" w:type="dxa"/>
              <w:bottom w:w="100" w:type="dxa"/>
              <w:end w:w="120" w:type="dxa"/>
            </w:tcMar>
          </w:tcPr>
          <w:p>
            <w:pPr>
              <w:spacing w:after="0"/>
            </w:pPr>
            <w:r>
              <w:rPr>
                <w:sz w:val="17"/>
              </w:rPr>
            </w:r>
          </w:p>
        </w:tc>
      </w:tr>
    </w:tbl>
    <w:p>
      <w:pPr>
        <w:spacing w:after="0"/>
      </w:pPr>
    </w:p>
    <w:p>
      <w:pPr>
        <w:pStyle w:val="Heading1"/>
      </w:pPr>
      <w:r>
        <w:t>Chapter Summary</w:t>
      </w:r>
    </w:p>
    <w:p>
      <w:pPr>
        <w:pStyle w:val="ListBullet"/>
      </w:pPr>
      <w:r>
        <w:t>Planning begins by prioritizing safety, medical stability, basic needs, and the client or client system’s goals before selecting a technique or service.</w:t>
      </w:r>
    </w:p>
    <w:p>
      <w:pPr>
        <w:pStyle w:val="ListBullet"/>
      </w:pPr>
      <w:r>
        <w:t>Self-determination requires understandable information, meaningful alternatives, and collaboration; declining one recommendation is not the same as refusing all help.</w:t>
      </w:r>
    </w:p>
    <w:p>
      <w:pPr>
        <w:pStyle w:val="ListBullet"/>
      </w:pPr>
      <w:r>
        <w:t>A referral becomes a workable plan only when eligibility, accessibility, acceptability, cost, transportation, language, disability access, and follow-through are addressed.</w:t>
      </w:r>
    </w:p>
    <w:p>
      <w:pPr>
        <w:pStyle w:val="ListBullet"/>
      </w:pPr>
      <w:r>
        <w:t>Outcome monitoring should include symptoms, functioning, resource access, participation, alliance, environmental barriers, and client-defined progress.</w:t>
      </w:r>
    </w:p>
    <w:p>
      <w:pPr>
        <w:pStyle w:val="ListBullet"/>
      </w:pPr>
      <w:r>
        <w:t>When services are ending, provide transparent notice, assess risk and barriers, coordinate reasonable transfer or referral, obtain consent for information sharing, and document continuity efforts.</w:t>
      </w:r>
    </w:p>
    <w:p>
      <w:pPr>
        <w:pStyle w:val="Heading1"/>
        <w:pageBreakBefore/>
      </w:pPr>
      <w:r>
        <w:t>Knowledge Check</w:t>
      </w:r>
    </w:p>
    <w:p>
      <w:r>
        <w:rPr>
          <w:i w:val="0"/>
        </w:rPr>
        <w:t>Complete all 10 original CTA practice questions before reviewing the answer key. Record your answer and confidence level. The set emphasizes priority setting, self-determination, measurable objectives, resource matching, progress evaluation, plan revision, and continuity.</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7365D"/>
            <w:tcMar>
              <w:top w:w="100" w:type="dxa"/>
              <w:start w:w="120" w:type="dxa"/>
              <w:bottom w:w="100" w:type="dxa"/>
              <w:end w:w="120" w:type="dxa"/>
            </w:tcMar>
          </w:tcPr>
          <w:p>
            <w:pPr>
              <w:spacing w:after="0"/>
            </w:pPr>
            <w:r>
              <w:rPr>
                <w:b/>
                <w:color w:val="FFFFFF"/>
                <w:sz w:val="18"/>
              </w:rPr>
              <w:t>Question</w:t>
            </w:r>
          </w:p>
        </w:tc>
        <w:tc>
          <w:tcPr>
            <w:tcW w:type="dxa" w:w="2520"/>
            <w:shd w:fill="17365D"/>
            <w:tcMar>
              <w:top w:w="100" w:type="dxa"/>
              <w:start w:w="120" w:type="dxa"/>
              <w:bottom w:w="100" w:type="dxa"/>
              <w:end w:w="120" w:type="dxa"/>
            </w:tcMar>
          </w:tcPr>
          <w:p>
            <w:pPr>
              <w:spacing w:after="0"/>
            </w:pPr>
            <w:r>
              <w:rPr>
                <w:b/>
                <w:color w:val="FFFFFF"/>
                <w:sz w:val="18"/>
              </w:rPr>
              <w:t>Your Answer</w:t>
            </w:r>
          </w:p>
        </w:tc>
        <w:tc>
          <w:tcPr>
            <w:tcW w:type="dxa" w:w="2520"/>
            <w:shd w:fill="17365D"/>
            <w:tcMar>
              <w:top w:w="100" w:type="dxa"/>
              <w:start w:w="120" w:type="dxa"/>
              <w:bottom w:w="100" w:type="dxa"/>
              <w:end w:w="120" w:type="dxa"/>
            </w:tcMar>
          </w:tcPr>
          <w:p>
            <w:pPr>
              <w:spacing w:after="0"/>
            </w:pPr>
            <w:r>
              <w:rPr>
                <w:b/>
                <w:color w:val="FFFFFF"/>
                <w:sz w:val="18"/>
              </w:rPr>
              <w:t>Confidence (1-3)</w:t>
            </w:r>
          </w:p>
        </w:tc>
        <w:tc>
          <w:tcPr>
            <w:tcW w:type="dxa" w:w="2520"/>
            <w:shd w:fill="17365D"/>
            <w:tcMar>
              <w:top w:w="100" w:type="dxa"/>
              <w:start w:w="120" w:type="dxa"/>
              <w:bottom w:w="100" w:type="dxa"/>
              <w:end w:w="120" w:type="dxa"/>
            </w:tcMar>
          </w:tcPr>
          <w:p>
            <w:pPr>
              <w:spacing w:after="0"/>
            </w:pPr>
            <w:r>
              <w:rPr>
                <w:b/>
                <w:color w:val="FFFFFF"/>
                <w:sz w:val="18"/>
              </w:rPr>
              <w:t>Review?</w:t>
            </w:r>
          </w:p>
        </w:tc>
      </w:tr>
      <w:tr>
        <w:trPr>
          <w:cantSplit/>
        </w:trPr>
        <w:tc>
          <w:tcPr>
            <w:tcW w:type="dxa" w:w="1728"/>
            <w:tcMar>
              <w:top w:w="100" w:type="dxa"/>
              <w:start w:w="120" w:type="dxa"/>
              <w:bottom w:w="100" w:type="dxa"/>
              <w:end w:w="120" w:type="dxa"/>
            </w:tcMar>
          </w:tcPr>
          <w:p>
            <w:pPr>
              <w:spacing w:after="0"/>
            </w:pPr>
            <w:r>
              <w:rPr>
                <w:sz w:val="18"/>
              </w:rPr>
              <w:t>1</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2</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3</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4</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5</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6</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7</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8</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9</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10</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bl>
    <w:p>
      <w:pPr>
        <w:spacing w:after="0"/>
      </w:pPr>
    </w:p>
    <w:p>
      <w:pPr>
        <w:keepNext/>
        <w:spacing w:before="120" w:after="40" w:line="240" w:lineRule="auto"/>
      </w:pPr>
      <w:r>
        <w:rPr>
          <w:rFonts w:ascii="Aptos" w:hAnsi="Aptos" w:eastAsia="Aptos" w:cs="Aptos"/>
          <w:b/>
          <w:color w:val="0B7FAB"/>
          <w:sz w:val="17"/>
        </w:rPr>
        <w:t>LCSW-WB07-Q001 | Application | Easy | Primary concept: Priority setting and urgent resources</w:t>
      </w:r>
    </w:p>
    <w:p>
      <w:pPr>
        <w:keepNext/>
        <w:keepLines/>
        <w:spacing w:before="60"/>
      </w:pPr>
      <w:r>
        <w:rPr>
          <w:b/>
          <w:i w:val="0"/>
        </w:rPr>
        <w:t>1. A client seeking treatment for depression reports receiving an eviction notice and having no safe place to stay after the end of the week. What should the social worker do FIRST when developing the service plan?</w:t>
      </w:r>
    </w:p>
    <w:p>
      <w:pPr>
        <w:keepNext/>
        <w:keepLines/>
        <w:spacing w:after="20"/>
        <w:ind w:left="259"/>
      </w:pPr>
      <w:r>
        <w:t>A. Assess the immediacy of the housing need and available emergency resources.</w:t>
      </w:r>
    </w:p>
    <w:p>
      <w:pPr>
        <w:keepNext/>
        <w:keepLines/>
        <w:spacing w:after="20"/>
        <w:ind w:left="259"/>
      </w:pPr>
      <w:r>
        <w:t>B. Begin cognitive restructuring for depressive thoughts.</w:t>
      </w:r>
    </w:p>
    <w:p>
      <w:pPr>
        <w:keepNext/>
        <w:keepLines/>
        <w:spacing w:after="20"/>
        <w:ind w:left="259"/>
      </w:pPr>
      <w:r>
        <w:t>C. Ask the client to complete a detailed mood diary.</w:t>
      </w:r>
    </w:p>
    <w:p>
      <w:pPr>
        <w:keepLines/>
        <w:spacing w:after="20"/>
        <w:ind w:left="259"/>
      </w:pPr>
      <w:r>
        <w:t>D. Refer the client to a long-term psychotherapy group.</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LCSW-WB07-Q002 | Application | Moderate | Primary concept: Self-determination in service planning</w:t>
      </w:r>
    </w:p>
    <w:p>
      <w:pPr>
        <w:keepNext/>
        <w:keepLines/>
        <w:spacing w:before="60"/>
      </w:pPr>
      <w:r>
        <w:rPr>
          <w:b/>
          <w:i w:val="0"/>
        </w:rPr>
        <w:t>2. A social worker recommends a substance use group, but the client refuses because previous groups felt stigmatizing. What should the social worker do NEXT?</w:t>
      </w:r>
    </w:p>
    <w:p>
      <w:pPr>
        <w:keepNext/>
        <w:keepLines/>
        <w:spacing w:after="20"/>
        <w:ind w:left="259"/>
      </w:pPr>
      <w:r>
        <w:t>A. Document noncompliance and close the case.</w:t>
      </w:r>
    </w:p>
    <w:p>
      <w:pPr>
        <w:keepNext/>
        <w:keepLines/>
        <w:spacing w:after="20"/>
        <w:ind w:left="259"/>
      </w:pPr>
      <w:r>
        <w:t>B. Explain that participation is required for improvement.</w:t>
      </w:r>
    </w:p>
    <w:p>
      <w:pPr>
        <w:keepNext/>
        <w:keepLines/>
        <w:spacing w:after="20"/>
        <w:ind w:left="259"/>
      </w:pPr>
      <w:r>
        <w:t>C. Contact the client's family to persuade the client to attend.</w:t>
      </w:r>
    </w:p>
    <w:p>
      <w:pPr>
        <w:keepLines/>
        <w:spacing w:after="20"/>
        <w:ind w:left="259"/>
      </w:pPr>
      <w:r>
        <w:t>D. Explore the client's concerns and collaborate on acceptable treatment alternatives.</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LCSW-WB07-Q003 | Recall | Easy | Primary concept: Measurable objectives</w:t>
      </w:r>
    </w:p>
    <w:p>
      <w:pPr>
        <w:keepNext/>
        <w:keepLines/>
        <w:spacing w:before="60"/>
      </w:pPr>
      <w:r>
        <w:rPr>
          <w:b/>
          <w:i w:val="0"/>
        </w:rPr>
        <w:t>3. A treatment plan lists the goal, “The client will feel better.” What should the social worker do to improve the plan?</w:t>
      </w:r>
    </w:p>
    <w:p>
      <w:pPr>
        <w:keepNext/>
        <w:keepLines/>
        <w:spacing w:after="20"/>
        <w:ind w:left="259"/>
      </w:pPr>
      <w:r>
        <w:t>A. Replace the goal with a diagnosis.</w:t>
      </w:r>
    </w:p>
    <w:p>
      <w:pPr>
        <w:keepNext/>
        <w:keepLines/>
        <w:spacing w:after="20"/>
        <w:ind w:left="259"/>
      </w:pPr>
      <w:r>
        <w:t>B. Add observable indicators, a time frame, and client-defined signs of improvement.</w:t>
      </w:r>
    </w:p>
    <w:p>
      <w:pPr>
        <w:keepNext/>
        <w:keepLines/>
        <w:spacing w:after="20"/>
        <w:ind w:left="259"/>
      </w:pPr>
      <w:r>
        <w:t>C. Keep the goal because emotional change cannot be measured.</w:t>
      </w:r>
    </w:p>
    <w:p>
      <w:pPr>
        <w:keepLines/>
        <w:spacing w:after="20"/>
        <w:ind w:left="259"/>
      </w:pPr>
      <w:r>
        <w:t>D. Add as many interventions as possible to demonstrate intensity.</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LCSW-WB07-Q004 | Application | Moderate | Primary concept: Modality selection and client fit</w:t>
      </w:r>
    </w:p>
    <w:p>
      <w:pPr>
        <w:keepNext/>
        <w:keepLines/>
        <w:spacing w:before="60"/>
      </w:pPr>
      <w:r>
        <w:rPr>
          <w:b/>
          <w:i w:val="0"/>
        </w:rPr>
        <w:t>4. Which factor is MOST important when selecting an intervention modality?</w:t>
      </w:r>
    </w:p>
    <w:p>
      <w:pPr>
        <w:keepNext/>
        <w:keepLines/>
        <w:spacing w:after="20"/>
        <w:ind w:left="259"/>
      </w:pPr>
      <w:r>
        <w:t>A. The social worker's preferred theory.</w:t>
      </w:r>
    </w:p>
    <w:p>
      <w:pPr>
        <w:keepNext/>
        <w:keepLines/>
        <w:spacing w:after="20"/>
        <w:ind w:left="259"/>
      </w:pPr>
      <w:r>
        <w:t>B. The approach most commonly used by the agency.</w:t>
      </w:r>
    </w:p>
    <w:p>
      <w:pPr>
        <w:keepNext/>
        <w:keepLines/>
        <w:spacing w:after="20"/>
        <w:ind w:left="259"/>
      </w:pPr>
      <w:r>
        <w:t>C. Fit with the client/client system's needs, abilities, culture, development, and goals.</w:t>
      </w:r>
    </w:p>
    <w:p>
      <w:pPr>
        <w:keepLines/>
        <w:spacing w:after="20"/>
        <w:ind w:left="259"/>
      </w:pPr>
      <w:r>
        <w:t>D. The intervention requiring the greatest number of sessions.</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LCSW-WB07-Q005 | Recall | Easy | Primary concept: Resource accessibility and feasibility</w:t>
      </w:r>
    </w:p>
    <w:p>
      <w:pPr>
        <w:keepNext/>
        <w:keepLines/>
        <w:spacing w:before="60"/>
      </w:pPr>
      <w:r>
        <w:rPr>
          <w:b/>
          <w:i w:val="0"/>
        </w:rPr>
        <w:t>5. A social worker plans to refer a client with limited mobility to a community food program. What should the social worker do BEFORE making the referral?</w:t>
      </w:r>
    </w:p>
    <w:p>
      <w:pPr>
        <w:keepNext/>
        <w:keepLines/>
        <w:spacing w:after="20"/>
        <w:ind w:left="259"/>
      </w:pPr>
      <w:r>
        <w:t>A. Confirm eligibility, accessibility, transportation, and the client's willingness to use the service.</w:t>
      </w:r>
    </w:p>
    <w:p>
      <w:pPr>
        <w:keepNext/>
        <w:keepLines/>
        <w:spacing w:after="20"/>
        <w:ind w:left="259"/>
      </w:pPr>
      <w:r>
        <w:t>B. Send the referral because food insecurity makes consent unnecessary.</w:t>
      </w:r>
    </w:p>
    <w:p>
      <w:pPr>
        <w:keepNext/>
        <w:keepLines/>
        <w:spacing w:after="20"/>
        <w:ind w:left="259"/>
      </w:pPr>
      <w:r>
        <w:t>C. Ask the client's physician to select the food program.</w:t>
      </w:r>
    </w:p>
    <w:p>
      <w:pPr>
        <w:keepLines/>
        <w:spacing w:after="20"/>
        <w:ind w:left="259"/>
      </w:pPr>
      <w:r>
        <w:t>D. Wait until the client independently locates a program.</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LCSW-WB07-Q006 | Recall | Easy | Primary concept: Outcome monitoring</w:t>
      </w:r>
    </w:p>
    <w:p>
      <w:pPr>
        <w:keepNext/>
        <w:keepLines/>
        <w:spacing w:before="60"/>
      </w:pPr>
      <w:r>
        <w:rPr>
          <w:b/>
          <w:i w:val="0"/>
        </w:rPr>
        <w:t>6. A social worker and client agree that improved functioning is a treatment goal. What should they do NEXT?</w:t>
      </w:r>
    </w:p>
    <w:p>
      <w:pPr>
        <w:keepNext/>
        <w:keepLines/>
        <w:spacing w:after="20"/>
        <w:ind w:left="259"/>
      </w:pPr>
      <w:r>
        <w:t>A. Wait until termination to decide whether the goal was met.</w:t>
      </w:r>
    </w:p>
    <w:p>
      <w:pPr>
        <w:keepNext/>
        <w:keepLines/>
        <w:spacing w:after="20"/>
        <w:ind w:left="259"/>
      </w:pPr>
      <w:r>
        <w:t>B. Use only the social worker's impressions to avoid burdening the client.</w:t>
      </w:r>
    </w:p>
    <w:p>
      <w:pPr>
        <w:keepNext/>
        <w:keepLines/>
        <w:spacing w:after="20"/>
        <w:ind w:left="259"/>
      </w:pPr>
      <w:r>
        <w:t>C. Select a new diagnosis that reflects the desired outcome.</w:t>
      </w:r>
    </w:p>
    <w:p>
      <w:pPr>
        <w:keepLines/>
        <w:spacing w:after="20"/>
        <w:ind w:left="259"/>
      </w:pPr>
      <w:r>
        <w:t>D. Define specific functional indicators and how often progress will be reviewed.</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LCSW-WB07-Q007 | Scenario | Moderate | Primary concept: Collaborative reassessment and plan revision</w:t>
      </w:r>
    </w:p>
    <w:p>
      <w:pPr>
        <w:keepNext/>
        <w:keepLines/>
        <w:spacing w:before="60"/>
      </w:pPr>
      <w:r>
        <w:rPr>
          <w:b/>
          <w:i w:val="0"/>
        </w:rPr>
        <w:t>7. A client has attended six sessions but reports no improvement. The social worker has followed the original plan consistently. What should the social worker do NEXT?</w:t>
      </w:r>
    </w:p>
    <w:p>
      <w:pPr>
        <w:keepNext/>
        <w:keepLines/>
        <w:spacing w:after="20"/>
        <w:ind w:left="259"/>
      </w:pPr>
      <w:r>
        <w:t>A. Continue unchanged because consistency is the most important factor.</w:t>
      </w:r>
    </w:p>
    <w:p>
      <w:pPr>
        <w:keepNext/>
        <w:keepLines/>
        <w:spacing w:after="20"/>
        <w:ind w:left="259"/>
      </w:pPr>
      <w:r>
        <w:t>B. Tell the client that progress depends on greater motivation.</w:t>
      </w:r>
    </w:p>
    <w:p>
      <w:pPr>
        <w:keepNext/>
        <w:keepLines/>
        <w:spacing w:after="20"/>
        <w:ind w:left="259"/>
      </w:pPr>
      <w:r>
        <w:t>C. Reassess needs, diagnosis, barriers, alliance, resources, and intervention fit with the client.</w:t>
      </w:r>
    </w:p>
    <w:p>
      <w:pPr>
        <w:keepLines/>
        <w:spacing w:after="20"/>
        <w:ind w:left="259"/>
      </w:pPr>
      <w:r>
        <w:t>D. Terminate because treatment has failed.</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LCSW-WB07-Q008 | Application | Moderate | Primary concept: Readiness for termination</w:t>
      </w:r>
    </w:p>
    <w:p>
      <w:pPr>
        <w:keepNext/>
        <w:keepLines/>
        <w:spacing w:before="60"/>
      </w:pPr>
      <w:r>
        <w:rPr>
          <w:b/>
          <w:i w:val="0"/>
        </w:rPr>
        <w:t>8. Which finding BEST supports readiness for planned termination?</w:t>
      </w:r>
    </w:p>
    <w:p>
      <w:pPr>
        <w:keepNext/>
        <w:keepLines/>
        <w:spacing w:after="20"/>
        <w:ind w:left="259"/>
      </w:pPr>
      <w:r>
        <w:t>A. The client has never expressed frustration with services.</w:t>
      </w:r>
    </w:p>
    <w:p>
      <w:pPr>
        <w:keepNext/>
        <w:keepLines/>
        <w:spacing w:after="20"/>
        <w:ind w:left="259"/>
      </w:pPr>
      <w:r>
        <w:t>B. The client has achieved key goals, can use coping strategies, and has adequate supports and follow-up resources.</w:t>
      </w:r>
    </w:p>
    <w:p>
      <w:pPr>
        <w:keepNext/>
        <w:keepLines/>
        <w:spacing w:after="20"/>
        <w:ind w:left="259"/>
      </w:pPr>
      <w:r>
        <w:t>C. The agency has reached its usual number of sessions.</w:t>
      </w:r>
    </w:p>
    <w:p>
      <w:pPr>
        <w:keepLines/>
        <w:spacing w:after="20"/>
        <w:ind w:left="259"/>
      </w:pPr>
      <w:r>
        <w:t>D. The social worker wants to make space for new clients.</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LCSW-WB07-Q009 | Scenario | Moderate | Primary concept: Agency closure and continuity of care</w:t>
      </w:r>
    </w:p>
    <w:p>
      <w:pPr>
        <w:keepNext/>
        <w:keepLines/>
        <w:spacing w:before="60"/>
      </w:pPr>
      <w:r>
        <w:rPr>
          <w:b/>
          <w:i w:val="0"/>
        </w:rPr>
        <w:t>9. An agency announces that a program will close in 30 days. Several clients still need ongoing services. What is the social worker's PRIMARY responsibility?</w:t>
      </w:r>
    </w:p>
    <w:p>
      <w:pPr>
        <w:keepNext/>
        <w:keepLines/>
        <w:spacing w:after="20"/>
        <w:ind w:left="259"/>
      </w:pPr>
      <w:r>
        <w:t>A. Tell clients to contact the agency after closure if problems arise.</w:t>
      </w:r>
    </w:p>
    <w:p>
      <w:pPr>
        <w:keepNext/>
        <w:keepLines/>
        <w:spacing w:after="20"/>
        <w:ind w:left="259"/>
      </w:pPr>
      <w:r>
        <w:t>B. Continue seeing clients privately without discussing agency policy.</w:t>
      </w:r>
    </w:p>
    <w:p>
      <w:pPr>
        <w:keepNext/>
        <w:keepLines/>
        <w:spacing w:after="20"/>
        <w:ind w:left="259"/>
      </w:pPr>
      <w:r>
        <w:t>C. Avoid discussing the closure until final sessions so clients do not become anxious.</w:t>
      </w:r>
    </w:p>
    <w:p>
      <w:pPr>
        <w:keepLines/>
        <w:spacing w:after="20"/>
        <w:ind w:left="259"/>
      </w:pPr>
      <w:r>
        <w:t>D. Support timely transition planning, referrals, transfer of information with consent, and reasonable continuity of care.</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LCSW-WB07-Q010 | Integrated | Challenge | Primary concept: Attendance barriers before discharge</w:t>
      </w:r>
    </w:p>
    <w:p>
      <w:pPr>
        <w:keepNext/>
        <w:keepLines/>
        <w:spacing w:before="60"/>
      </w:pPr>
      <w:r>
        <w:rPr>
          <w:b/>
          <w:i w:val="0"/>
        </w:rPr>
        <w:t>10. A client has missed three appointments and an agency policy permits discharge after two missed visits. What should the social worker do FIRST?</w:t>
      </w:r>
    </w:p>
    <w:p>
      <w:pPr>
        <w:keepNext/>
        <w:keepLines/>
        <w:spacing w:after="20"/>
        <w:ind w:left="259"/>
      </w:pPr>
      <w:r>
        <w:t>A. Contact the client to assess barriers, safety, interest in services, and options consistent with policy.</w:t>
      </w:r>
    </w:p>
    <w:p>
      <w:pPr>
        <w:keepNext/>
        <w:keepLines/>
        <w:spacing w:after="20"/>
        <w:ind w:left="259"/>
      </w:pPr>
      <w:r>
        <w:t>B. Discharge the client immediately because the policy threshold has been met.</w:t>
      </w:r>
    </w:p>
    <w:p>
      <w:pPr>
        <w:keepNext/>
        <w:keepLines/>
        <w:spacing w:after="20"/>
        <w:ind w:left="259"/>
      </w:pPr>
      <w:r>
        <w:t>C. Report the client for noncompliance.</w:t>
      </w:r>
    </w:p>
    <w:p>
      <w:pPr>
        <w:keepLines/>
        <w:spacing w:after="20"/>
        <w:ind w:left="259"/>
      </w:pPr>
      <w:r>
        <w:t>D. Schedule appointments indefinitely without contacting the client.</w:t>
      </w:r>
    </w:p>
    <w:p>
      <w:pPr>
        <w:spacing w:before="0" w:after="120" w:line="240" w:lineRule="auto"/>
      </w:pPr>
      <w:r>
        <w:rPr>
          <w:rFonts w:ascii="Aptos" w:hAnsi="Aptos" w:eastAsia="Aptos" w:cs="Aptos"/>
          <w:i/>
          <w:color w:val="5B6573"/>
          <w:sz w:val="18"/>
        </w:rPr>
        <w:t>My answer: ______     Confidence: 1  2  3</w:t>
      </w:r>
    </w:p>
    <w:p>
      <w:r>
        <w:br w:type="page"/>
      </w:r>
    </w:p>
    <w:p>
      <w:pPr>
        <w:pStyle w:val="Heading1"/>
      </w:pPr>
      <w:r>
        <w:t>Answer Key and Detailed Rationales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How to Review</w:t>
            </w:r>
          </w:p>
          <w:p>
            <w:pPr>
              <w:spacing w:after="0"/>
            </w:pPr>
            <w:r>
              <w:t>For each missed item, identify whether the error came from priority, premature intervention, weak collaboration, vague goals, poor modality fit, failure to reassess, or an incomplete termination plan. Rewrite the best-answer rule in your own words.</w:t>
            </w:r>
          </w:p>
        </w:tc>
      </w:tr>
    </w:tbl>
    <w:p>
      <w:pPr>
        <w:spacing w:after="0"/>
      </w:pPr>
    </w:p>
    <w:p>
      <w:pPr>
        <w:pStyle w:val="Heading2"/>
        <w:keepNext/>
        <w:keepLines/>
      </w:pPr>
      <w:r>
        <w:t>Question 1 (LCSW-WB07-Q001)</w:t>
      </w:r>
    </w:p>
    <w:p>
      <w:pPr>
        <w:keepNext/>
        <w:keepLines/>
      </w:pPr>
      <w:r>
        <w:rPr>
          <w:b/>
          <w:i w:val="0"/>
          <w:color w:val="0F7C82"/>
        </w:rPr>
        <w:t>Correct Answer: A</w:t>
      </w:r>
    </w:p>
    <w:p>
      <w:pPr>
        <w:keepNext/>
        <w:keepLines/>
        <w:spacing w:after="40"/>
        <w:ind w:left="173"/>
      </w:pPr>
      <w:r>
        <w:rPr>
          <w:b/>
          <w:i w:val="0"/>
        </w:rPr>
        <w:t>A. Correct. Planning begins by prioritizing urgent needs and determining feasible resources.</w:t>
      </w:r>
    </w:p>
    <w:p>
      <w:pPr>
        <w:keepNext/>
        <w:keepLines/>
        <w:spacing w:after="40"/>
        <w:ind w:left="173"/>
      </w:pPr>
      <w:r>
        <w:rPr>
          <w:b/>
          <w:i w:val="0"/>
        </w:rPr>
        <w:t>B. Depression treatment may be needed, but immediate housing instability can affect safety and engagement.</w:t>
      </w:r>
    </w:p>
    <w:p>
      <w:pPr>
        <w:keepNext/>
        <w:keepLines/>
        <w:spacing w:after="40"/>
        <w:ind w:left="173"/>
      </w:pPr>
      <w:r>
        <w:rPr>
          <w:b/>
          <w:i w:val="0"/>
        </w:rPr>
        <w:t>C. A mood diary does not address the immediate service-planning priority.</w:t>
      </w:r>
    </w:p>
    <w:p>
      <w:pPr>
        <w:keepNext/>
        <w:keepLines/>
        <w:spacing w:after="40"/>
        <w:ind w:left="173"/>
      </w:pPr>
      <w:r>
        <w:rPr>
          <w:b/>
          <w:i w:val="0"/>
        </w:rPr>
        <w:t>D. A therapy group may later help but does not respond first to the imminent housing problem.</w:t>
      </w:r>
    </w:p>
    <w:p>
      <w:pPr>
        <w:keepLines/>
        <w:spacing w:after="120"/>
        <w:ind w:left="173"/>
      </w:pPr>
      <w:r>
        <w:rPr>
          <w:b/>
          <w:i w:val="0"/>
          <w:color w:val="1F4E78"/>
        </w:rPr>
        <w:t xml:space="preserve">Exam Strategy: </w:t>
      </w:r>
      <w:r>
        <w:rPr>
          <w:b w:val="0"/>
          <w:i/>
        </w:rPr>
        <w:t>A referral is not a plan until urgency, eligibility, accessibility, acceptability, transportation, and follow-through are considered.</w:t>
      </w:r>
    </w:p>
    <w:p>
      <w:pPr>
        <w:pStyle w:val="Heading2"/>
        <w:keepNext/>
        <w:keepLines/>
      </w:pPr>
      <w:r>
        <w:t>Question 2 (LCSW-WB07-Q002)</w:t>
      </w:r>
    </w:p>
    <w:p>
      <w:pPr>
        <w:keepNext/>
        <w:keepLines/>
      </w:pPr>
      <w:r>
        <w:rPr>
          <w:b/>
          <w:i w:val="0"/>
          <w:color w:val="0F7C82"/>
        </w:rPr>
        <w:t>Correct Answer: D</w:t>
      </w:r>
    </w:p>
    <w:p>
      <w:pPr>
        <w:keepNext/>
        <w:keepLines/>
        <w:spacing w:after="40"/>
        <w:ind w:left="173"/>
      </w:pPr>
      <w:r>
        <w:rPr>
          <w:b/>
          <w:i w:val="0"/>
        </w:rPr>
        <w:t>A. Refusal of one recommendation does not justify automatic termination.</w:t>
      </w:r>
    </w:p>
    <w:p>
      <w:pPr>
        <w:keepNext/>
        <w:keepLines/>
        <w:spacing w:after="40"/>
        <w:ind w:left="173"/>
      </w:pPr>
      <w:r>
        <w:rPr>
          <w:b/>
          <w:i w:val="0"/>
        </w:rPr>
        <w:t>B. Coercive insistence disregards self-determination unless a specific legal mandate applies.</w:t>
      </w:r>
    </w:p>
    <w:p>
      <w:pPr>
        <w:keepNext/>
        <w:keepLines/>
        <w:spacing w:after="40"/>
        <w:ind w:left="173"/>
      </w:pPr>
      <w:r>
        <w:rPr>
          <w:b/>
          <w:i w:val="0"/>
        </w:rPr>
        <w:t>C. Contacting family without authorization is not the first or most appropriate response.</w:t>
      </w:r>
    </w:p>
    <w:p>
      <w:pPr>
        <w:keepNext/>
        <w:keepLines/>
        <w:spacing w:after="40"/>
        <w:ind w:left="173"/>
      </w:pPr>
      <w:r>
        <w:rPr>
          <w:b/>
          <w:i w:val="0"/>
        </w:rPr>
        <w:t>D. Correct. The social worker should understand the barrier and develop an effective, acceptable plan with the client.</w:t>
      </w:r>
    </w:p>
    <w:p>
      <w:pPr>
        <w:keepLines/>
        <w:spacing w:after="120"/>
        <w:ind w:left="173"/>
      </w:pPr>
      <w:r>
        <w:rPr>
          <w:b/>
          <w:i w:val="0"/>
          <w:color w:val="1F4E78"/>
        </w:rPr>
        <w:t xml:space="preserve">Exam Strategy: </w:t>
      </w:r>
      <w:r>
        <w:rPr>
          <w:b w:val="0"/>
          <w:i/>
        </w:rPr>
        <w:t>Evaluate readiness, risk, gains, supports, and continuity before choosing continuation, tapering, transfer, or closure.</w:t>
      </w:r>
    </w:p>
    <w:p>
      <w:pPr>
        <w:pStyle w:val="Heading2"/>
        <w:keepNext/>
        <w:keepLines/>
      </w:pPr>
      <w:r>
        <w:t>Question 3 (LCSW-WB07-Q003)</w:t>
      </w:r>
    </w:p>
    <w:p>
      <w:pPr>
        <w:keepNext/>
        <w:keepLines/>
      </w:pPr>
      <w:r>
        <w:rPr>
          <w:b/>
          <w:i w:val="0"/>
          <w:color w:val="0F7C82"/>
        </w:rPr>
        <w:t>Correct Answer: B</w:t>
      </w:r>
    </w:p>
    <w:p>
      <w:pPr>
        <w:keepNext/>
        <w:keepLines/>
        <w:spacing w:after="40"/>
        <w:ind w:left="173"/>
      </w:pPr>
      <w:r>
        <w:rPr>
          <w:b/>
          <w:i w:val="0"/>
        </w:rPr>
        <w:t>A. A diagnosis does not substitute for a goal.</w:t>
      </w:r>
    </w:p>
    <w:p>
      <w:pPr>
        <w:keepNext/>
        <w:keepLines/>
        <w:spacing w:after="40"/>
        <w:ind w:left="173"/>
      </w:pPr>
      <w:r>
        <w:rPr>
          <w:b/>
          <w:i w:val="0"/>
        </w:rPr>
        <w:t>B. Correct. Useful objectives describe observable or reportable change and how progress will be evaluated.</w:t>
      </w:r>
    </w:p>
    <w:p>
      <w:pPr>
        <w:keepNext/>
        <w:keepLines/>
        <w:spacing w:after="40"/>
        <w:ind w:left="173"/>
      </w:pPr>
      <w:r>
        <w:rPr>
          <w:b/>
          <w:i w:val="0"/>
        </w:rPr>
        <w:t>C. Emotional outcomes can be monitored through symptoms, functioning, behavior, and client report.</w:t>
      </w:r>
    </w:p>
    <w:p>
      <w:pPr>
        <w:keepNext/>
        <w:keepLines/>
        <w:spacing w:after="40"/>
        <w:ind w:left="173"/>
      </w:pPr>
      <w:r>
        <w:rPr>
          <w:b/>
          <w:i w:val="0"/>
        </w:rPr>
        <w:t>D. More interventions do not improve a vague outcome.</w:t>
      </w:r>
    </w:p>
    <w:p>
      <w:pPr>
        <w:keepLines/>
        <w:spacing w:after="120"/>
        <w:ind w:left="173"/>
      </w:pPr>
      <w:r>
        <w:rPr>
          <w:b/>
          <w:i w:val="0"/>
          <w:color w:val="1F4E78"/>
        </w:rPr>
        <w:t xml:space="preserve">Exam Strategy: </w:t>
      </w:r>
      <w:r>
        <w:rPr>
          <w:b w:val="0"/>
          <w:i/>
        </w:rPr>
        <w:t>Choose the option that translates the presenting concern into collaborative, observable change with a review method and time frame.</w:t>
      </w:r>
    </w:p>
    <w:p>
      <w:pPr>
        <w:pStyle w:val="Heading2"/>
        <w:keepNext/>
        <w:keepLines/>
      </w:pPr>
      <w:r>
        <w:t>Question 4 (LCSW-WB07-Q004)</w:t>
      </w:r>
    </w:p>
    <w:p>
      <w:pPr>
        <w:keepNext/>
        <w:keepLines/>
      </w:pPr>
      <w:r>
        <w:rPr>
          <w:b/>
          <w:i w:val="0"/>
          <w:color w:val="0F7C82"/>
        </w:rPr>
        <w:t>Correct Answer: C</w:t>
      </w:r>
    </w:p>
    <w:p>
      <w:pPr>
        <w:keepNext/>
        <w:keepLines/>
        <w:spacing w:after="40"/>
        <w:ind w:left="173"/>
      </w:pPr>
      <w:r>
        <w:rPr>
          <w:b/>
          <w:i w:val="0"/>
        </w:rPr>
        <w:t>A. Clinician preference should not override client fit and evidence.</w:t>
      </w:r>
    </w:p>
    <w:p>
      <w:pPr>
        <w:keepNext/>
        <w:keepLines/>
        <w:spacing w:after="40"/>
        <w:ind w:left="173"/>
      </w:pPr>
      <w:r>
        <w:rPr>
          <w:b/>
          <w:i w:val="0"/>
        </w:rPr>
        <w:t>B. Agency practice matters, but it does not replace individualized clinical judgment.</w:t>
      </w:r>
    </w:p>
    <w:p>
      <w:pPr>
        <w:keepNext/>
        <w:keepLines/>
        <w:spacing w:after="40"/>
        <w:ind w:left="173"/>
      </w:pPr>
      <w:r>
        <w:rPr>
          <w:b/>
          <w:i w:val="0"/>
        </w:rPr>
        <w:t>C. Correct. Modality selection should fit the client/client system and the identified goals and context.</w:t>
      </w:r>
    </w:p>
    <w:p>
      <w:pPr>
        <w:keepNext/>
        <w:keepLines/>
        <w:spacing w:after="40"/>
        <w:ind w:left="173"/>
      </w:pPr>
      <w:r>
        <w:rPr>
          <w:b/>
          <w:i w:val="0"/>
        </w:rPr>
        <w:t>D. Treatment length does not determine appropriateness.</w:t>
      </w:r>
    </w:p>
    <w:p>
      <w:pPr>
        <w:keepLines/>
        <w:spacing w:after="120"/>
        <w:ind w:left="173"/>
      </w:pPr>
      <w:r>
        <w:rPr>
          <w:b/>
          <w:i w:val="0"/>
          <w:color w:val="1F4E78"/>
        </w:rPr>
        <w:t xml:space="preserve">Exam Strategy: </w:t>
      </w:r>
      <w:r>
        <w:rPr>
          <w:b w:val="0"/>
          <w:i/>
        </w:rPr>
        <w:t>Choose the option that translates the presenting concern into collaborative, observable change with a review method and time frame.</w:t>
      </w:r>
    </w:p>
    <w:p>
      <w:pPr>
        <w:pStyle w:val="Heading2"/>
        <w:keepNext/>
        <w:keepLines/>
      </w:pPr>
      <w:r>
        <w:t>Question 5 (LCSW-WB07-Q005)</w:t>
      </w:r>
    </w:p>
    <w:p>
      <w:pPr>
        <w:keepNext/>
        <w:keepLines/>
      </w:pPr>
      <w:r>
        <w:rPr>
          <w:b/>
          <w:i w:val="0"/>
          <w:color w:val="0F7C82"/>
        </w:rPr>
        <w:t>Correct Answer: A</w:t>
      </w:r>
    </w:p>
    <w:p>
      <w:pPr>
        <w:keepNext/>
        <w:keepLines/>
        <w:spacing w:after="40"/>
        <w:ind w:left="173"/>
      </w:pPr>
      <w:r>
        <w:rPr>
          <w:b/>
          <w:i w:val="0"/>
        </w:rPr>
        <w:t>A. Correct. An appropriate resource must be accessible, feasible, and acceptable to the client.</w:t>
      </w:r>
    </w:p>
    <w:p>
      <w:pPr>
        <w:keepNext/>
        <w:keepLines/>
        <w:spacing w:after="40"/>
        <w:ind w:left="173"/>
      </w:pPr>
      <w:r>
        <w:rPr>
          <w:b/>
          <w:i w:val="0"/>
        </w:rPr>
        <w:t>B. Need does not eliminate consent or practical assessment.</w:t>
      </w:r>
    </w:p>
    <w:p>
      <w:pPr>
        <w:keepNext/>
        <w:keepLines/>
        <w:spacing w:after="40"/>
        <w:ind w:left="173"/>
      </w:pPr>
      <w:r>
        <w:rPr>
          <w:b/>
          <w:i w:val="0"/>
        </w:rPr>
        <w:t>C. The physician is not required to select a social-service resource.</w:t>
      </w:r>
    </w:p>
    <w:p>
      <w:pPr>
        <w:keepNext/>
        <w:keepLines/>
        <w:spacing w:after="40"/>
        <w:ind w:left="173"/>
      </w:pPr>
      <w:r>
        <w:rPr>
          <w:b/>
          <w:i w:val="0"/>
        </w:rPr>
        <w:t>D. The social worker can assist with resource access while respecting client choice.</w:t>
      </w:r>
    </w:p>
    <w:p>
      <w:pPr>
        <w:keepLines/>
        <w:spacing w:after="120"/>
        <w:ind w:left="173"/>
      </w:pPr>
      <w:r>
        <w:rPr>
          <w:b/>
          <w:i w:val="0"/>
          <w:color w:val="1F4E78"/>
        </w:rPr>
        <w:t xml:space="preserve">Exam Strategy: </w:t>
      </w:r>
      <w:r>
        <w:rPr>
          <w:b w:val="0"/>
          <w:i/>
        </w:rPr>
        <w:t>A referral is not a plan until urgency, eligibility, accessibility, acceptability, transportation, and follow-through are considered.</w:t>
      </w:r>
    </w:p>
    <w:p>
      <w:pPr>
        <w:pStyle w:val="Heading2"/>
        <w:keepNext/>
        <w:keepLines/>
      </w:pPr>
      <w:r>
        <w:t>Question 6 (LCSW-WB07-Q006)</w:t>
      </w:r>
    </w:p>
    <w:p>
      <w:pPr>
        <w:keepNext/>
        <w:keepLines/>
      </w:pPr>
      <w:r>
        <w:rPr>
          <w:b/>
          <w:i w:val="0"/>
          <w:color w:val="0F7C82"/>
        </w:rPr>
        <w:t>Correct Answer: D</w:t>
      </w:r>
    </w:p>
    <w:p>
      <w:pPr>
        <w:keepNext/>
        <w:keepLines/>
        <w:spacing w:after="40"/>
        <w:ind w:left="173"/>
      </w:pPr>
      <w:r>
        <w:rPr>
          <w:b/>
          <w:i w:val="0"/>
        </w:rPr>
        <w:t>A. Waiting until termination prevents timely plan modification.</w:t>
      </w:r>
    </w:p>
    <w:p>
      <w:pPr>
        <w:keepNext/>
        <w:keepLines/>
        <w:spacing w:after="40"/>
        <w:ind w:left="173"/>
      </w:pPr>
      <w:r>
        <w:rPr>
          <w:b/>
          <w:i w:val="0"/>
        </w:rPr>
        <w:t>B. Client report and other relevant data should inform evaluation.</w:t>
      </w:r>
    </w:p>
    <w:p>
      <w:pPr>
        <w:keepNext/>
        <w:keepLines/>
        <w:spacing w:after="40"/>
        <w:ind w:left="173"/>
      </w:pPr>
      <w:r>
        <w:rPr>
          <w:b/>
          <w:i w:val="0"/>
        </w:rPr>
        <w:t>C. Diagnosis and outcome are different components of planning.</w:t>
      </w:r>
    </w:p>
    <w:p>
      <w:pPr>
        <w:keepNext/>
        <w:keepLines/>
        <w:spacing w:after="40"/>
        <w:ind w:left="173"/>
      </w:pPr>
      <w:r>
        <w:rPr>
          <w:b/>
          <w:i w:val="0"/>
        </w:rPr>
        <w:t>D. Correct. Baseline indicators and scheduled review make progress monitoring meaningful.</w:t>
      </w:r>
    </w:p>
    <w:p>
      <w:pPr>
        <w:keepLines/>
        <w:spacing w:after="120"/>
        <w:ind w:left="173"/>
      </w:pPr>
      <w:r>
        <w:rPr>
          <w:b/>
          <w:i w:val="0"/>
          <w:color w:val="1F4E78"/>
        </w:rPr>
        <w:t xml:space="preserve">Exam Strategy: </w:t>
      </w:r>
      <w:r>
        <w:rPr>
          <w:b w:val="0"/>
          <w:i/>
        </w:rPr>
        <w:t>Evaluate readiness, risk, gains, supports, and continuity before choosing continuation, tapering, transfer, or closure.</w:t>
      </w:r>
    </w:p>
    <w:p>
      <w:pPr>
        <w:pStyle w:val="Heading2"/>
        <w:keepNext/>
        <w:keepLines/>
      </w:pPr>
      <w:r>
        <w:t>Question 7 (LCSW-WB07-Q007)</w:t>
      </w:r>
    </w:p>
    <w:p>
      <w:pPr>
        <w:keepNext/>
        <w:keepLines/>
      </w:pPr>
      <w:r>
        <w:rPr>
          <w:b/>
          <w:i w:val="0"/>
          <w:color w:val="0F7C82"/>
        </w:rPr>
        <w:t>Correct Answer: C</w:t>
      </w:r>
    </w:p>
    <w:p>
      <w:pPr>
        <w:keepNext/>
        <w:keepLines/>
        <w:spacing w:after="40"/>
        <w:ind w:left="173"/>
      </w:pPr>
      <w:r>
        <w:rPr>
          <w:b/>
          <w:i w:val="0"/>
        </w:rPr>
        <w:t>A. Consistency without evaluation may preserve an ineffective plan.</w:t>
      </w:r>
    </w:p>
    <w:p>
      <w:pPr>
        <w:keepNext/>
        <w:keepLines/>
        <w:spacing w:after="40"/>
        <w:ind w:left="173"/>
      </w:pPr>
      <w:r>
        <w:rPr>
          <w:b/>
          <w:i w:val="0"/>
        </w:rPr>
        <w:t>B. Blaming motivation bypasses assessment of other factors.</w:t>
      </w:r>
    </w:p>
    <w:p>
      <w:pPr>
        <w:keepNext/>
        <w:keepLines/>
        <w:spacing w:after="40"/>
        <w:ind w:left="173"/>
      </w:pPr>
      <w:r>
        <w:rPr>
          <w:b/>
          <w:i w:val="0"/>
        </w:rPr>
        <w:t>C. Correct. Lack of progress requires collaborative reassessment and possible plan revision.</w:t>
      </w:r>
    </w:p>
    <w:p>
      <w:pPr>
        <w:keepNext/>
        <w:keepLines/>
        <w:spacing w:after="40"/>
        <w:ind w:left="173"/>
      </w:pPr>
      <w:r>
        <w:rPr>
          <w:b/>
          <w:i w:val="0"/>
        </w:rPr>
        <w:t>D. Termination is premature before reassessment and consideration of alternatives.</w:t>
      </w:r>
    </w:p>
    <w:p>
      <w:pPr>
        <w:keepLines/>
        <w:spacing w:after="120"/>
        <w:ind w:left="173"/>
      </w:pPr>
      <w:r>
        <w:rPr>
          <w:b/>
          <w:i w:val="0"/>
          <w:color w:val="1F4E78"/>
        </w:rPr>
        <w:t xml:space="preserve">Exam Strategy: </w:t>
      </w:r>
      <w:r>
        <w:rPr>
          <w:b w:val="0"/>
          <w:i/>
        </w:rPr>
        <w:t>Treat lack of progress as new assessment data: review formulation, alliance, barriers, fit, resources, and level of care before repeating or ending.</w:t>
      </w:r>
    </w:p>
    <w:p>
      <w:pPr>
        <w:pStyle w:val="Heading2"/>
        <w:keepNext/>
        <w:keepLines/>
      </w:pPr>
      <w:r>
        <w:t>Question 8 (LCSW-WB07-Q008)</w:t>
      </w:r>
    </w:p>
    <w:p>
      <w:pPr>
        <w:keepNext/>
        <w:keepLines/>
      </w:pPr>
      <w:r>
        <w:rPr>
          <w:b/>
          <w:i w:val="0"/>
          <w:color w:val="0F7C82"/>
        </w:rPr>
        <w:t>Correct Answer: B</w:t>
      </w:r>
    </w:p>
    <w:p>
      <w:pPr>
        <w:keepNext/>
        <w:keepLines/>
        <w:spacing w:after="40"/>
        <w:ind w:left="173"/>
      </w:pPr>
      <w:r>
        <w:rPr>
          <w:b/>
          <w:i w:val="0"/>
        </w:rPr>
        <w:t>A. Absence of expressed frustration does not establish readiness.</w:t>
      </w:r>
    </w:p>
    <w:p>
      <w:pPr>
        <w:keepNext/>
        <w:keepLines/>
        <w:spacing w:after="40"/>
        <w:ind w:left="173"/>
      </w:pPr>
      <w:r>
        <w:rPr>
          <w:b/>
          <w:i w:val="0"/>
        </w:rPr>
        <w:t>B. Correct. Readiness includes goal attainment, stability, independent skill use, supports, and continuity planning.</w:t>
      </w:r>
    </w:p>
    <w:p>
      <w:pPr>
        <w:keepNext/>
        <w:keepLines/>
        <w:spacing w:after="40"/>
        <w:ind w:left="173"/>
      </w:pPr>
      <w:r>
        <w:rPr>
          <w:b/>
          <w:i w:val="0"/>
        </w:rPr>
        <w:t>C. Administrative limits may affect services but are not themselves clinical readiness.</w:t>
      </w:r>
    </w:p>
    <w:p>
      <w:pPr>
        <w:keepNext/>
        <w:keepLines/>
        <w:spacing w:after="40"/>
        <w:ind w:left="173"/>
      </w:pPr>
      <w:r>
        <w:rPr>
          <w:b/>
          <w:i w:val="0"/>
        </w:rPr>
        <w:t>D. Provider workload is not a client-centered termination criterion.</w:t>
      </w:r>
    </w:p>
    <w:p>
      <w:pPr>
        <w:keepLines/>
        <w:spacing w:after="120"/>
        <w:ind w:left="173"/>
      </w:pPr>
      <w:r>
        <w:rPr>
          <w:b/>
          <w:i w:val="0"/>
          <w:color w:val="1F4E78"/>
        </w:rPr>
        <w:t xml:space="preserve">Exam Strategy: </w:t>
      </w:r>
      <w:r>
        <w:rPr>
          <w:b w:val="0"/>
          <w:i/>
        </w:rPr>
        <w:t>Evaluate readiness, risk, gains, supports, and continuity before choosing continuation, tapering, transfer, or closure.</w:t>
      </w:r>
    </w:p>
    <w:p>
      <w:pPr>
        <w:pStyle w:val="Heading2"/>
        <w:keepNext/>
        <w:keepLines/>
      </w:pPr>
      <w:r>
        <w:t>Question 9 (LCSW-WB07-Q009)</w:t>
      </w:r>
    </w:p>
    <w:p>
      <w:pPr>
        <w:keepNext/>
        <w:keepLines/>
      </w:pPr>
      <w:r>
        <w:rPr>
          <w:b/>
          <w:i w:val="0"/>
          <w:color w:val="0F7C82"/>
        </w:rPr>
        <w:t>Correct Answer: D</w:t>
      </w:r>
    </w:p>
    <w:p>
      <w:pPr>
        <w:keepNext/>
        <w:keepLines/>
        <w:spacing w:after="40"/>
        <w:ind w:left="173"/>
      </w:pPr>
      <w:r>
        <w:rPr>
          <w:b/>
          <w:i w:val="0"/>
        </w:rPr>
        <w:t>A. The program will no longer be available and this does not provide continuity.</w:t>
      </w:r>
    </w:p>
    <w:p>
      <w:pPr>
        <w:keepNext/>
        <w:keepLines/>
        <w:spacing w:after="40"/>
        <w:ind w:left="173"/>
      </w:pPr>
      <w:r>
        <w:rPr>
          <w:b/>
          <w:i w:val="0"/>
        </w:rPr>
        <w:t>B. Private continuation may create conflicts and cannot be assumed appropriate.</w:t>
      </w:r>
    </w:p>
    <w:p>
      <w:pPr>
        <w:keepNext/>
        <w:keepLines/>
        <w:spacing w:after="40"/>
        <w:ind w:left="173"/>
      </w:pPr>
      <w:r>
        <w:rPr>
          <w:b/>
          <w:i w:val="0"/>
        </w:rPr>
        <w:t>C. Withholding important information interferes with client planning and self-determination.</w:t>
      </w:r>
    </w:p>
    <w:p>
      <w:pPr>
        <w:keepNext/>
        <w:keepLines/>
        <w:spacing w:after="40"/>
        <w:ind w:left="173"/>
      </w:pPr>
      <w:r>
        <w:rPr>
          <w:b/>
          <w:i w:val="0"/>
        </w:rPr>
        <w:t>D. Correct. Ethical termination requires transparent notice and reasonable transition efforts.</w:t>
      </w:r>
    </w:p>
    <w:p>
      <w:pPr>
        <w:keepLines/>
        <w:spacing w:after="120"/>
        <w:ind w:left="173"/>
      </w:pPr>
      <w:r>
        <w:rPr>
          <w:b/>
          <w:i w:val="0"/>
          <w:color w:val="1F4E78"/>
        </w:rPr>
        <w:t xml:space="preserve">Exam Strategy: </w:t>
      </w:r>
      <w:r>
        <w:rPr>
          <w:b w:val="0"/>
          <w:i/>
        </w:rPr>
        <w:t>Evaluate readiness, risk, gains, supports, and continuity before choosing continuation, tapering, transfer, or closure.</w:t>
      </w:r>
    </w:p>
    <w:p>
      <w:pPr>
        <w:pStyle w:val="Heading2"/>
        <w:keepNext/>
        <w:keepLines/>
      </w:pPr>
      <w:r>
        <w:t>Question 10 (LCSW-WB07-Q010)</w:t>
      </w:r>
    </w:p>
    <w:p>
      <w:pPr>
        <w:keepNext/>
        <w:keepLines/>
      </w:pPr>
      <w:r>
        <w:rPr>
          <w:b/>
          <w:i w:val="0"/>
          <w:color w:val="0F7C82"/>
        </w:rPr>
        <w:t>Correct Answer: A</w:t>
      </w:r>
    </w:p>
    <w:p>
      <w:pPr>
        <w:keepNext/>
        <w:keepLines/>
        <w:spacing w:after="40"/>
        <w:ind w:left="173"/>
      </w:pPr>
      <w:r>
        <w:rPr>
          <w:b/>
          <w:i w:val="0"/>
        </w:rPr>
        <w:t>A. Correct. The social worker should assess the meaning of missed visits and support an informed, documented decision.</w:t>
      </w:r>
    </w:p>
    <w:p>
      <w:pPr>
        <w:keepNext/>
        <w:keepLines/>
        <w:spacing w:after="40"/>
        <w:ind w:left="173"/>
      </w:pPr>
      <w:r>
        <w:rPr>
          <w:b/>
          <w:i w:val="0"/>
        </w:rPr>
        <w:t>B. Policies matter, but ethical application includes reasonable outreach and assessment when feasible.</w:t>
      </w:r>
    </w:p>
    <w:p>
      <w:pPr>
        <w:keepNext/>
        <w:keepLines/>
        <w:spacing w:after="40"/>
        <w:ind w:left="173"/>
      </w:pPr>
      <w:r>
        <w:rPr>
          <w:b/>
          <w:i w:val="0"/>
        </w:rPr>
        <w:t>C. Missing appointments is not ordinarily reportable misconduct.</w:t>
      </w:r>
    </w:p>
    <w:p>
      <w:pPr>
        <w:keepNext/>
        <w:keepLines/>
        <w:spacing w:after="40"/>
        <w:ind w:left="173"/>
      </w:pPr>
      <w:r>
        <w:rPr>
          <w:b/>
          <w:i w:val="0"/>
        </w:rPr>
        <w:t>D. Scheduling without communication does not address barriers or clarify the plan.</w:t>
      </w:r>
    </w:p>
    <w:p>
      <w:pPr>
        <w:keepLines/>
        <w:spacing w:after="120"/>
        <w:ind w:left="173"/>
      </w:pPr>
      <w:r>
        <w:rPr>
          <w:b/>
          <w:i w:val="0"/>
          <w:color w:val="1F4E78"/>
        </w:rPr>
        <w:t xml:space="preserve">Exam Strategy: </w:t>
      </w:r>
      <w:r>
        <w:rPr>
          <w:b w:val="0"/>
          <w:i/>
        </w:rPr>
        <w:t>Prioritize the established need, involve the client/client system, select a feasible response, and define how progress and continuity will be evaluated.</w:t>
      </w:r>
    </w:p>
    <w:p>
      <w:r>
        <w:br w:type="page"/>
      </w:r>
    </w:p>
    <w:p>
      <w:pPr>
        <w:pStyle w:val="Heading1"/>
      </w:pPr>
      <w: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Score Range</w:t>
            </w:r>
          </w:p>
        </w:tc>
        <w:tc>
          <w:tcPr>
            <w:tcW w:type="dxa" w:w="3360"/>
            <w:shd w:fill="17365D"/>
            <w:tcMar>
              <w:top w:w="100" w:type="dxa"/>
              <w:start w:w="120" w:type="dxa"/>
              <w:bottom w:w="100" w:type="dxa"/>
              <w:end w:w="120" w:type="dxa"/>
            </w:tcMar>
          </w:tcPr>
          <w:p>
            <w:pPr>
              <w:spacing w:after="0"/>
            </w:pPr>
            <w:r>
              <w:rPr>
                <w:b/>
                <w:color w:val="FFFFFF"/>
                <w:sz w:val="18"/>
              </w:rPr>
              <w:t>Meaning</w:t>
            </w:r>
          </w:p>
        </w:tc>
        <w:tc>
          <w:tcPr>
            <w:tcW w:type="dxa" w:w="3360"/>
            <w:shd w:fill="17365D"/>
            <w:tcMar>
              <w:top w:w="100" w:type="dxa"/>
              <w:start w:w="120" w:type="dxa"/>
              <w:bottom w:w="100" w:type="dxa"/>
              <w:end w:w="120" w:type="dxa"/>
            </w:tcMar>
          </w:tcPr>
          <w:p>
            <w:pPr>
              <w:spacing w:after="0"/>
            </w:pPr>
            <w:r>
              <w:rPr>
                <w:b/>
                <w:color w:val="FFFFFF"/>
                <w:sz w:val="18"/>
              </w:rPr>
              <w:t>Recommended Next Step</w:t>
            </w:r>
          </w:p>
        </w:tc>
      </w:tr>
      <w:tr>
        <w:trPr>
          <w:cantSplit/>
        </w:trPr>
        <w:tc>
          <w:tcPr>
            <w:tcW w:type="dxa" w:w="1728"/>
            <w:tcMar>
              <w:top w:w="100" w:type="dxa"/>
              <w:start w:w="120" w:type="dxa"/>
              <w:bottom w:w="100" w:type="dxa"/>
              <w:end w:w="120" w:type="dxa"/>
            </w:tcMar>
          </w:tcPr>
          <w:p>
            <w:pPr>
              <w:spacing w:after="0"/>
            </w:pPr>
            <w:r>
              <w:rPr>
                <w:sz w:val="18"/>
              </w:rPr>
              <w:t>9-10</w:t>
            </w:r>
          </w:p>
        </w:tc>
        <w:tc>
          <w:tcPr>
            <w:tcW w:type="dxa" w:w="2880"/>
            <w:tcMar>
              <w:top w:w="100" w:type="dxa"/>
              <w:start w:w="120" w:type="dxa"/>
              <w:bottom w:w="100" w:type="dxa"/>
              <w:end w:w="120" w:type="dxa"/>
            </w:tcMar>
          </w:tcPr>
          <w:p>
            <w:pPr>
              <w:spacing w:after="0"/>
            </w:pPr>
            <w:r>
              <w:rPr>
                <w:sz w:val="18"/>
              </w:rPr>
              <w:t>Strong planning sequence</w:t>
            </w:r>
          </w:p>
        </w:tc>
        <w:tc>
          <w:tcPr>
            <w:tcW w:type="dxa" w:w="5328"/>
            <w:tcMar>
              <w:top w:w="100" w:type="dxa"/>
              <w:start w:w="120" w:type="dxa"/>
              <w:bottom w:w="100" w:type="dxa"/>
              <w:end w:w="120" w:type="dxa"/>
            </w:tcMar>
          </w:tcPr>
          <w:p>
            <w:pPr>
              <w:spacing w:after="0"/>
            </w:pPr>
            <w:r>
              <w:rPr>
                <w:sz w:val="18"/>
              </w:rPr>
              <w:t>Review low-confidence items and practice mixed vignettes that combine progress, barriers, and termination.</w:t>
            </w:r>
          </w:p>
        </w:tc>
      </w:tr>
      <w:tr>
        <w:trPr>
          <w:cantSplit/>
        </w:trPr>
        <w:tc>
          <w:tcPr>
            <w:tcW w:type="dxa" w:w="1728"/>
            <w:tcMar>
              <w:top w:w="100" w:type="dxa"/>
              <w:start w:w="120" w:type="dxa"/>
              <w:bottom w:w="100" w:type="dxa"/>
              <w:end w:w="120" w:type="dxa"/>
            </w:tcMar>
            <w:shd w:fill="F7F8FA"/>
          </w:tcPr>
          <w:p>
            <w:pPr>
              <w:spacing w:after="0"/>
            </w:pPr>
            <w:r>
              <w:rPr>
                <w:sz w:val="18"/>
              </w:rPr>
              <w:t>7-8</w:t>
            </w:r>
          </w:p>
        </w:tc>
        <w:tc>
          <w:tcPr>
            <w:tcW w:type="dxa" w:w="2880"/>
            <w:tcMar>
              <w:top w:w="100" w:type="dxa"/>
              <w:start w:w="120" w:type="dxa"/>
              <w:bottom w:w="100" w:type="dxa"/>
              <w:end w:w="120" w:type="dxa"/>
            </w:tcMar>
            <w:shd w:fill="F7F8FA"/>
          </w:tcPr>
          <w:p>
            <w:pPr>
              <w:spacing w:after="0"/>
            </w:pPr>
            <w:r>
              <w:rPr>
                <w:sz w:val="18"/>
              </w:rPr>
              <w:t>Developing consistency</w:t>
            </w:r>
          </w:p>
        </w:tc>
        <w:tc>
          <w:tcPr>
            <w:tcW w:type="dxa" w:w="5328"/>
            <w:tcMar>
              <w:top w:w="100" w:type="dxa"/>
              <w:start w:w="120" w:type="dxa"/>
              <w:bottom w:w="100" w:type="dxa"/>
              <w:end w:w="120" w:type="dxa"/>
            </w:tcMar>
            <w:shd w:fill="F7F8FA"/>
          </w:tcPr>
          <w:p>
            <w:pPr>
              <w:spacing w:after="0"/>
            </w:pPr>
            <w:r>
              <w:rPr>
                <w:sz w:val="18"/>
              </w:rPr>
              <w:t>Revisit PLAN-ER, measurable goals, and the no-progress reassessment sequence.</w:t>
            </w:r>
          </w:p>
        </w:tc>
      </w:tr>
      <w:tr>
        <w:trPr>
          <w:cantSplit/>
        </w:trPr>
        <w:tc>
          <w:tcPr>
            <w:tcW w:type="dxa" w:w="1728"/>
            <w:tcMar>
              <w:top w:w="100" w:type="dxa"/>
              <w:start w:w="120" w:type="dxa"/>
              <w:bottom w:w="100" w:type="dxa"/>
              <w:end w:w="120" w:type="dxa"/>
            </w:tcMar>
          </w:tcPr>
          <w:p>
            <w:pPr>
              <w:spacing w:after="0"/>
            </w:pPr>
            <w:r>
              <w:rPr>
                <w:sz w:val="18"/>
              </w:rPr>
              <w:t>5-6</w:t>
            </w:r>
          </w:p>
        </w:tc>
        <w:tc>
          <w:tcPr>
            <w:tcW w:type="dxa" w:w="2880"/>
            <w:tcMar>
              <w:top w:w="100" w:type="dxa"/>
              <w:start w:w="120" w:type="dxa"/>
              <w:bottom w:w="100" w:type="dxa"/>
              <w:end w:w="120" w:type="dxa"/>
            </w:tcMar>
          </w:tcPr>
          <w:p>
            <w:pPr>
              <w:spacing w:after="0"/>
            </w:pPr>
            <w:r>
              <w:rPr>
                <w:sz w:val="18"/>
              </w:rPr>
              <w:t>Priority or fit gaps</w:t>
            </w:r>
          </w:p>
        </w:tc>
        <w:tc>
          <w:tcPr>
            <w:tcW w:type="dxa" w:w="5328"/>
            <w:tcMar>
              <w:top w:w="100" w:type="dxa"/>
              <w:start w:w="120" w:type="dxa"/>
              <w:bottom w:w="100" w:type="dxa"/>
              <w:end w:w="120" w:type="dxa"/>
            </w:tcMar>
          </w:tcPr>
          <w:p>
            <w:pPr>
              <w:spacing w:after="0"/>
            </w:pPr>
            <w:r>
              <w:rPr>
                <w:sz w:val="18"/>
              </w:rPr>
              <w:t>Practice linking formulation to goals, modality, outcome measures, and continuity.</w:t>
            </w:r>
          </w:p>
        </w:tc>
      </w:tr>
      <w:tr>
        <w:trPr>
          <w:cantSplit/>
        </w:trPr>
        <w:tc>
          <w:tcPr>
            <w:tcW w:type="dxa" w:w="1728"/>
            <w:tcMar>
              <w:top w:w="100" w:type="dxa"/>
              <w:start w:w="120" w:type="dxa"/>
              <w:bottom w:w="100" w:type="dxa"/>
              <w:end w:w="120" w:type="dxa"/>
            </w:tcMar>
            <w:shd w:fill="F7F8FA"/>
          </w:tcPr>
          <w:p>
            <w:pPr>
              <w:spacing w:after="0"/>
            </w:pPr>
            <w:r>
              <w:rPr>
                <w:sz w:val="18"/>
              </w:rPr>
              <w:t>0-4</w:t>
            </w:r>
          </w:p>
        </w:tc>
        <w:tc>
          <w:tcPr>
            <w:tcW w:type="dxa" w:w="2880"/>
            <w:tcMar>
              <w:top w:w="100" w:type="dxa"/>
              <w:start w:w="120" w:type="dxa"/>
              <w:bottom w:w="100" w:type="dxa"/>
              <w:end w:w="120" w:type="dxa"/>
            </w:tcMar>
            <w:shd w:fill="F7F8FA"/>
          </w:tcPr>
          <w:p>
            <w:pPr>
              <w:spacing w:after="0"/>
            </w:pPr>
            <w:r>
              <w:rPr>
                <w:sz w:val="18"/>
              </w:rPr>
              <w:t>Foundation needs reinforcement</w:t>
            </w:r>
          </w:p>
        </w:tc>
        <w:tc>
          <w:tcPr>
            <w:tcW w:type="dxa" w:w="5328"/>
            <w:tcMar>
              <w:top w:w="100" w:type="dxa"/>
              <w:start w:w="120" w:type="dxa"/>
              <w:bottom w:w="100" w:type="dxa"/>
              <w:end w:w="120" w:type="dxa"/>
            </w:tcMar>
            <w:shd w:fill="F7F8FA"/>
          </w:tcPr>
          <w:p>
            <w:pPr>
              <w:spacing w:after="0"/>
            </w:pPr>
            <w:r>
              <w:rPr>
                <w:sz w:val="18"/>
              </w:rPr>
              <w:t>Study one planning stage at a time and complete a second untimed attempt before advancing.</w:t>
            </w:r>
          </w:p>
        </w:tc>
      </w:tr>
    </w:tbl>
    <w:p>
      <w:pPr>
        <w:spacing w:after="0"/>
      </w:pPr>
    </w:p>
    <w:p>
      <w:pPr>
        <w:pStyle w:val="Heading2"/>
      </w:pPr>
      <w: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Question(s)</w:t>
            </w:r>
          </w:p>
        </w:tc>
        <w:tc>
          <w:tcPr>
            <w:tcW w:type="dxa" w:w="3360"/>
            <w:shd w:fill="17365D"/>
            <w:tcMar>
              <w:top w:w="100" w:type="dxa"/>
              <w:start w:w="120" w:type="dxa"/>
              <w:bottom w:w="100" w:type="dxa"/>
              <w:end w:w="120" w:type="dxa"/>
            </w:tcMar>
          </w:tcPr>
          <w:p>
            <w:pPr>
              <w:spacing w:after="0"/>
            </w:pPr>
            <w:r>
              <w:rPr>
                <w:b/>
                <w:color w:val="FFFFFF"/>
                <w:sz w:val="18"/>
              </w:rPr>
              <w:t>Error Type</w:t>
            </w:r>
          </w:p>
        </w:tc>
        <w:tc>
          <w:tcPr>
            <w:tcW w:type="dxa" w:w="3360"/>
            <w:shd w:fill="17365D"/>
            <w:tcMar>
              <w:top w:w="100" w:type="dxa"/>
              <w:start w:w="120" w:type="dxa"/>
              <w:bottom w:w="100" w:type="dxa"/>
              <w:end w:w="120" w:type="dxa"/>
            </w:tcMar>
          </w:tcPr>
          <w:p>
            <w:pPr>
              <w:spacing w:after="0"/>
            </w:pPr>
            <w:r>
              <w:rPr>
                <w:b/>
                <w:color w:val="FFFFFF"/>
                <w:sz w:val="18"/>
              </w:rPr>
              <w:t>Rule I Will Use Next Time</w:t>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bl>
    <w:p>
      <w:pPr>
        <w:spacing w:after="0"/>
      </w:pPr>
    </w:p>
    <w:p>
      <w:pPr>
        <w:pStyle w:val="Heading2"/>
      </w:pPr>
      <w:r>
        <w:t>My Planning Review Checklist</w:t>
      </w:r>
    </w:p>
    <w:p>
      <w:pPr>
        <w:pStyle w:val="ListBullet"/>
      </w:pPr>
      <w:r>
        <w:t>Did I identify the highest-priority need before selecting a technique?</w:t>
      </w:r>
    </w:p>
    <w:p>
      <w:pPr>
        <w:pStyle w:val="ListBullet"/>
      </w:pPr>
      <w:r>
        <w:t>Did I connect the intervention to a formulation and a collaborative, observable goal?</w:t>
      </w:r>
    </w:p>
    <w:p>
      <w:pPr>
        <w:pStyle w:val="ListBullet"/>
      </w:pPr>
      <w:r>
        <w:t>Did I assess basic needs, social determinants, service-system barriers, and the feasibility of the resource plan?</w:t>
      </w:r>
    </w:p>
    <w:p>
      <w:pPr>
        <w:pStyle w:val="ListBullet"/>
      </w:pPr>
      <w:r>
        <w:t>Did I account for readiness, culture, development, resources, access, and level of care?</w:t>
      </w:r>
    </w:p>
    <w:p>
      <w:pPr>
        <w:pStyle w:val="ListBullet"/>
      </w:pPr>
      <w:r>
        <w:t>Did I define how symptoms, functioning, relationships, resources, or client-defined outcomes will be monitored?</w:t>
      </w:r>
    </w:p>
    <w:p>
      <w:pPr>
        <w:pStyle w:val="ListBullet"/>
      </w:pPr>
      <w:r>
        <w:t>When progress was absent, did I reassess before repeating, blaming, or terminating?</w:t>
      </w:r>
    </w:p>
    <w:p>
      <w:pPr>
        <w:pStyle w:val="ListBullet"/>
      </w:pPr>
      <w:r>
        <w:t>Did the ending plan address risk, gains, supports, referrals, transfer, and documentation?</w:t>
      </w:r>
    </w:p>
    <w:p>
      <w:pPr>
        <w:pStyle w:val="Heading1"/>
      </w:pPr>
      <w:r>
        <w:t>Sources and Currency Note</w:t>
      </w:r>
    </w:p>
    <w:p>
      <w:pPr>
        <w:pStyle w:val="ListBullet"/>
      </w:pPr>
      <w:r>
        <w:t>Association of Social Work Boards. Your Guide to Taking the Social Work Licensing Exams: 2026 Blueprints for Exams Taken on or After August 3, 2026 (May 2026).</w:t>
      </w:r>
    </w:p>
    <w:p>
      <w:pPr>
        <w:pStyle w:val="ListBullet"/>
      </w:pPr>
      <w:r>
        <w:t>Association of Social Work Boards. 2026 changes to the Social Work Licensing Exams and current Clinical content-outline resources (accessed July 24, 2026).</w:t>
      </w:r>
    </w:p>
    <w:p>
      <w:pPr>
        <w:pStyle w:val="ListBullet"/>
      </w:pPr>
      <w:r>
        <w:t>This workbook uses national ASWB examination framing. Jurisdiction-specific consent, discharge, reporting, confidentiality, and continuity rules must be verified locally.</w:t>
      </w:r>
    </w:p>
    <w:p>
      <w:pPr>
        <w:pStyle w:val="ListBullet"/>
      </w:pPr>
      <w:r>
        <w:t>Exam specifications and professional guidance may change. Consult current official ASWB and jurisdictional sources before testing or relying on a legal rule in practice.</w:t>
      </w:r>
    </w:p>
    <w:sectPr>
      <w:headerReference w:type="first" r:id="rId10"/>
      <w:footerReference w:type="first" r:id="rId11"/>
      <w:headerReference w:type="default" r:id="rId12"/>
      <w:footerReference w:type="default" r:id="rId13"/>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rPr>
              <w:rFonts w:ascii="Aptos" w:hAnsi="Aptos"/>
              <w:color w:val="6B7280"/>
              <w:sz w:val="16"/>
            </w:rPr>
            <w:t>Clinical Training Academy | Student Workbook</w:t>
          </w:r>
        </w:p>
      </w:tc>
      <w:tc>
        <w:tcPr>
          <w:tcW w:type="dxa" w:w="5040"/>
        </w:tcPr>
        <w:p>
          <w:pPr>
            <w:jc w:val="right"/>
          </w:pPr>
          <w:r>
            <w:t xml:space="preserve">Page </w:t>
          </w:r>
          <w:r>
            <w:fldChar w:fldCharType="begin"/>
          </w:r>
          <w:r>
            <w:instrText xml:space="preserve"> PAGE </w:instrText>
          </w:r>
          <w:r>
            <w:fldChar w:fldCharType="separate"/>
          </w:r>
          <w:r>
            <w:t>1</w:t>
          </w:r>
          <w:r>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CTA LCSW Workbook 7 - Treatment and Service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7: Treatment and Service Planning</dc:title>
  <dc:subject>CTA exam preparation student workbook</dc:subject>
  <dc:creator/>
  <cp:keywords>CTA, exam preparation, student workbook</cp:keywords>
  <dc:description/>
  <cp:lastModifiedBy/>
  <cp:revision>1</cp:revision>
  <dcterms:created xsi:type="dcterms:W3CDTF">2013-12-23T23:15:00Z</dcterms:created>
  <dcterms:modified xsi:type="dcterms:W3CDTF">2013-12-23T23:15:00Z</dcterms:modified>
  <cp:category/>
</cp:coreProperties>
</file>