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jc w:val="center"/>
      </w:pPr>
      <w:r>
        <w:rPr>
          <w:b/>
          <w:color w:val="1F7A8C"/>
          <w:sz w:val="24"/>
        </w:rPr>
        <w:t>CLINICAL TRAINING ACADEMY</w:t>
      </w:r>
    </w:p>
    <w:p>
      <w:pPr>
        <w:spacing w:before="520"/>
        <w:jc w:val="center"/>
      </w:pPr>
      <w:r>
        <w:rPr>
          <w:b/>
          <w:color w:val="17365D"/>
          <w:sz w:val="68"/>
        </w:rPr>
        <w:t>LMFT</w:t>
      </w:r>
    </w:p>
    <w:p>
      <w:pPr>
        <w:jc w:val="center"/>
      </w:pPr>
      <w:r>
        <w:rPr>
          <w:b/>
          <w:color w:val="24313D"/>
          <w:sz w:val="40"/>
        </w:rPr>
        <w:t>STUDENT FAQ &amp;</w:t>
        <w:br/>
        <w:t>SELF-SERVICE SUPPORT GUIDE</w:t>
      </w:r>
    </w:p>
    <w:p>
      <w:pPr>
        <w:spacing w:before="160"/>
        <w:jc w:val="center"/>
      </w:pPr>
      <w:r>
        <w:rPr>
          <w:color w:val="1F7A8C"/>
          <w:sz w:val="24"/>
        </w:rPr>
        <w:t>California Clinical Exam Preparation Program</w:t>
      </w:r>
    </w:p>
    <w:tbl>
      <w:tblPr>
        <w:tblW w:type="auto" w:w="0"/>
        <w:jc w:val="center"/>
        <w:tblLayout w:type="fixed"/>
        <w:tblLook w:firstColumn="1" w:firstRow="1" w:lastColumn="0" w:lastRow="0" w:noHBand="0" w:noVBand="1" w:val="04A0"/>
      </w:tblPr>
      <w:tblGrid>
        <w:gridCol w:w="10454"/>
      </w:tblGrid>
      <w:tr>
        <w:trPr>
          <w:tblHeader w:val="true"/>
          <w:cantSplit/>
        </w:trPr>
        <w:tc>
          <w:tcPr>
            <w:tcW w:type="dxa" w:w="9360"/>
            <w:shd w:fill="DDEFF2"/>
            <w:tcBorders>
              <w:top w:val="single" w:sz="10" w:color="1F7A8C"/>
              <w:left w:val="single" w:sz="10" w:color="1F7A8C"/>
              <w:bottom w:val="single" w:sz="10" w:color="1F7A8C"/>
              <w:right w:val="single" w:sz="10" w:color="1F7A8C"/>
            </w:tcBorders>
            <w:tcMar>
              <w:top w:w="150" w:type="dxa"/>
              <w:start w:w="180" w:type="dxa"/>
              <w:bottom w:w="150" w:type="dxa"/>
              <w:end w:w="180" w:type="dxa"/>
            </w:tcMar>
          </w:tcPr>
          <w:p>
            <w:pPr>
              <w:jc w:val="center"/>
            </w:pPr>
            <w:r>
              <w:rPr>
                <w:b/>
                <w:color w:val="17365D"/>
                <w:sz w:val="25"/>
              </w:rPr>
              <w:t>Find the right resource, solve common course problems, and know when to contact CTA support or an official licensing source.</w:t>
            </w:r>
          </w:p>
        </w:tc>
      </w:tr>
    </w:tbl>
    <w:p>
      <w:pPr>
        <w:spacing w:before="240"/>
        <w:jc w:val="center"/>
      </w:pPr>
      <w:r>
        <w:rPr>
          <w:sz w:val="20"/>
        </w:rPr>
        <w:t>Student name: __________________________________________</w:t>
      </w:r>
    </w:p>
    <w:p>
      <w:pPr>
        <w:spacing w:before="100"/>
        <w:jc w:val="center"/>
      </w:pPr>
      <w:r>
        <w:rPr>
          <w:sz w:val="20"/>
        </w:rPr>
        <w:t>Target exam date: ____________________   Study plan:  ☐ 10-week   ☐ 14-week   ☐ 18-week</w:t>
      </w:r>
    </w:p>
    <w:p>
      <w:pPr>
        <w:spacing w:before="520"/>
        <w:jc w:val="center"/>
      </w:pPr>
      <w:r>
        <w:rPr>
          <w:color w:val="68737D"/>
          <w:sz w:val="18"/>
        </w:rPr>
        <w:t>Version 1.0  •  July 2026  •  Editable and Print-Ready</w:t>
      </w:r>
    </w:p>
    <w:p>
      <w:r>
        <w:br w:type="page"/>
      </w:r>
    </w:p>
    <w:p>
      <w:pPr>
        <w:pStyle w:val="Heading1"/>
        <w:keepNext/>
      </w:pPr>
      <w:r>
        <w:t>Quick Start: Where Do I Begin?</w:t>
      </w:r>
    </w:p>
    <w:tbl>
      <w:tblPr>
        <w:tblW w:type="auto" w:w="0"/>
        <w:jc w:val="center"/>
        <w:tblLook w:firstColumn="1" w:firstRow="1" w:lastColumn="0" w:lastRow="0" w:noHBand="0" w:noVBand="1" w:val="04A0"/>
      </w:tblPr>
      <w:tblGrid>
        <w:gridCol w:w="10454"/>
      </w:tblGrid>
      <w:tr>
        <w:trPr>
          <w:tblHeader w:val="true"/>
          <w:cantSplit/>
        </w:trPr>
        <w:tc>
          <w:tcPr>
            <w:tcW w:type="dxa" w:w="10454"/>
            <w:shd w:fill="DDEFF2"/>
            <w:tcBorders>
              <w:top w:val="single" w:sz="8" w:color="1F7A8C"/>
              <w:left w:val="single" w:sz="8" w:color="1F7A8C"/>
              <w:bottom w:val="single" w:sz="8" w:color="1F7A8C"/>
              <w:right w:val="single" w:sz="8" w:color="1F7A8C"/>
            </w:tcBorders>
            <w:tcMar>
              <w:top w:w="95" w:type="dxa"/>
              <w:start w:w="120" w:type="dxa"/>
              <w:bottom w:w="95" w:type="dxa"/>
              <w:end w:w="120" w:type="dxa"/>
            </w:tcMar>
          </w:tcPr>
          <w:p>
            <w:pPr>
              <w:spacing w:after="0"/>
            </w:pPr>
            <w:r>
              <w:rPr>
                <w:b/>
                <w:color w:val="17365D"/>
              </w:rPr>
              <w:t xml:space="preserve">Start here:  </w:t>
            </w:r>
            <w:r>
              <w:rPr>
                <w:color w:val="24313D"/>
              </w:rPr>
              <w:t>Choose a pace, complete the orientation materials, and use the same Learn → Practice → Review → Remediate → Simulate cycle for every workbook.</w:t>
            </w:r>
          </w:p>
        </w:tc>
      </w:tr>
    </w:tbl>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should I do first?</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Open the Student Roadmap and select the 10-, 14-, or 18-week schedule. Review the welcome and orientation lessons, then begin Workbook 1. Do not begin with a comprehensive simulation just to see how you do.</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is included in the program?</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The student program includes 12 workbooks, workbook companion media, one 17-question bank per workbook, rationale review, remediation tools, quick-reference sheets, flashcards, audio review, progress tracking, Form A, and Form B. Some resources may be released sequentially inside the course portal.</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Can I study fully online, entirely on paper, or both?</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Yes. You may read and complete activities online, download and print editable materials, or use a hybrid approach. Keep question documents separate from answer and rationale resources when simulating test conditions.</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How long should the program take?</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Use the pace that matches your available study time and exam date. The 10-week plan is intensive, the 14-week plan is balanced, and the 18-week plan provides more repetition and remediation time. You may adjust the calendar while preserving the sequence.</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makes the LMFT pathway profession-specific?</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The LMFT program repeatedly asks you to identify the client and treatment unit, think relationally and systemically, assess before acting, and select an intervention that fits safety, readiness, context, and the clinical pattern.</w:t>
            </w:r>
          </w:p>
        </w:tc>
      </w:tr>
    </w:tbl>
    <w:p>
      <w:pPr>
        <w:spacing w:after="0"/>
      </w:pPr>
    </w:p>
    <w:p>
      <w:r>
        <w:br w:type="page"/>
      </w:r>
    </w:p>
    <w:p>
      <w:pPr>
        <w:pStyle w:val="Heading1"/>
        <w:keepNext/>
      </w:pPr>
      <w:r>
        <w:t>Course Navigation and Resource Map</w:t>
      </w: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should be inside each workbook section?</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A workbook overview, companion video or audio, the workbook file or online reading, a completion prompt, the associated 17-question bank, rationale review, and a remediation check.</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unlocks the next step?</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Learning content may be revisited at any time. Correct answers and rationales should appear only after a question-bank attempt is submitted. Form B should remain locked until Form A and the required remediation step are complete.</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Where do I find trackers, flashcards, audio review, and quick-reference sheets?</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Look in the course Resource Library or Start Here area. These tools support the workbooks; they do not replace completing the workbook and associated question bank.</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Do I have to watch every video?</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The program should allow multiple learning formats. Use the transcript or audio-only version when available, but complete the workbook and required practice. A video should not be the only way to access essential instructions.</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How do I know what is complete?</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Use the course progress display and your editable progress tracker. Record workbook completion, question-bank score, time used, error patterns, remediation action, and the date the next step was completed.</w:t>
            </w:r>
          </w:p>
        </w:tc>
      </w:tr>
    </w:tbl>
    <w:p>
      <w:pPr>
        <w:spacing w:after="0"/>
      </w:pPr>
    </w:p>
    <w:p>
      <w:pPr>
        <w:pStyle w:val="Heading2"/>
        <w:keepNext/>
      </w:pPr>
      <w:r>
        <w:t>The Repeatable CTA Study Cycle</w:t>
      </w:r>
    </w:p>
    <w:tbl>
      <w:tblPr>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1440"/>
            <w:shd w:fill="17365D"/>
            <w:tcBorders>
              <w:top w:val="single" w:sz="4" w:color="FFFFFF"/>
              <w:left w:val="single" w:sz="4" w:color="FFFFFF"/>
              <w:bottom w:val="single" w:sz="4" w:color="FFFFFF"/>
              <w:right w:val="single" w:sz="4" w:color="FFFFFF"/>
            </w:tcBorders>
            <w:tcMar>
              <w:top w:w="55" w:type="dxa"/>
              <w:start w:w="50" w:type="dxa"/>
              <w:bottom w:w="55" w:type="dxa"/>
              <w:end w:w="50" w:type="dxa"/>
            </w:tcMar>
            <w:vAlign w:val="center"/>
          </w:tcPr>
          <w:p>
            <w:pPr>
              <w:spacing w:after="0"/>
              <w:jc w:val="center"/>
            </w:pPr>
            <w:r>
              <w:rPr>
                <w:b/>
                <w:color w:val="FFFFFF"/>
                <w:sz w:val="16"/>
              </w:rPr>
              <w:t>Stage</w:t>
            </w:r>
          </w:p>
        </w:tc>
        <w:tc>
          <w:tcPr>
            <w:tcW w:type="dxa" w:w="2592"/>
            <w:shd w:fill="17365D"/>
            <w:tcBorders>
              <w:top w:val="single" w:sz="4" w:color="FFFFFF"/>
              <w:left w:val="single" w:sz="4" w:color="FFFFFF"/>
              <w:bottom w:val="single" w:sz="4" w:color="FFFFFF"/>
              <w:right w:val="single" w:sz="4" w:color="FFFFFF"/>
            </w:tcBorders>
            <w:tcMar>
              <w:top w:w="55" w:type="dxa"/>
              <w:start w:w="50" w:type="dxa"/>
              <w:bottom w:w="55" w:type="dxa"/>
              <w:end w:w="50" w:type="dxa"/>
            </w:tcMar>
            <w:vAlign w:val="center"/>
          </w:tcPr>
          <w:p>
            <w:pPr>
              <w:spacing w:after="0"/>
              <w:jc w:val="center"/>
            </w:pPr>
            <w:r>
              <w:rPr>
                <w:b/>
                <w:color w:val="FFFFFF"/>
                <w:sz w:val="16"/>
              </w:rPr>
              <w:t>Use</w:t>
            </w:r>
          </w:p>
        </w:tc>
        <w:tc>
          <w:tcPr>
            <w:tcW w:type="dxa" w:w="5760"/>
            <w:shd w:fill="17365D"/>
            <w:tcBorders>
              <w:top w:val="single" w:sz="4" w:color="FFFFFF"/>
              <w:left w:val="single" w:sz="4" w:color="FFFFFF"/>
              <w:bottom w:val="single" w:sz="4" w:color="FFFFFF"/>
              <w:right w:val="single" w:sz="4" w:color="FFFFFF"/>
            </w:tcBorders>
            <w:tcMar>
              <w:top w:w="55" w:type="dxa"/>
              <w:start w:w="50" w:type="dxa"/>
              <w:bottom w:w="55" w:type="dxa"/>
              <w:end w:w="50" w:type="dxa"/>
            </w:tcMar>
            <w:vAlign w:val="center"/>
          </w:tcPr>
          <w:p>
            <w:pPr>
              <w:spacing w:after="0"/>
              <w:jc w:val="center"/>
            </w:pPr>
            <w:r>
              <w:rPr>
                <w:b/>
                <w:color w:val="FFFFFF"/>
                <w:sz w:val="16"/>
              </w:rPr>
              <w:t>Completion Evidence</w:t>
            </w:r>
          </w:p>
        </w:tc>
      </w:tr>
      <w:tr>
        <w:trPr>
          <w:cantSplit/>
        </w:trPr>
        <w:tc>
          <w:tcPr>
            <w:tcW w:type="dxa" w:w="1440"/>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6"/>
              </w:rPr>
              <w:t>1. Learn</w:t>
            </w:r>
          </w:p>
        </w:tc>
        <w:tc>
          <w:tcPr>
            <w:tcW w:type="dxa" w:w="2592"/>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6"/>
              </w:rPr>
              <w:t>Workbook + companion media</w:t>
            </w:r>
          </w:p>
        </w:tc>
        <w:tc>
          <w:tcPr>
            <w:tcW w:type="dxa" w:w="5760"/>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6"/>
              </w:rPr>
              <w:t>Explain the key decision rules in your own words.</w:t>
            </w:r>
          </w:p>
        </w:tc>
      </w:tr>
      <w:tr>
        <w:trPr>
          <w:cantSplit/>
        </w:trPr>
        <w:tc>
          <w:tcPr>
            <w:tcW w:type="dxa" w:w="1440"/>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6"/>
              </w:rPr>
              <w:t>2. Practice</w:t>
            </w:r>
          </w:p>
        </w:tc>
        <w:tc>
          <w:tcPr>
            <w:tcW w:type="dxa" w:w="2592"/>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6"/>
              </w:rPr>
              <w:t>17-question bank</w:t>
            </w:r>
          </w:p>
        </w:tc>
        <w:tc>
          <w:tcPr>
            <w:tcW w:type="dxa" w:w="5760"/>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6"/>
              </w:rPr>
              <w:t>Submit before viewing answers.</w:t>
            </w:r>
          </w:p>
        </w:tc>
      </w:tr>
      <w:tr>
        <w:trPr>
          <w:cantSplit/>
        </w:trPr>
        <w:tc>
          <w:tcPr>
            <w:tcW w:type="dxa" w:w="1440"/>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6"/>
              </w:rPr>
              <w:t>3. Review</w:t>
            </w:r>
          </w:p>
        </w:tc>
        <w:tc>
          <w:tcPr>
            <w:tcW w:type="dxa" w:w="2592"/>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6"/>
              </w:rPr>
              <w:t>Complete rationales</w:t>
            </w:r>
          </w:p>
        </w:tc>
        <w:tc>
          <w:tcPr>
            <w:tcW w:type="dxa" w:w="5760"/>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6"/>
              </w:rPr>
              <w:t>Explain why the best answer fits and each distractor is weaker.</w:t>
            </w:r>
          </w:p>
        </w:tc>
      </w:tr>
      <w:tr>
        <w:trPr>
          <w:cantSplit/>
        </w:trPr>
        <w:tc>
          <w:tcPr>
            <w:tcW w:type="dxa" w:w="1440"/>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6"/>
              </w:rPr>
              <w:t>4. Remediate</w:t>
            </w:r>
          </w:p>
        </w:tc>
        <w:tc>
          <w:tcPr>
            <w:tcW w:type="dxa" w:w="2592"/>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6"/>
              </w:rPr>
              <w:t>Error log + targeted review</w:t>
            </w:r>
          </w:p>
        </w:tc>
        <w:tc>
          <w:tcPr>
            <w:tcW w:type="dxa" w:w="5760"/>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6"/>
              </w:rPr>
              <w:t>Return to the exact concept, stage, or reasoning rule you missed.</w:t>
            </w:r>
          </w:p>
        </w:tc>
      </w:tr>
      <w:tr>
        <w:trPr>
          <w:cantSplit/>
        </w:trPr>
        <w:tc>
          <w:tcPr>
            <w:tcW w:type="dxa" w:w="1440"/>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6"/>
              </w:rPr>
              <w:t>5. Simulate</w:t>
            </w:r>
          </w:p>
        </w:tc>
        <w:tc>
          <w:tcPr>
            <w:tcW w:type="dxa" w:w="2592"/>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6"/>
              </w:rPr>
              <w:t>Form A, then Form B</w:t>
            </w:r>
          </w:p>
        </w:tc>
        <w:tc>
          <w:tcPr>
            <w:tcW w:type="dxa" w:w="5760"/>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6"/>
              </w:rPr>
              <w:t>Protect timing and delayed rationale release.</w:t>
            </w:r>
          </w:p>
        </w:tc>
      </w:tr>
    </w:tbl>
    <w:p>
      <w:r>
        <w:br w:type="page"/>
      </w:r>
    </w:p>
    <w:p>
      <w:pPr>
        <w:pStyle w:val="Heading1"/>
        <w:keepNext/>
      </w:pPr>
      <w:r>
        <w:t>Workbooks, Companion Media, and Study Tools</w:t>
      </w: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Should I read a workbook from beginning to end?</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Follow the workbook sequence and complete its embedded reflection, practice, or knowledge-check activities. Highlight decision rules and distinctions, not every sentence.</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is the workbook companion lesson for?</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It previews the exam logic, high-yield ideas, common distractor patterns, and a mini scenario. It should coach your thinking rather than read the workbook aloud.</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How should I use quick-reference sheets?</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Use them after learning the full topic. They are retrieval and remediation tools, not substitutes for the workbook. Mark the rules you confuse and revisit the source section.</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How should I use flashcards?</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Attempt the question before revealing the answer. Sort cards into known, uncertain, and missed groups. Revisit missed cards across several days instead of rereading the full set in one sitting.</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How should I use the audio-review collection?</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Use it for screen-free retrieval practice while walking, commuting, or doing routine tasks. Pause when prompted, answer aloud, and mark any concept that needs workbook review.</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should I do when a workbook feels familiar but questions are still difficult?</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Shift from rereading to active explanation. State the task word, stage of practice, priority, role, missing information, and why the tempting distractor is premature or outside the question asked.</w:t>
            </w:r>
          </w:p>
        </w:tc>
      </w:tr>
    </w:tbl>
    <w:p>
      <w:pPr>
        <w:spacing w:after="0"/>
      </w:pPr>
    </w:p>
    <w:p>
      <w:r>
        <w:br w:type="page"/>
      </w:r>
    </w:p>
    <w:p>
      <w:pPr>
        <w:pStyle w:val="Heading1"/>
        <w:keepNext/>
      </w:pPr>
      <w:r>
        <w:t>Question Banks, Scoring, and Rationales</w:t>
      </w:r>
    </w:p>
    <w:tbl>
      <w:tblPr>
        <w:tblW w:type="auto" w:w="0"/>
        <w:jc w:val="center"/>
        <w:tblLook w:firstColumn="1" w:firstRow="1" w:lastColumn="0" w:lastRow="0" w:noHBand="0" w:noVBand="1" w:val="04A0"/>
      </w:tblPr>
      <w:tblGrid>
        <w:gridCol w:w="10454"/>
      </w:tblGrid>
      <w:tr>
        <w:trPr>
          <w:tblHeader w:val="true"/>
          <w:cantSplit/>
        </w:trPr>
        <w:tc>
          <w:tcPr>
            <w:tcW w:type="dxa" w:w="10454"/>
            <w:shd w:fill="FFF6DD"/>
            <w:tcBorders>
              <w:top w:val="single" w:sz="8" w:color="D9A441"/>
              <w:left w:val="single" w:sz="8" w:color="D9A441"/>
              <w:bottom w:val="single" w:sz="8" w:color="D9A441"/>
              <w:right w:val="single" w:sz="8" w:color="D9A441"/>
            </w:tcBorders>
            <w:tcMar>
              <w:top w:w="95" w:type="dxa"/>
              <w:start w:w="120" w:type="dxa"/>
              <w:bottom w:w="95" w:type="dxa"/>
              <w:end w:w="120" w:type="dxa"/>
            </w:tcMar>
          </w:tcPr>
          <w:p>
            <w:pPr>
              <w:spacing w:after="0"/>
            </w:pPr>
            <w:r>
              <w:rPr>
                <w:b/>
                <w:color w:val="17365D"/>
              </w:rPr>
              <w:t xml:space="preserve">Teaching assessment:  </w:t>
            </w:r>
            <w:r>
              <w:rPr>
                <w:color w:val="24313D"/>
              </w:rPr>
              <w:t>Workbook banks are designed to reinforce a topic. A score is useful only when paired with item-by-item reasoning review.</w:t>
            </w:r>
          </w:p>
        </w:tc>
      </w:tr>
    </w:tbl>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Why can I not see the answers before submitting?</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Delayed answer display protects the learning value of the attempt. Commit to an answer first, then compare your reasoning with the complete rationale.</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Can I retake a 17-question workbook bank?</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A review or remediation attempt may be appropriate after the first submitted attempt. Preserve the first score and responses so you can compare what changed. Do not memorize answer positions.</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score should I consider passing?</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CTA should not present a fixed workbook-bank score as equivalent to an official licensing-exam passing standard. Use readiness language such as developing, progressing, needs targeted review, or ready for final simulation.</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should I review after a correct answer?</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Confirm that the reasoning was correct, not lucky. Read why each distractor is weaker and note any option you seriously considered.</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should I review after a missed answer?</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Identify the error type: content gap, task-word error, sequence error, safety or legal priority, role confusion, over-assumption, premature intervention, or failure to compare options.</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should I write in my error log?</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Record the question topic, your answer, the best answer, the decision rule, why your choice was tempting, the error category, the source to review, and one corrected self-statement.</w:t>
            </w:r>
          </w:p>
        </w:tc>
      </w:tr>
    </w:tbl>
    <w:p>
      <w:pPr>
        <w:spacing w:after="0"/>
      </w:pPr>
    </w:p>
    <w:p>
      <w:r>
        <w:br w:type="page"/>
      </w:r>
    </w:p>
    <w:p>
      <w:pPr>
        <w:pStyle w:val="Heading1"/>
        <w:keepNext/>
      </w:pPr>
      <w:r>
        <w:t>Remediation: What to Do After a Weak Area Appears</w:t>
      </w: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How much should I review after a missed question?</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Review the smallest source that repairs the error: a quick-reference rule, a workbook subsection, a companion-media segment, or a focused set of flashcards. Avoid restarting the entire program unless the foundation is broadly weak.</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How do I distinguish a content gap from a reasoning error?</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A content gap means you did not know a required fact or distinction. A reasoning error means you knew the content but misread the task, acted too early, ignored priority or role, or chose an option that did not match the facts.</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is a premature answer?</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It may be clinically reasonable later, but it skips necessary assessment, stabilization, consent, clarification, consultation, or planning required at the stage asked.</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if two answers both seem correct?</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Compare them against the exact task word, immediate priority, role and authority, amount of information available, and the least assumptive next step. The exam is often testing timing and fit rather than whether an action is ever appropriate.</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How will I know remediation worked?</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You can explain the corrected rule without looking, apply it to a new scenario, and identify why the old distractor is weaker. Then complete a small amount of fresh practice and document the result.</w:t>
            </w:r>
          </w:p>
        </w:tc>
      </w:tr>
    </w:tbl>
    <w:p>
      <w:pPr>
        <w:spacing w:after="0"/>
      </w:pPr>
    </w:p>
    <w:p>
      <w:pPr>
        <w:pStyle w:val="Heading2"/>
        <w:keepNext/>
      </w:pPr>
      <w:r>
        <w:t>Seven Common Error Categories</w:t>
      </w:r>
    </w:p>
    <w:p>
      <w:pPr>
        <w:pStyle w:val="ListBullet"/>
        <w:spacing w:after="40"/>
      </w:pPr>
      <w:r>
        <w:rPr>
          <w:sz w:val="18"/>
        </w:rPr>
        <w:t>Task-word or question-focus error</w:t>
      </w:r>
    </w:p>
    <w:p>
      <w:pPr>
        <w:pStyle w:val="ListBullet"/>
        <w:spacing w:after="40"/>
      </w:pPr>
      <w:r>
        <w:rPr>
          <w:sz w:val="18"/>
        </w:rPr>
        <w:t>Stage or sequencing error</w:t>
      </w:r>
    </w:p>
    <w:p>
      <w:pPr>
        <w:pStyle w:val="ListBullet"/>
        <w:spacing w:after="40"/>
      </w:pPr>
      <w:r>
        <w:rPr>
          <w:sz w:val="18"/>
        </w:rPr>
        <w:t>Safety, abuse, legal, or ethical priority error</w:t>
      </w:r>
    </w:p>
    <w:p>
      <w:pPr>
        <w:pStyle w:val="ListBullet"/>
        <w:spacing w:after="40"/>
      </w:pPr>
      <w:r>
        <w:rPr>
          <w:sz w:val="18"/>
        </w:rPr>
        <w:t>Assessment or missing-information error</w:t>
      </w:r>
    </w:p>
    <w:p>
      <w:pPr>
        <w:pStyle w:val="ListBullet"/>
        <w:spacing w:after="40"/>
      </w:pPr>
      <w:r>
        <w:rPr>
          <w:sz w:val="18"/>
        </w:rPr>
        <w:t>Role, authority, consent, or confidentiality error</w:t>
      </w:r>
    </w:p>
    <w:p>
      <w:pPr>
        <w:pStyle w:val="ListBullet"/>
        <w:spacing w:after="40"/>
      </w:pPr>
      <w:r>
        <w:rPr>
          <w:sz w:val="18"/>
        </w:rPr>
        <w:t>Over-assumption or context error</w:t>
      </w:r>
    </w:p>
    <w:p>
      <w:pPr>
        <w:pStyle w:val="ListBullet"/>
        <w:spacing w:after="40"/>
      </w:pPr>
      <w:r>
        <w:rPr>
          <w:sz w:val="18"/>
        </w:rPr>
        <w:t>Intervention, modality, or resource-fit error</w:t>
      </w:r>
    </w:p>
    <w:p>
      <w:r>
        <w:br w:type="page"/>
      </w:r>
    </w:p>
    <w:p>
      <w:pPr>
        <w:pStyle w:val="Heading1"/>
        <w:keepNext/>
      </w:pPr>
      <w:r>
        <w:t>Comprehensive Forms A and B</w:t>
      </w:r>
    </w:p>
    <w:tbl>
      <w:tblPr>
        <w:tblW w:type="auto" w:w="0"/>
        <w:jc w:val="center"/>
        <w:tblLook w:firstColumn="1" w:firstRow="1" w:lastColumn="0" w:lastRow="0" w:noHBand="0" w:noVBand="1" w:val="04A0"/>
      </w:tblPr>
      <w:tblGrid>
        <w:gridCol w:w="10454"/>
      </w:tblGrid>
      <w:tr>
        <w:trPr>
          <w:tblHeader w:val="true"/>
          <w:cantSplit/>
        </w:trPr>
        <w:tc>
          <w:tcPr>
            <w:tcW w:type="dxa" w:w="10454"/>
            <w:shd w:fill="FFF6DD"/>
            <w:tcBorders>
              <w:top w:val="single" w:sz="8" w:color="D9A441"/>
              <w:left w:val="single" w:sz="8" w:color="D9A441"/>
              <w:bottom w:val="single" w:sz="8" w:color="D9A441"/>
              <w:right w:val="single" w:sz="8" w:color="D9A441"/>
            </w:tcBorders>
            <w:tcMar>
              <w:top w:w="95" w:type="dxa"/>
              <w:start w:w="120" w:type="dxa"/>
              <w:bottom w:w="95" w:type="dxa"/>
              <w:end w:w="120" w:type="dxa"/>
            </w:tcMar>
          </w:tcPr>
          <w:p>
            <w:pPr>
              <w:spacing w:after="0"/>
            </w:pPr>
            <w:r>
              <w:rPr>
                <w:b/>
                <w:color w:val="17365D"/>
              </w:rPr>
              <w:t xml:space="preserve">Protect the simulations:  </w:t>
            </w:r>
            <w:r>
              <w:rPr>
                <w:color w:val="24313D"/>
              </w:rPr>
              <w:t>Forms A and B are readiness assessments, not casual practice banks. Complete each under controlled conditions and wait until the full form is submitted before reviewing detailed rationales.</w:t>
            </w:r>
          </w:p>
        </w:tc>
      </w:tr>
    </w:tbl>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When should I take Form A?</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After completing all 12 workbooks, their associated question banks, rationale review, and enough remediation to make the attempt diagnostically useful. Complete the readiness gate first.</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How should I take Form A?</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Use the full timing and section rules provided, reduce interruptions, do not use notes or answer resources, record pacing observations, and submit the complete form before reviewing detailed rationales.</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happens after Form A?</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Review the score summary and domain profile, then complete a written remediation plan. Return to weak domains, classify reasoning errors, and practice before opening Form B.</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When should I take Form B?</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After completing the Form A remediation requirement and demonstrating improvement in the targeted areas. Treat Form B as the final readiness simulation rather than a frequently repeated practice set.</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Can I retake a comprehensive form immediately?</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That reduces its diagnostic value and may measure memory rather than readiness. Use the rationales and remediation resources first. Any later review attempt should be clearly separated from the original timed attempt.</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if my simulation score is disappointing?</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Do not convert one score into a prediction about the official exam. Analyze domain patterns, timing, fatigue, and reasoning errors. Use the progress tracker to create a limited, specific remediation plan.</w:t>
            </w:r>
          </w:p>
        </w:tc>
      </w:tr>
    </w:tbl>
    <w:p>
      <w:pPr>
        <w:spacing w:after="0"/>
      </w:pPr>
    </w:p>
    <w:p>
      <w:r>
        <w:br w:type="page"/>
      </w:r>
    </w:p>
    <w:p>
      <w:pPr>
        <w:pStyle w:val="Heading1"/>
        <w:keepNext/>
      </w:pPr>
      <w:r>
        <w:t>Schedules, Progress, Anxiety, and Readiness</w:t>
      </w: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if I fall behind my schedule?</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Move unfinished work forward and protect the sequence. Do not compress several question banks or both comprehensive forms into one rushed period. Adjust the target date or reduce optional review before skipping required remediation.</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Can I complete the program faster than 10 weeks?</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You may move faster when you can preserve thoughtful learning, closed-book practice, rationale review, and remediation. Speed should not eliminate the evidence needed to decide that you are ready for Form A or Form B.</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if I have more than 18 weeks?</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Repeat retrieval practice, space flashcards and audio review, revisit weak domains, and delay simulations until they will provide useful readiness information. Avoid repeatedly opening the same question set.</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How should I handle test anxiety during practice?</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Use consistent timing, brief grounding, realistic breaks, and a reset routine after difficult items. Record what triggered the anxiety and whether the problem was content, pacing, fatigue, or uncertainty.</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How do I know whether I am ready?</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Use multiple forms of evidence: completed workbooks, question-bank reasoning, a current error log, targeted remediation, pacing stability, and simulation performance. Confidence is helpful but not sufficient by itself.</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Does completing the CTA program guarantee that I will pass?</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No. CTA provides educational review and preparation tools. It does not guarantee passage, establish official passing standards, or make licensing eligibility decisions.</w:t>
            </w:r>
          </w:p>
        </w:tc>
      </w:tr>
    </w:tbl>
    <w:p>
      <w:pPr>
        <w:spacing w:after="0"/>
      </w:pPr>
    </w:p>
    <w:p>
      <w:r>
        <w:br w:type="page"/>
      </w:r>
    </w:p>
    <w:p>
      <w:pPr>
        <w:pStyle w:val="Heading1"/>
        <w:keepNext/>
      </w:pPr>
      <w:r>
        <w:t>Downloads, Printing, Accessibility, and File Use</w:t>
      </w: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Why are the student materials provided in editable Word format?</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Editable files support typing, highlighting, printing, and personal study notes. Keep an untouched master copy before making extensive edits.</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Can I create my own PDF copies?</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Yes. You may save or export the student-facing Word materials to PDF for personal study. Keep question documents separate from answer and rationale documents when practicing.</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should I do if a table or page looks different on my device?</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Open the file in a current version of Microsoft Word when possible. Check page size, margins, and print scaling. Avoid editing in applications that substantially change table widths or fonts unless you review the final layout before printing.</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Are transcripts and captions available?</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Every final video should have accurate captions and an editable transcript. Audio-only versions may be included when practical. Contact technical support if a required accessibility companion is missing.</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Can I use keyboard navigation or a screen reader?</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The course should use readable headings, descriptive links, accessible tables, captions, transcripts, and keyboard-friendly navigation. Report inaccessible content through the CTA technical-support channel so the affected resource can be identified.</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How should I name files I download?</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Keep the profession, workbook or form number, title, and version number. Add personal notes after the version, such as “annotated” or a date, without replacing the original file.</w:t>
            </w:r>
          </w:p>
        </w:tc>
      </w:tr>
    </w:tbl>
    <w:p>
      <w:pPr>
        <w:spacing w:after="0"/>
      </w:pPr>
    </w:p>
    <w:p>
      <w:r>
        <w:br w:type="page"/>
      </w:r>
    </w:p>
    <w:p>
      <w:pPr>
        <w:pStyle w:val="Heading1"/>
        <w:keepNext/>
      </w:pPr>
      <w:r>
        <w:t>Technical Troubleshooting</w:t>
      </w:r>
    </w:p>
    <w:tbl>
      <w:tblPr>
        <w:tblW w:type="auto" w:w="0"/>
        <w:jc w:val="center"/>
        <w:tblLook w:firstColumn="1" w:firstRow="1" w:lastColumn="0" w:lastRow="0" w:noHBand="0" w:noVBand="1" w:val="04A0"/>
      </w:tblPr>
      <w:tblGrid>
        <w:gridCol w:w="10454"/>
      </w:tblGrid>
      <w:tr>
        <w:trPr>
          <w:tblHeader w:val="true"/>
          <w:cantSplit/>
        </w:trPr>
        <w:tc>
          <w:tcPr>
            <w:tcW w:type="dxa" w:w="10454"/>
            <w:shd w:fill="DDEFF2"/>
            <w:tcBorders>
              <w:top w:val="single" w:sz="8" w:color="1F7A8C"/>
              <w:left w:val="single" w:sz="8" w:color="1F7A8C"/>
              <w:bottom w:val="single" w:sz="8" w:color="1F7A8C"/>
              <w:right w:val="single" w:sz="8" w:color="1F7A8C"/>
            </w:tcBorders>
            <w:tcMar>
              <w:top w:w="95" w:type="dxa"/>
              <w:start w:w="120" w:type="dxa"/>
              <w:bottom w:w="95" w:type="dxa"/>
              <w:end w:w="120" w:type="dxa"/>
            </w:tcMar>
          </w:tcPr>
          <w:p>
            <w:pPr>
              <w:spacing w:after="0"/>
            </w:pPr>
            <w:r>
              <w:rPr>
                <w:b/>
                <w:color w:val="17365D"/>
              </w:rPr>
              <w:t xml:space="preserve">Before contacting support:  </w:t>
            </w:r>
            <w:r>
              <w:rPr>
                <w:color w:val="24313D"/>
              </w:rPr>
              <w:t>Write down the resource name, workbook or form number, device, browser or app, exact error message, and the steps that produced the problem.</w:t>
            </w:r>
          </w:p>
        </w:tc>
      </w:tr>
    </w:tbl>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A download will not open.</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Confirm the download completed, save it locally, and open it with the appropriate application. Try a fresh download. Do not rename the extension. If the problem continues, report the exact filename and error message.</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A video will not play or has no sound.</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Refresh the page, confirm volume and mute settings, try a current browser, and test the transcript or audio-only file. Note whether the problem affects one lesson or all media.</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My quiz answers or progress disappeared.</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Stop repeated submissions. Record the course area, date, approximate time, browser, and what occurred. Take a screenshot when possible and contact technical support through the course portal.</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The correct answers appeared too early.</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Do not continue using the exposed rationale resource. Report the course area and resource immediately so the release rule can be corrected.</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Form B is still locked.</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Confirm that Form A was submitted and the required remediation step was marked complete. If those conditions are met, report the course area and completion dates.</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A link is broken or opens the wrong profession.</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Report the visible link text, the page where it appears, and the incorrect destination. Do not use an LMFT resource for an LCSW section or vice versa.</w:t>
            </w:r>
          </w:p>
        </w:tc>
      </w:tr>
    </w:tbl>
    <w:p>
      <w:pPr>
        <w:spacing w:after="0"/>
      </w:pPr>
    </w:p>
    <w:p>
      <w:r>
        <w:br w:type="page"/>
      </w:r>
    </w:p>
    <w:p>
      <w:pPr>
        <w:pStyle w:val="Heading1"/>
        <w:keepNext/>
      </w:pPr>
      <w:r>
        <w:t>What CTA Support Can and Cannot Do</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3168"/>
            <w:shd w:fill="17365D"/>
            <w:tcBorders>
              <w:top w:val="single" w:sz="4" w:color="FFFFFF"/>
              <w:left w:val="single" w:sz="4" w:color="FFFFFF"/>
              <w:bottom w:val="single" w:sz="4" w:color="FFFFFF"/>
              <w:right w:val="single" w:sz="4" w:color="FFFFFF"/>
            </w:tcBorders>
            <w:tcMar>
              <w:top w:w="55" w:type="dxa"/>
              <w:start w:w="50" w:type="dxa"/>
              <w:bottom w:w="55" w:type="dxa"/>
              <w:end w:w="50" w:type="dxa"/>
            </w:tcMar>
            <w:vAlign w:val="center"/>
          </w:tcPr>
          <w:p>
            <w:pPr>
              <w:spacing w:after="0"/>
              <w:jc w:val="center"/>
            </w:pPr>
            <w:r>
              <w:rPr>
                <w:b/>
                <w:color w:val="FFFFFF"/>
                <w:sz w:val="17"/>
              </w:rPr>
              <w:t>Support Boundary</w:t>
            </w:r>
          </w:p>
        </w:tc>
        <w:tc>
          <w:tcPr>
            <w:tcW w:type="dxa" w:w="6624"/>
            <w:shd w:fill="17365D"/>
            <w:tcBorders>
              <w:top w:val="single" w:sz="4" w:color="FFFFFF"/>
              <w:left w:val="single" w:sz="4" w:color="FFFFFF"/>
              <w:bottom w:val="single" w:sz="4" w:color="FFFFFF"/>
              <w:right w:val="single" w:sz="4" w:color="FFFFFF"/>
            </w:tcBorders>
            <w:tcMar>
              <w:top w:w="55" w:type="dxa"/>
              <w:start w:w="50" w:type="dxa"/>
              <w:bottom w:w="55" w:type="dxa"/>
              <w:end w:w="50" w:type="dxa"/>
            </w:tcMar>
            <w:vAlign w:val="center"/>
          </w:tcPr>
          <w:p>
            <w:pPr>
              <w:spacing w:after="0"/>
              <w:jc w:val="center"/>
            </w:pPr>
            <w:r>
              <w:rPr>
                <w:b/>
                <w:color w:val="FFFFFF"/>
                <w:sz w:val="17"/>
              </w:rPr>
              <w:t>Guidance</w:t>
            </w:r>
          </w:p>
        </w:tc>
      </w:tr>
      <w:tr>
        <w:trPr>
          <w:cantSplit/>
        </w:trPr>
        <w:tc>
          <w:tcPr>
            <w:tcW w:type="dxa" w:w="3168"/>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7"/>
              </w:rPr>
              <w:t>CTA technical support can help with</w:t>
            </w:r>
          </w:p>
        </w:tc>
        <w:tc>
          <w:tcPr>
            <w:tcW w:type="dxa" w:w="6624"/>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7"/>
              </w:rPr>
              <w:t>Login, downloads, broken links, playback, captions or transcripts, missing files, quiz display, progress tracking, and access problems.</w:t>
            </w:r>
          </w:p>
        </w:tc>
      </w:tr>
      <w:tr>
        <w:trPr>
          <w:cantSplit/>
        </w:trPr>
        <w:tc>
          <w:tcPr>
            <w:tcW w:type="dxa" w:w="3168"/>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7"/>
              </w:rPr>
              <w:t>CTA instructional resources can explain</w:t>
            </w:r>
          </w:p>
        </w:tc>
        <w:tc>
          <w:tcPr>
            <w:tcW w:type="dxa" w:w="6624"/>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7"/>
              </w:rPr>
              <w:t>How to use the program, how to study rationales, how to classify errors, and how to follow the workbook and simulation sequence.</w:t>
            </w:r>
          </w:p>
        </w:tc>
      </w:tr>
      <w:tr>
        <w:trPr>
          <w:cantSplit/>
        </w:trPr>
        <w:tc>
          <w:tcPr>
            <w:tcW w:type="dxa" w:w="3168"/>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7"/>
              </w:rPr>
              <w:t>CTA should not decide</w:t>
            </w:r>
          </w:p>
        </w:tc>
        <w:tc>
          <w:tcPr>
            <w:tcW w:type="dxa" w:w="6624"/>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7"/>
              </w:rPr>
              <w:t>Licensing eligibility, application status, accommodation approval, official exam scheduling, official passing standards, or whether a board will accept a specific document.</w:t>
            </w:r>
          </w:p>
        </w:tc>
      </w:tr>
      <w:tr>
        <w:trPr>
          <w:cantSplit/>
        </w:trPr>
        <w:tc>
          <w:tcPr>
            <w:tcW w:type="dxa" w:w="3168"/>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7"/>
              </w:rPr>
              <w:t>CTA does not provide through support</w:t>
            </w:r>
          </w:p>
        </w:tc>
        <w:tc>
          <w:tcPr>
            <w:tcW w:type="dxa" w:w="6624"/>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7"/>
              </w:rPr>
              <w:t>Individualized psychotherapy, crisis intervention, legal advice, supervision, clinical consultation on active clients, or a personalized licensing determination.</w:t>
            </w:r>
          </w:p>
        </w:tc>
      </w:tr>
      <w:tr>
        <w:trPr>
          <w:cantSplit/>
        </w:trPr>
        <w:tc>
          <w:tcPr>
            <w:tcW w:type="dxa" w:w="3168"/>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7"/>
              </w:rPr>
              <w:t>Use official sources for</w:t>
            </w:r>
          </w:p>
        </w:tc>
        <w:tc>
          <w:tcPr>
            <w:tcW w:type="dxa" w:w="6624"/>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7"/>
              </w:rPr>
              <w:t>Current exam policies, candidate handbooks, board requirements, fees, identification rules, accommodations, scheduling, and application questions.</w:t>
            </w:r>
          </w:p>
        </w:tc>
      </w:tr>
    </w:tbl>
    <w:p>
      <w:pPr>
        <w:pStyle w:val="Heading2"/>
        <w:keepNext/>
      </w:pPr>
      <w:r>
        <w:t>Urgent Safety or Mental-Health Needs</w:t>
      </w:r>
    </w:p>
    <w:tbl>
      <w:tblPr>
        <w:tblW w:type="auto" w:w="0"/>
        <w:jc w:val="center"/>
        <w:tblLook w:firstColumn="1" w:firstRow="1" w:lastColumn="0" w:lastRow="0" w:noHBand="0" w:noVBand="1" w:val="04A0"/>
      </w:tblPr>
      <w:tblGrid>
        <w:gridCol w:w="10454"/>
      </w:tblGrid>
      <w:tr>
        <w:trPr>
          <w:tblHeader w:val="true"/>
          <w:cantSplit/>
        </w:trPr>
        <w:tc>
          <w:tcPr>
            <w:tcW w:type="dxa" w:w="10454"/>
            <w:shd w:fill="FBE8E8"/>
            <w:tcBorders>
              <w:top w:val="single" w:sz="8" w:color="A23B3B"/>
              <w:left w:val="single" w:sz="8" w:color="A23B3B"/>
              <w:bottom w:val="single" w:sz="8" w:color="A23B3B"/>
              <w:right w:val="single" w:sz="8" w:color="A23B3B"/>
            </w:tcBorders>
            <w:tcMar>
              <w:top w:w="95" w:type="dxa"/>
              <w:start w:w="120" w:type="dxa"/>
              <w:bottom w:w="95" w:type="dxa"/>
              <w:end w:w="120" w:type="dxa"/>
            </w:tcMar>
          </w:tcPr>
          <w:p>
            <w:pPr>
              <w:spacing w:after="0"/>
            </w:pPr>
            <w:r>
              <w:rPr>
                <w:b/>
                <w:color w:val="17365D"/>
              </w:rPr>
              <w:t xml:space="preserve">This is an exam-preparation program—not emergency support.  </w:t>
            </w:r>
            <w:r>
              <w:rPr>
                <w:color w:val="24313D"/>
              </w:rPr>
              <w:t>For immediate danger or a mental-health crisis, use local emergency or crisis resources. Do not wait for a course-support response.</w:t>
            </w:r>
          </w:p>
        </w:tc>
      </w:tr>
    </w:tbl>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Where should I ask a licensing or examination-policy question?</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Use the current official licensing board, examination vendor, candidate handbook, or accommodation process for your LMFT clinical licensing examination. Course materials may point you toward official resources but cannot replace them.</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Can CTA interpret my personal legal or ethical situation?</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The program teaches general exam reasoning. It cannot provide legal advice or make a professional decision for an active case. Use applicable law, workplace policy, qualified supervision, consultation, legal counsel, or other authorized resources as appropriate.</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Can CTA tell me whether I am guaranteed ready?</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No. CTA can help you organize evidence from your study and simulations. The final decision to schedule or sit for an exam remains yours, subject to official eligibility and scheduling requirements.</w:t>
            </w:r>
          </w:p>
        </w:tc>
      </w:tr>
    </w:tbl>
    <w:p>
      <w:pPr>
        <w:spacing w:after="0"/>
      </w:pPr>
    </w:p>
    <w:p>
      <w:r>
        <w:br w:type="page"/>
      </w:r>
    </w:p>
    <w:p>
      <w:pPr>
        <w:pStyle w:val="Heading1"/>
        <w:keepNext/>
      </w:pPr>
      <w:r>
        <w:t>Find the Right Workbook or Resource</w:t>
      </w:r>
    </w:p>
    <w:tbl>
      <w:tblPr>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864"/>
            <w:shd w:fill="17365D"/>
            <w:tcBorders>
              <w:top w:val="single" w:sz="4" w:color="FFFFFF"/>
              <w:left w:val="single" w:sz="4" w:color="FFFFFF"/>
              <w:bottom w:val="single" w:sz="4" w:color="FFFFFF"/>
              <w:right w:val="single" w:sz="4" w:color="FFFFFF"/>
            </w:tcBorders>
            <w:tcMar>
              <w:top w:w="55" w:type="dxa"/>
              <w:start w:w="50" w:type="dxa"/>
              <w:bottom w:w="55" w:type="dxa"/>
              <w:end w:w="50" w:type="dxa"/>
            </w:tcMar>
            <w:vAlign w:val="center"/>
          </w:tcPr>
          <w:p>
            <w:pPr>
              <w:spacing w:after="0"/>
              <w:jc w:val="center"/>
            </w:pPr>
            <w:r>
              <w:rPr>
                <w:b/>
                <w:color w:val="FFFFFF"/>
                <w:sz w:val="15"/>
              </w:rPr>
              <w:t>Workbook</w:t>
            </w:r>
          </w:p>
        </w:tc>
        <w:tc>
          <w:tcPr>
            <w:tcW w:type="dxa" w:w="3960"/>
            <w:shd w:fill="17365D"/>
            <w:tcBorders>
              <w:top w:val="single" w:sz="4" w:color="FFFFFF"/>
              <w:left w:val="single" w:sz="4" w:color="FFFFFF"/>
              <w:bottom w:val="single" w:sz="4" w:color="FFFFFF"/>
              <w:right w:val="single" w:sz="4" w:color="FFFFFF"/>
            </w:tcBorders>
            <w:tcMar>
              <w:top w:w="55" w:type="dxa"/>
              <w:start w:w="50" w:type="dxa"/>
              <w:bottom w:w="55" w:type="dxa"/>
              <w:end w:w="50" w:type="dxa"/>
            </w:tcMar>
            <w:vAlign w:val="center"/>
          </w:tcPr>
          <w:p>
            <w:pPr>
              <w:spacing w:after="0"/>
              <w:jc w:val="center"/>
            </w:pPr>
            <w:r>
              <w:rPr>
                <w:b/>
                <w:color w:val="FFFFFF"/>
                <w:sz w:val="15"/>
              </w:rPr>
              <w:t>Title</w:t>
            </w:r>
          </w:p>
        </w:tc>
        <w:tc>
          <w:tcPr>
            <w:tcW w:type="dxa" w:w="4968"/>
            <w:shd w:fill="17365D"/>
            <w:tcBorders>
              <w:top w:val="single" w:sz="4" w:color="FFFFFF"/>
              <w:left w:val="single" w:sz="4" w:color="FFFFFF"/>
              <w:bottom w:val="single" w:sz="4" w:color="FFFFFF"/>
              <w:right w:val="single" w:sz="4" w:color="FFFFFF"/>
            </w:tcBorders>
            <w:tcMar>
              <w:top w:w="55" w:type="dxa"/>
              <w:start w:w="50" w:type="dxa"/>
              <w:bottom w:w="55" w:type="dxa"/>
              <w:end w:w="50" w:type="dxa"/>
            </w:tcMar>
            <w:vAlign w:val="center"/>
          </w:tcPr>
          <w:p>
            <w:pPr>
              <w:spacing w:after="0"/>
              <w:jc w:val="center"/>
            </w:pPr>
            <w:r>
              <w:rPr>
                <w:b/>
                <w:color w:val="FFFFFF"/>
                <w:sz w:val="15"/>
              </w:rPr>
              <w:t>Use This When You Need Review Of…</w:t>
            </w:r>
          </w:p>
        </w:tc>
      </w:tr>
      <w:tr>
        <w:trPr>
          <w:cantSplit/>
        </w:trPr>
        <w:tc>
          <w:tcPr>
            <w:tcW w:type="dxa" w:w="864"/>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5"/>
              </w:rPr>
              <w:t>WB1</w:t>
            </w:r>
          </w:p>
        </w:tc>
        <w:tc>
          <w:tcPr>
            <w:tcW w:type="dxa" w:w="3960"/>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Exam Strategy and Clinical Reasoning</w:t>
            </w:r>
          </w:p>
        </w:tc>
        <w:tc>
          <w:tcPr>
            <w:tcW w:type="dxa" w:w="4968"/>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Use for task words, timing, sequencing, and distractor elimination.</w:t>
            </w:r>
          </w:p>
        </w:tc>
      </w:tr>
      <w:tr>
        <w:trPr>
          <w:cantSplit/>
        </w:trPr>
        <w:tc>
          <w:tcPr>
            <w:tcW w:type="dxa" w:w="864"/>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5"/>
              </w:rPr>
              <w:t>WB2</w:t>
            </w:r>
          </w:p>
        </w:tc>
        <w:tc>
          <w:tcPr>
            <w:tcW w:type="dxa" w:w="3960"/>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Clinical Engagement, Intake, and Mental Status Assessment</w:t>
            </w:r>
          </w:p>
        </w:tc>
        <w:tc>
          <w:tcPr>
            <w:tcW w:type="dxa" w:w="4968"/>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Use for engagement, intake, MSE, and early clinical decisions.</w:t>
            </w:r>
          </w:p>
        </w:tc>
      </w:tr>
      <w:tr>
        <w:trPr>
          <w:cantSplit/>
        </w:trPr>
        <w:tc>
          <w:tcPr>
            <w:tcW w:type="dxa" w:w="864"/>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5"/>
              </w:rPr>
              <w:t>WB3</w:t>
            </w:r>
          </w:p>
        </w:tc>
        <w:tc>
          <w:tcPr>
            <w:tcW w:type="dxa" w:w="3960"/>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Developmental, Psychosocial, and Diversity Assessment</w:t>
            </w:r>
          </w:p>
        </w:tc>
        <w:tc>
          <w:tcPr>
            <w:tcW w:type="dxa" w:w="4968"/>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Use for development, culture, identity, context, and client meaning.</w:t>
            </w:r>
          </w:p>
        </w:tc>
      </w:tr>
      <w:tr>
        <w:trPr>
          <w:cantSplit/>
        </w:trPr>
        <w:tc>
          <w:tcPr>
            <w:tcW w:type="dxa" w:w="864"/>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5"/>
              </w:rPr>
              <w:t>WB4</w:t>
            </w:r>
          </w:p>
        </w:tc>
        <w:tc>
          <w:tcPr>
            <w:tcW w:type="dxa" w:w="3960"/>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Relational, Family-System, Trauma, and Strengths Assessment</w:t>
            </w:r>
          </w:p>
        </w:tc>
        <w:tc>
          <w:tcPr>
            <w:tcW w:type="dxa" w:w="4968"/>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Use for patterns, reciprocity, trauma, strengths, and treatment unit.</w:t>
            </w:r>
          </w:p>
        </w:tc>
      </w:tr>
      <w:tr>
        <w:trPr>
          <w:cantSplit/>
        </w:trPr>
        <w:tc>
          <w:tcPr>
            <w:tcW w:type="dxa" w:w="864"/>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5"/>
              </w:rPr>
              <w:t>WB5</w:t>
            </w:r>
          </w:p>
        </w:tc>
        <w:tc>
          <w:tcPr>
            <w:tcW w:type="dxa" w:w="3960"/>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Diagnosis and Differential Diagnosis</w:t>
            </w:r>
          </w:p>
        </w:tc>
        <w:tc>
          <w:tcPr>
            <w:tcW w:type="dxa" w:w="4968"/>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Use for diagnostic pattern, duration, impairment, exclusions, and alternatives.</w:t>
            </w:r>
          </w:p>
        </w:tc>
      </w:tr>
      <w:tr>
        <w:trPr>
          <w:cantSplit/>
        </w:trPr>
        <w:tc>
          <w:tcPr>
            <w:tcW w:type="dxa" w:w="864"/>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5"/>
              </w:rPr>
              <w:t>WB6</w:t>
            </w:r>
          </w:p>
        </w:tc>
        <w:tc>
          <w:tcPr>
            <w:tcW w:type="dxa" w:w="3960"/>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Crisis, Abuse, and Safety</w:t>
            </w:r>
          </w:p>
        </w:tc>
        <w:tc>
          <w:tcPr>
            <w:tcW w:type="dxa" w:w="4968"/>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Use for danger, reporting duties, stabilization, and level of care.</w:t>
            </w:r>
          </w:p>
        </w:tc>
      </w:tr>
      <w:tr>
        <w:trPr>
          <w:cantSplit/>
        </w:trPr>
        <w:tc>
          <w:tcPr>
            <w:tcW w:type="dxa" w:w="864"/>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5"/>
              </w:rPr>
              <w:t>WB7</w:t>
            </w:r>
          </w:p>
        </w:tc>
        <w:tc>
          <w:tcPr>
            <w:tcW w:type="dxa" w:w="3960"/>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Planning, Progress, and Termination</w:t>
            </w:r>
          </w:p>
        </w:tc>
        <w:tc>
          <w:tcPr>
            <w:tcW w:type="dxa" w:w="4968"/>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Use for goals, interventions, monitoring, review, and termination.</w:t>
            </w:r>
          </w:p>
        </w:tc>
      </w:tr>
      <w:tr>
        <w:trPr>
          <w:cantSplit/>
        </w:trPr>
        <w:tc>
          <w:tcPr>
            <w:tcW w:type="dxa" w:w="864"/>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5"/>
              </w:rPr>
              <w:t>WB8</w:t>
            </w:r>
          </w:p>
        </w:tc>
        <w:tc>
          <w:tcPr>
            <w:tcW w:type="dxa" w:w="3960"/>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Family, Couple, Attachment, and Relational Interventions</w:t>
            </w:r>
          </w:p>
        </w:tc>
        <w:tc>
          <w:tcPr>
            <w:tcW w:type="dxa" w:w="4968"/>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Use for modality choice, readiness, attachment, and relational techniques.</w:t>
            </w:r>
          </w:p>
        </w:tc>
      </w:tr>
      <w:tr>
        <w:trPr>
          <w:cantSplit/>
        </w:trPr>
        <w:tc>
          <w:tcPr>
            <w:tcW w:type="dxa" w:w="864"/>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5"/>
              </w:rPr>
              <w:t>WB9</w:t>
            </w:r>
          </w:p>
        </w:tc>
        <w:tc>
          <w:tcPr>
            <w:tcW w:type="dxa" w:w="3960"/>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Trauma, Psychological, Behavioral, and Recovery Interventions</w:t>
            </w:r>
          </w:p>
        </w:tc>
        <w:tc>
          <w:tcPr>
            <w:tcW w:type="dxa" w:w="4968"/>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Use for stabilization, mechanism fit, evidence-informed care, and recovery.</w:t>
            </w:r>
          </w:p>
        </w:tc>
      </w:tr>
      <w:tr>
        <w:trPr>
          <w:cantSplit/>
        </w:trPr>
        <w:tc>
          <w:tcPr>
            <w:tcW w:type="dxa" w:w="864"/>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5"/>
              </w:rPr>
              <w:t>WB10</w:t>
            </w:r>
          </w:p>
        </w:tc>
        <w:tc>
          <w:tcPr>
            <w:tcW w:type="dxa" w:w="3960"/>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Developmental, Cultural, and Contextual Interventions</w:t>
            </w:r>
          </w:p>
        </w:tc>
        <w:tc>
          <w:tcPr>
            <w:tcW w:type="dxa" w:w="4968"/>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Use for adaptation, access, culture, development, and context.</w:t>
            </w:r>
          </w:p>
        </w:tc>
      </w:tr>
      <w:tr>
        <w:trPr>
          <w:cantSplit/>
        </w:trPr>
        <w:tc>
          <w:tcPr>
            <w:tcW w:type="dxa" w:w="864"/>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5"/>
              </w:rPr>
              <w:t>WB11</w:t>
            </w:r>
          </w:p>
        </w:tc>
        <w:tc>
          <w:tcPr>
            <w:tcW w:type="dxa" w:w="3960"/>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Theory, Groups, Referral, and Interdisciplinary Collaboration</w:t>
            </w:r>
          </w:p>
        </w:tc>
        <w:tc>
          <w:tcPr>
            <w:tcW w:type="dxa" w:w="4968"/>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Use for theory fit, group work, referral, consultation, and collaboration.</w:t>
            </w:r>
          </w:p>
        </w:tc>
      </w:tr>
      <w:tr>
        <w:trPr>
          <w:cantSplit/>
        </w:trPr>
        <w:tc>
          <w:tcPr>
            <w:tcW w:type="dxa" w:w="864"/>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5"/>
              </w:rPr>
              <w:t>WB12</w:t>
            </w:r>
          </w:p>
        </w:tc>
        <w:tc>
          <w:tcPr>
            <w:tcW w:type="dxa" w:w="3960"/>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California Legal, Ethical, and Professional Practice</w:t>
            </w:r>
          </w:p>
        </w:tc>
        <w:tc>
          <w:tcPr>
            <w:tcW w:type="dxa" w:w="4968"/>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Use for role, authority, privacy, consent, competence, and documentation.</w:t>
            </w:r>
          </w:p>
        </w:tc>
      </w:tr>
    </w:tbl>
    <w:p>
      <w:pPr>
        <w:pStyle w:val="Heading2"/>
        <w:keepNext/>
      </w:pPr>
      <w:r>
        <w:t>Use the Enhancement Resources for a Specific Purpose</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3024"/>
            <w:shd w:fill="1F7A8C"/>
            <w:tcBorders>
              <w:top w:val="single" w:sz="4" w:color="FFFFFF"/>
              <w:left w:val="single" w:sz="4" w:color="FFFFFF"/>
              <w:bottom w:val="single" w:sz="4" w:color="FFFFFF"/>
              <w:right w:val="single" w:sz="4" w:color="FFFFFF"/>
            </w:tcBorders>
            <w:tcMar>
              <w:top w:w="55" w:type="dxa"/>
              <w:start w:w="50" w:type="dxa"/>
              <w:bottom w:w="55" w:type="dxa"/>
              <w:end w:w="50" w:type="dxa"/>
            </w:tcMar>
            <w:vAlign w:val="center"/>
          </w:tcPr>
          <w:p>
            <w:pPr>
              <w:spacing w:after="0"/>
              <w:jc w:val="center"/>
            </w:pPr>
            <w:r>
              <w:rPr>
                <w:b/>
                <w:color w:val="FFFFFF"/>
                <w:sz w:val="16"/>
              </w:rPr>
              <w:t>Resource</w:t>
            </w:r>
          </w:p>
        </w:tc>
        <w:tc>
          <w:tcPr>
            <w:tcW w:type="dxa" w:w="6768"/>
            <w:shd w:fill="1F7A8C"/>
            <w:tcBorders>
              <w:top w:val="single" w:sz="4" w:color="FFFFFF"/>
              <w:left w:val="single" w:sz="4" w:color="FFFFFF"/>
              <w:bottom w:val="single" w:sz="4" w:color="FFFFFF"/>
              <w:right w:val="single" w:sz="4" w:color="FFFFFF"/>
            </w:tcBorders>
            <w:tcMar>
              <w:top w:w="55" w:type="dxa"/>
              <w:start w:w="50" w:type="dxa"/>
              <w:bottom w:w="55" w:type="dxa"/>
              <w:end w:w="50" w:type="dxa"/>
            </w:tcMar>
            <w:vAlign w:val="center"/>
          </w:tcPr>
          <w:p>
            <w:pPr>
              <w:spacing w:after="0"/>
              <w:jc w:val="center"/>
            </w:pPr>
            <w:r>
              <w:rPr>
                <w:b/>
                <w:color w:val="FFFFFF"/>
                <w:sz w:val="16"/>
              </w:rPr>
              <w:t>Best Use</w:t>
            </w:r>
          </w:p>
        </w:tc>
      </w:tr>
      <w:tr>
        <w:trPr>
          <w:cantSplit/>
        </w:trPr>
        <w:tc>
          <w:tcPr>
            <w:tcW w:type="dxa" w:w="3024"/>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6"/>
              </w:rPr>
              <w:t>Quick-reference collection</w:t>
            </w:r>
          </w:p>
        </w:tc>
        <w:tc>
          <w:tcPr>
            <w:tcW w:type="dxa" w:w="6768"/>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6"/>
              </w:rPr>
              <w:t>Fast retrieval of decision rules after you have learned the full topic.</w:t>
            </w:r>
          </w:p>
        </w:tc>
      </w:tr>
      <w:tr>
        <w:trPr>
          <w:cantSplit/>
        </w:trPr>
        <w:tc>
          <w:tcPr>
            <w:tcW w:type="dxa" w:w="3024"/>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6"/>
              </w:rPr>
              <w:t>Flashcard collection</w:t>
            </w:r>
          </w:p>
        </w:tc>
        <w:tc>
          <w:tcPr>
            <w:tcW w:type="dxa" w:w="6768"/>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6"/>
              </w:rPr>
              <w:t>Spaced recall of high-yield distinctions, sequences, and exam traps.</w:t>
            </w:r>
          </w:p>
        </w:tc>
      </w:tr>
      <w:tr>
        <w:trPr>
          <w:cantSplit/>
        </w:trPr>
        <w:tc>
          <w:tcPr>
            <w:tcW w:type="dxa" w:w="3024"/>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6"/>
              </w:rPr>
              <w:t>Audio-review collection</w:t>
            </w:r>
          </w:p>
        </w:tc>
        <w:tc>
          <w:tcPr>
            <w:tcW w:type="dxa" w:w="6768"/>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6"/>
              </w:rPr>
              <w:t>Screen-free retrieval practice and verbal self-testing.</w:t>
            </w:r>
          </w:p>
        </w:tc>
      </w:tr>
      <w:tr>
        <w:trPr>
          <w:cantSplit/>
        </w:trPr>
        <w:tc>
          <w:tcPr>
            <w:tcW w:type="dxa" w:w="3024"/>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6"/>
              </w:rPr>
              <w:t>Readiness tracker</w:t>
            </w:r>
          </w:p>
        </w:tc>
        <w:tc>
          <w:tcPr>
            <w:tcW w:type="dxa" w:w="6768"/>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6"/>
              </w:rPr>
              <w:t>Evidence-based progress, remediation planning, and simulation gates.</w:t>
            </w:r>
          </w:p>
        </w:tc>
      </w:tr>
      <w:tr>
        <w:trPr>
          <w:cantSplit/>
        </w:trPr>
        <w:tc>
          <w:tcPr>
            <w:tcW w:type="dxa" w:w="3024"/>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6"/>
              </w:rPr>
              <w:t>Student roadmap</w:t>
            </w:r>
          </w:p>
        </w:tc>
        <w:tc>
          <w:tcPr>
            <w:tcW w:type="dxa" w:w="6768"/>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6"/>
              </w:rPr>
              <w:t>Pace selection and week-by-week sequencing.</w:t>
            </w:r>
          </w:p>
        </w:tc>
      </w:tr>
      <w:tr>
        <w:trPr>
          <w:cantSplit/>
        </w:trPr>
        <w:tc>
          <w:tcPr>
            <w:tcW w:type="dxa" w:w="3024"/>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6"/>
              </w:rPr>
              <w:t>FAQ and support guide</w:t>
            </w:r>
          </w:p>
        </w:tc>
        <w:tc>
          <w:tcPr>
            <w:tcW w:type="dxa" w:w="6768"/>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6"/>
              </w:rPr>
              <w:t>Navigation, release rules, troubleshooting, and support boundaries.</w:t>
            </w:r>
          </w:p>
        </w:tc>
      </w:tr>
    </w:tbl>
    <w:p>
      <w:r>
        <w:br w:type="page"/>
      </w:r>
    </w:p>
    <w:p>
      <w:pPr>
        <w:pStyle w:val="Heading1"/>
        <w:keepNext/>
      </w:pPr>
      <w:r>
        <w:t>Support Request Preparation Page</w:t>
      </w:r>
    </w:p>
    <w:tbl>
      <w:tblPr>
        <w:tblW w:type="auto" w:w="0"/>
        <w:jc w:val="center"/>
        <w:tblLook w:firstColumn="1" w:firstRow="1" w:lastColumn="0" w:lastRow="0" w:noHBand="0" w:noVBand="1" w:val="04A0"/>
      </w:tblPr>
      <w:tblGrid>
        <w:gridCol w:w="10454"/>
      </w:tblGrid>
      <w:tr>
        <w:trPr>
          <w:tblHeader w:val="true"/>
          <w:cantSplit/>
        </w:trPr>
        <w:tc>
          <w:tcPr>
            <w:tcW w:type="dxa" w:w="10454"/>
            <w:shd w:fill="DDEFF2"/>
            <w:tcBorders>
              <w:top w:val="single" w:sz="8" w:color="1F7A8C"/>
              <w:left w:val="single" w:sz="8" w:color="1F7A8C"/>
              <w:bottom w:val="single" w:sz="8" w:color="1F7A8C"/>
              <w:right w:val="single" w:sz="8" w:color="1F7A8C"/>
            </w:tcBorders>
            <w:tcMar>
              <w:top w:w="95" w:type="dxa"/>
              <w:start w:w="120" w:type="dxa"/>
              <w:bottom w:w="95" w:type="dxa"/>
              <w:end w:w="120" w:type="dxa"/>
            </w:tcMar>
          </w:tcPr>
          <w:p>
            <w:pPr>
              <w:spacing w:after="0"/>
            </w:pPr>
            <w:r>
              <w:rPr>
                <w:b/>
                <w:color w:val="17365D"/>
              </w:rPr>
              <w:t xml:space="preserve">Use the CTA website support form or support contact listed in your course portal.  </w:t>
            </w:r>
            <w:r>
              <w:rPr>
                <w:color w:val="24313D"/>
              </w:rPr>
              <w:t>Do not include confidential client information, protected health information, passwords, full payment information, or unnecessary personal data in a support request.</w:t>
            </w:r>
          </w:p>
        </w:tc>
      </w:tr>
    </w:tbl>
    <w:p>
      <w:pPr>
        <w:pStyle w:val="Heading2"/>
        <w:keepNext/>
      </w:pPr>
      <w:r>
        <w:t>Before You Send the Request</w:t>
      </w:r>
    </w:p>
    <w:p>
      <w:pPr>
        <w:spacing w:after="60"/>
      </w:pPr>
      <w:r>
        <w:rPr>
          <w:sz w:val="18"/>
        </w:rPr>
        <w:t>☐ I confirmed that I am in the correct LMFT course area.</w:t>
      </w:r>
    </w:p>
    <w:p>
      <w:pPr>
        <w:spacing w:after="60"/>
      </w:pPr>
      <w:r>
        <w:rPr>
          <w:sz w:val="18"/>
        </w:rPr>
        <w:t>☐ I tried refreshing, signing out and back in, or downloading the file again when appropriate.</w:t>
      </w:r>
    </w:p>
    <w:p>
      <w:pPr>
        <w:spacing w:after="60"/>
      </w:pPr>
      <w:r>
        <w:rPr>
          <w:sz w:val="18"/>
        </w:rPr>
        <w:t>☐ I recorded the exact resource title and workbook or form number.</w:t>
      </w:r>
    </w:p>
    <w:p>
      <w:pPr>
        <w:spacing w:after="60"/>
      </w:pPr>
      <w:r>
        <w:rPr>
          <w:sz w:val="18"/>
        </w:rPr>
        <w:t>☐ I recorded my device, operating system, browser or application, and the exact error message.</w:t>
      </w:r>
    </w:p>
    <w:p>
      <w:pPr>
        <w:spacing w:after="60"/>
      </w:pPr>
      <w:r>
        <w:rPr>
          <w:sz w:val="18"/>
        </w:rPr>
        <w:t>☐ I took a screenshot that does not include confidential information, when useful.</w:t>
      </w:r>
    </w:p>
    <w:p>
      <w:pPr>
        <w:spacing w:after="60"/>
      </w:pPr>
      <w:r>
        <w:rPr>
          <w:sz w:val="18"/>
        </w:rPr>
        <w:t>☐ I explained what I expected, what happened, and whether the problem can be repeated.</w:t>
      </w:r>
    </w:p>
    <w:p>
      <w:pPr>
        <w:pStyle w:val="Heading2"/>
        <w:keepNext/>
      </w:pPr>
      <w:r>
        <w:t>Support Request Notes</w:t>
      </w:r>
    </w:p>
    <w:p>
      <w:pPr>
        <w:spacing w:after="100"/>
      </w:pPr>
      <w:r>
        <w:rPr>
          <w:sz w:val="18"/>
        </w:rPr>
        <w:t>Course area / page: ________________________________________________________________</w:t>
      </w:r>
    </w:p>
    <w:p>
      <w:pPr>
        <w:spacing w:after="100"/>
      </w:pPr>
      <w:r>
        <w:rPr>
          <w:sz w:val="18"/>
        </w:rPr>
        <w:t>Resource or filename: ______________________________________________________________</w:t>
      </w:r>
    </w:p>
    <w:p>
      <w:pPr>
        <w:spacing w:after="100"/>
      </w:pPr>
      <w:r>
        <w:rPr>
          <w:sz w:val="18"/>
        </w:rPr>
        <w:t>Workbook, bank, or form number: ___________________________________________________</w:t>
      </w:r>
    </w:p>
    <w:p>
      <w:pPr>
        <w:spacing w:after="100"/>
      </w:pPr>
      <w:r>
        <w:rPr>
          <w:sz w:val="18"/>
        </w:rPr>
        <w:t>Device and operating system: _______________________________________________________</w:t>
      </w:r>
    </w:p>
    <w:p>
      <w:pPr>
        <w:spacing w:after="100"/>
      </w:pPr>
      <w:r>
        <w:rPr>
          <w:sz w:val="18"/>
        </w:rPr>
        <w:t>Browser or application: ____________________________________________________________</w:t>
      </w:r>
    </w:p>
    <w:p>
      <w:pPr>
        <w:spacing w:after="100"/>
      </w:pPr>
      <w:r>
        <w:rPr>
          <w:sz w:val="18"/>
        </w:rPr>
        <w:t>Exact error message: _______________________________________________________________</w:t>
      </w:r>
    </w:p>
    <w:p>
      <w:pPr>
        <w:spacing w:after="100"/>
      </w:pPr>
      <w:r>
        <w:rPr>
          <w:sz w:val="18"/>
        </w:rPr>
        <w:t>What I expected to happen: _________________________________________________________</w:t>
      </w:r>
    </w:p>
    <w:p>
      <w:pPr>
        <w:spacing w:after="100"/>
      </w:pPr>
      <w:r>
        <w:rPr>
          <w:sz w:val="18"/>
        </w:rPr>
        <w:t>What actually happened: ____________________________________________________________</w:t>
      </w:r>
    </w:p>
    <w:p>
      <w:pPr>
        <w:spacing w:after="100"/>
      </w:pPr>
      <w:r>
        <w:rPr>
          <w:sz w:val="18"/>
        </w:rPr>
        <w:t>Steps already tried: _______________________________________________________________</w:t>
      </w:r>
    </w:p>
    <w:p>
      <w:pPr>
        <w:pStyle w:val="Heading2"/>
        <w:keepNext/>
      </w:pPr>
      <w:r>
        <w:t>Final Reminder</w:t>
      </w:r>
    </w:p>
    <w:tbl>
      <w:tblPr>
        <w:tblW w:type="auto" w:w="0"/>
        <w:jc w:val="center"/>
        <w:tblLook w:firstColumn="1" w:firstRow="1" w:lastColumn="0" w:lastRow="0" w:noHBand="0" w:noVBand="1" w:val="04A0"/>
      </w:tblPr>
      <w:tblGrid>
        <w:gridCol w:w="10454"/>
      </w:tblGrid>
      <w:tr>
        <w:trPr>
          <w:tblHeader w:val="true"/>
          <w:cantSplit/>
        </w:trPr>
        <w:tc>
          <w:tcPr>
            <w:tcW w:type="dxa" w:w="10454"/>
            <w:shd w:fill="E8F4EA"/>
            <w:tcBorders>
              <w:top w:val="single" w:sz="8" w:color="2F6B4F"/>
              <w:left w:val="single" w:sz="8" w:color="2F6B4F"/>
              <w:bottom w:val="single" w:sz="8" w:color="2F6B4F"/>
              <w:right w:val="single" w:sz="8" w:color="2F6B4F"/>
            </w:tcBorders>
            <w:tcMar>
              <w:top w:w="95" w:type="dxa"/>
              <w:start w:w="120" w:type="dxa"/>
              <w:bottom w:w="95" w:type="dxa"/>
              <w:end w:w="120" w:type="dxa"/>
            </w:tcMar>
          </w:tcPr>
          <w:p>
            <w:pPr>
              <w:spacing w:after="0"/>
            </w:pPr>
            <w:r>
              <w:rPr>
                <w:b/>
                <w:color w:val="17365D"/>
              </w:rPr>
              <w:t xml:space="preserve">Study support and technical support are different.  </w:t>
            </w:r>
            <w:r>
              <w:rPr>
                <w:color w:val="24313D"/>
              </w:rPr>
              <w:t>Use the program resources for exam reasoning and study direction. Use the course support channel for access and technical problems. Use official sources for licensing and exam-policy decisions.</w:t>
            </w:r>
          </w:p>
        </w:tc>
      </w:tr>
    </w:tbl>
    <w:sectPr w:rsidR="00FC693F" w:rsidRPr="0006063C" w:rsidSect="00034616">
      <w:headerReference w:type="default" r:id="rId9"/>
      <w:footerReference w:type="default" r:id="rId10"/>
      <w:pgSz w:w="12240" w:h="15840"/>
      <w:pgMar w:top="792" w:right="893" w:bottom="792" w:left="893" w:header="288"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8737D"/>
        <w:sz w:val="16"/>
      </w:rPr>
      <w:t xml:space="preserve">Clinical Training Academy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TAHeader"/>
      <w:jc w:val="right"/>
    </w:pPr>
    <w:r>
      <w:t>CLINICAL TRAINING ACADEMY  •  LMFT STUDENT FAQ &amp;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6" w:line="245" w:lineRule="auto"/>
    </w:pPr>
    <w:rPr>
      <w:rFonts w:ascii="Arial" w:hAnsi="Arial"/>
      <w:color w:val="2431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rial" w:hAnsi="Arial"/>
      <w:b/>
      <w:bCs/>
      <w:color w:val="1F7A8C"/>
      <w:sz w:val="25"/>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00"/>
      <w:contextualSpacing/>
    </w:pPr>
    <w:rPr>
      <w:rFonts w:asciiTheme="majorHAnsi" w:eastAsiaTheme="majorEastAsia" w:hAnsiTheme="majorHAnsi" w:cstheme="majorBidi" w:ascii="Arial" w:hAnsi="Arial"/>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00" w:after="80"/>
    </w:pPr>
    <w:rPr>
      <w:rFonts w:asciiTheme="majorHAnsi" w:eastAsiaTheme="majorEastAsia" w:hAnsiTheme="majorHAnsi" w:cstheme="majorBidi" w:ascii="Arial" w:hAnsi="Arial"/>
      <w:b/>
      <w:i/>
      <w:iCs/>
      <w:color w:val="1F7A8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Header">
    <w:name w:val="CTA Header"/>
    <w:rPr>
      <w:rFonts w:ascii="Arial" w:hAnsi="Arial"/>
      <w:b/>
      <w:color w:val="1F7A8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Student FAQ and Self-Service Support Guide</dc:title>
  <dc:subject>Clinical Training Academy student support and course-use guide</dc:subject>
  <dc:creator>Clinical Training Academy</dc:creator>
  <cp:keywords>CTA, LMFT, FAQ, support, exam preparation</cp:keywords>
  <dc:description>generated by python-docx</dc:description>
  <cp:lastModifiedBy/>
  <cp:revision>1</cp:revision>
  <dcterms:created xsi:type="dcterms:W3CDTF">2013-12-23T23:15:00Z</dcterms:created>
  <dcterms:modified xsi:type="dcterms:W3CDTF">2013-12-23T23:15:00Z</dcterms:modified>
  <cp:category/>
</cp:coreProperties>
</file>