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b/>
          <w:color w:val="1F7A8C"/>
          <w:sz w:val="24"/>
        </w:rPr>
        <w:t>CLINICAL TRAINING ACADEMY</w:t>
      </w:r>
    </w:p>
    <w:p>
      <w:pPr>
        <w:spacing w:before="520"/>
        <w:jc w:val="center"/>
      </w:pPr>
      <w:r>
        <w:rPr>
          <w:b/>
          <w:color w:val="17365D"/>
          <w:sz w:val="64"/>
        </w:rPr>
        <w:t>LMFT</w:t>
      </w:r>
    </w:p>
    <w:p>
      <w:pPr>
        <w:jc w:val="center"/>
      </w:pPr>
      <w:r>
        <w:rPr>
          <w:b/>
          <w:color w:val="24313D"/>
          <w:sz w:val="40"/>
        </w:rPr>
        <w:t>READINESS SELF-ASSESSMENT</w:t>
        <w:br/>
        <w:t>AND PROGRESS TRACKER</w:t>
      </w:r>
    </w:p>
    <w:p>
      <w:pPr>
        <w:spacing w:before="160"/>
        <w:jc w:val="center"/>
      </w:pPr>
      <w:r>
        <w:rPr>
          <w:color w:val="1F7A8C"/>
          <w:sz w:val="24"/>
        </w:rPr>
        <w:t>California Clinical Exam Preparation Program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570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5"/>
              </w:rPr>
              <w:t>Measure progress with evidence—not confidence alone.</w:t>
              <w:br/>
              <w:t>Use the tracker to decide what to learn, practice, remediate, and simulate next.</w:t>
            </w:r>
          </w:p>
        </w:tc>
      </w:tr>
    </w:tbl>
    <w:p>
      <w:pPr>
        <w:spacing w:before="200"/>
        <w:jc w:val="center"/>
      </w:pPr>
      <w:r>
        <w:rPr>
          <w:sz w:val="20"/>
        </w:rPr>
        <w:t>Student name: __________________________________________</w:t>
      </w:r>
    </w:p>
    <w:p>
      <w:pPr>
        <w:spacing w:before="80"/>
        <w:jc w:val="center"/>
      </w:pPr>
      <w:r>
        <w:rPr>
          <w:sz w:val="20"/>
        </w:rPr>
        <w:t>Target exam date: ____________________   Study plan:  ☐ 10-week   ☐ 14-week   ☐ 18-week</w:t>
      </w:r>
    </w:p>
    <w:p>
      <w:pPr>
        <w:spacing w:before="80"/>
        <w:jc w:val="center"/>
      </w:pPr>
      <w:r>
        <w:rPr>
          <w:sz w:val="20"/>
        </w:rPr>
        <w:t>Tracker start date: __________________   Most recent update: __________________</w:t>
      </w:r>
    </w:p>
    <w:p>
      <w:pPr>
        <w:spacing w:before="440"/>
        <w:jc w:val="center"/>
      </w:pPr>
      <w:r>
        <w:rPr>
          <w:color w:val="68737D"/>
          <w:sz w:val="18"/>
        </w:rPr>
        <w:t>Version 1.0  •  July 2026  •  Editable and Print-Ready</w:t>
      </w:r>
    </w:p>
    <w:p>
      <w:r>
        <w:br w:type="page"/>
      </w:r>
    </w:p>
    <w:p>
      <w:pPr>
        <w:pStyle w:val="Heading1"/>
        <w:keepNext/>
      </w:pPr>
      <w:r>
        <w:t>How to Use This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FF6DD"/>
            <w:tcBorders>
              <w:top w:val="single" w:sz="8" w:color="D9A441"/>
              <w:left w:val="single" w:sz="8" w:color="D9A441"/>
              <w:bottom w:val="single" w:sz="8" w:color="D9A441"/>
              <w:right w:val="single" w:sz="8" w:color="D9A441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Important:  </w:t>
            </w:r>
            <w:r>
              <w:rPr>
                <w:color w:val="24313D"/>
              </w:rPr>
              <w:t>This resource measures preparation evidence. It does not predict an official licensing-exam result and does not establish a passing score.</w:t>
            </w:r>
          </w:p>
        </w:tc>
      </w:tr>
    </w:tbl>
    <w:p>
      <w:pPr>
        <w:pStyle w:val="Heading2"/>
        <w:keepNext/>
      </w:pPr>
      <w:r>
        <w:t>Use the Learn–Practice–Review–Remediate–Simulate 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  <w:cantSplit/>
        </w:trPr>
        <w:tc>
          <w:tcPr>
            <w:tcW w:type="dxa" w:w="187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792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Completion Evidence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1. Learn</w:t>
            </w:r>
          </w:p>
        </w:tc>
        <w:tc>
          <w:tcPr>
            <w:tcW w:type="dxa" w:w="79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Complete the workbook and companion media. Mark the workbook complete only after the key decision rules make sense.</w:t>
            </w:r>
          </w:p>
        </w:tc>
      </w:tr>
      <w:tr>
        <w:trPr>
          <w:cantSplit/>
        </w:trPr>
        <w:tc>
          <w:tcPr>
            <w:tcW w:type="dxa" w:w="187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2. Practice</w:t>
            </w:r>
          </w:p>
        </w:tc>
        <w:tc>
          <w:tcPr>
            <w:tcW w:type="dxa" w:w="79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Complete the associated 17-question bank before viewing answers or rationales.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3. Review</w:t>
            </w:r>
          </w:p>
        </w:tc>
        <w:tc>
          <w:tcPr>
            <w:tcW w:type="dxa" w:w="79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Study every rationale. Explain why the best answer fits the task, priority, timing, role, and facts.</w:t>
            </w:r>
          </w:p>
        </w:tc>
      </w:tr>
      <w:tr>
        <w:trPr>
          <w:cantSplit/>
        </w:trPr>
        <w:tc>
          <w:tcPr>
            <w:tcW w:type="dxa" w:w="187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4. Remediate</w:t>
            </w:r>
          </w:p>
        </w:tc>
        <w:tc>
          <w:tcPr>
            <w:tcW w:type="dxa" w:w="79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Classify misses, return to the relevant workbook or quick-reference sheet, and complete targeted practice.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5. Simulate</w:t>
            </w:r>
          </w:p>
        </w:tc>
        <w:tc>
          <w:tcPr>
            <w:tcW w:type="dxa" w:w="79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Protect Form A and Form B as controlled readiness assessments. Use each only when the related gate is met.</w:t>
            </w:r>
          </w:p>
        </w:tc>
      </w:tr>
    </w:tbl>
    <w:p>
      <w:pPr>
        <w:pStyle w:val="Heading2"/>
        <w:keepNext/>
      </w:pPr>
      <w:r>
        <w:t>Evidence-Based Rating Key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756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Evidence Standard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1 — Not yet demonstrated</w:t>
            </w:r>
          </w:p>
        </w:tc>
        <w:tc>
          <w:tcPr>
            <w:tcW w:type="dxa" w:w="756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I have not completed enough work to show this skill.</w:t>
            </w:r>
          </w:p>
        </w:tc>
      </w:tr>
      <w:tr>
        <w:trPr>
          <w:cantSplit/>
        </w:trPr>
        <w:tc>
          <w:tcPr>
            <w:tcW w:type="dxa" w:w="22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2 — Developing</w:t>
            </w:r>
          </w:p>
        </w:tc>
        <w:tc>
          <w:tcPr>
            <w:tcW w:type="dxa" w:w="756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I understand parts of the skill but apply it inconsistently.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3 — Progressing</w:t>
            </w:r>
          </w:p>
        </w:tc>
        <w:tc>
          <w:tcPr>
            <w:tcW w:type="dxa" w:w="756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I usually apply the skill and can explain most errors after review.</w:t>
            </w:r>
          </w:p>
        </w:tc>
      </w:tr>
      <w:tr>
        <w:trPr>
          <w:cantSplit/>
        </w:trPr>
        <w:tc>
          <w:tcPr>
            <w:tcW w:type="dxa" w:w="22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7"/>
              </w:rPr>
              <w:t>4 — Consistent</w:t>
            </w:r>
          </w:p>
        </w:tc>
        <w:tc>
          <w:tcPr>
            <w:tcW w:type="dxa" w:w="756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7"/>
              </w:rPr>
              <w:t>I apply the skill independently across unfamiliar scenarios and can explain why distractors are weaker.</w:t>
            </w:r>
          </w:p>
        </w:tc>
      </w:tr>
    </w:tbl>
    <w:p>
      <w:pPr>
        <w:pStyle w:val="Heading2"/>
        <w:keepNext/>
      </w:pPr>
      <w:r>
        <w:t>Readiness Language</w:t>
      </w:r>
    </w:p>
    <w:p>
      <w:r>
        <w:rPr>
          <w:b/>
        </w:rPr>
        <w:t xml:space="preserve">Use these labels instead of treating one score as a guarantee: </w:t>
      </w:r>
      <w:r>
        <w:t>Needs foundation • Developing • Progressing • Ready for Form A • Ready for Form B • Final review complete.</w:t>
      </w:r>
    </w:p>
    <w:p>
      <w:pPr>
        <w:pStyle w:val="Heading2"/>
        <w:keepNext/>
      </w:pPr>
      <w:r>
        <w:t>Update Schedule</w:t>
      </w:r>
    </w:p>
    <w:p>
      <w:pPr>
        <w:spacing w:after="40"/>
      </w:pPr>
      <w:r>
        <w:rPr>
          <w:sz w:val="18"/>
        </w:rPr>
        <w:t>☐ Complete the baseline self-assessment before Workbook 1.</w:t>
      </w:r>
    </w:p>
    <w:p>
      <w:pPr>
        <w:spacing w:after="40"/>
      </w:pPr>
      <w:r>
        <w:rPr>
          <w:sz w:val="18"/>
        </w:rPr>
        <w:t>☐ Update the workbook tracker after every bank and rationale review.</w:t>
      </w:r>
    </w:p>
    <w:p>
      <w:pPr>
        <w:spacing w:after="40"/>
      </w:pPr>
      <w:r>
        <w:rPr>
          <w:sz w:val="18"/>
        </w:rPr>
        <w:t>☐ Repeat the reasoning self-assessment after Workbooks 4, 8, and 12.</w:t>
      </w:r>
    </w:p>
    <w:p>
      <w:pPr>
        <w:spacing w:after="40"/>
      </w:pPr>
      <w:r>
        <w:rPr>
          <w:sz w:val="18"/>
        </w:rPr>
        <w:t>☐ Complete the Form A readiness gate before opening Form A.</w:t>
      </w:r>
    </w:p>
    <w:p>
      <w:pPr>
        <w:spacing w:after="40"/>
      </w:pPr>
      <w:r>
        <w:rPr>
          <w:sz w:val="18"/>
        </w:rPr>
        <w:t>☐ Complete the required remediation plan before opening Form B.</w:t>
      </w:r>
    </w:p>
    <w:p>
      <w:r>
        <w:br w:type="page"/>
      </w:r>
    </w:p>
    <w:p>
      <w:pPr>
        <w:pStyle w:val="Heading1"/>
        <w:keepNext/>
      </w:pPr>
      <w:r>
        <w:t>Baseline Readiness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Rate only what you can support:  </w:t>
            </w:r>
            <w:r>
              <w:rPr>
                <w:color w:val="24313D"/>
              </w:rPr>
              <w:t>Use completed questions, rationales, explanations, or practice work as evidence. A feeling of familiarity is not the same as demonstrated readiness.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237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468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What to Evaluate</w:t>
            </w:r>
          </w:p>
        </w:tc>
        <w:tc>
          <w:tcPr>
            <w:tcW w:type="dxa" w:w="79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1–4</w:t>
            </w:r>
          </w:p>
        </w:tc>
        <w:tc>
          <w:tcPr>
            <w:tcW w:type="dxa" w:w="194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Evidence or Example</w:t>
            </w:r>
          </w:p>
        </w:tc>
      </w:tr>
      <w:tr>
        <w:trPr>
          <w:cantSplit/>
          <w:trHeight w:val="510" w:hRule="atLeast"/>
        </w:trPr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Clinical reasoning and sequencing</w:t>
            </w:r>
          </w:p>
        </w:tc>
        <w:tc>
          <w:tcPr>
            <w:tcW w:type="dxa" w:w="46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Task words, stage of practice, least premature action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510" w:hRule="atLeast"/>
        </w:trPr>
        <w:tc>
          <w:tcPr>
            <w:tcW w:type="dxa" w:w="23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Relational and systemic formulation</w:t>
            </w:r>
          </w:p>
        </w:tc>
        <w:tc>
          <w:tcPr>
            <w:tcW w:type="dxa" w:w="46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Patterns, reciprocity, context, treatment unit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510" w:hRule="atLeast"/>
        </w:trPr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Assessment and mental status</w:t>
            </w:r>
          </w:p>
        </w:tc>
        <w:tc>
          <w:tcPr>
            <w:tcW w:type="dxa" w:w="46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Engagement, MSE, risk, health, collateral, missing data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510" w:hRule="atLeast"/>
        </w:trPr>
        <w:tc>
          <w:tcPr>
            <w:tcW w:type="dxa" w:w="23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Diagnosis and differential diagnosis</w:t>
            </w:r>
          </w:p>
        </w:tc>
        <w:tc>
          <w:tcPr>
            <w:tcW w:type="dxa" w:w="46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Time course, impairment, exclusions, competing explanations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510" w:hRule="atLeast"/>
        </w:trPr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Crisis, abuse, and safety</w:t>
            </w:r>
          </w:p>
        </w:tc>
        <w:tc>
          <w:tcPr>
            <w:tcW w:type="dxa" w:w="46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Immediate danger, duties, stabilization, level of care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510" w:hRule="atLeast"/>
        </w:trPr>
        <w:tc>
          <w:tcPr>
            <w:tcW w:type="dxa" w:w="23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Planning and intervention</w:t>
            </w:r>
          </w:p>
        </w:tc>
        <w:tc>
          <w:tcPr>
            <w:tcW w:type="dxa" w:w="46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Measurable direction, modality fit, response monitoring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510" w:hRule="atLeast"/>
        </w:trPr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Culture, development, and access</w:t>
            </w:r>
          </w:p>
        </w:tc>
        <w:tc>
          <w:tcPr>
            <w:tcW w:type="dxa" w:w="46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Client meaning, adaptation, barriers, equity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510" w:hRule="atLeast"/>
        </w:trPr>
        <w:tc>
          <w:tcPr>
            <w:tcW w:type="dxa" w:w="23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Legal, ethical, and professional practice</w:t>
            </w:r>
          </w:p>
        </w:tc>
        <w:tc>
          <w:tcPr>
            <w:tcW w:type="dxa" w:w="46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Role, authority, privacy, competence, documentation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</w:tbl>
    <w:p>
      <w:pPr>
        <w:pStyle w:val="Heading2"/>
        <w:keepNext/>
      </w:pPr>
      <w:r>
        <w:t>Baseline Reflection</w:t>
      </w:r>
    </w:p>
    <w:p>
      <w:pPr>
        <w:spacing w:after="120"/>
      </w:pPr>
      <w:r>
        <w:t>My strongest demonstrated domain is: ______________________________________________________________</w:t>
      </w:r>
    </w:p>
    <w:p>
      <w:pPr>
        <w:spacing w:after="120"/>
      </w:pPr>
      <w:r>
        <w:t>The domain most likely to cost me points is: _______________________________________________________</w:t>
      </w:r>
    </w:p>
    <w:p>
      <w:pPr>
        <w:spacing w:after="120"/>
      </w:pPr>
      <w:r>
        <w:t>My most common reasoning error is: ________________________________________________________________</w:t>
      </w:r>
    </w:p>
    <w:p>
      <w:pPr>
        <w:spacing w:after="120"/>
      </w:pPr>
      <w:r>
        <w:t>The first study behavior I will change is: _________________________________________________________</w:t>
      </w:r>
    </w:p>
    <w:p>
      <w:pPr>
        <w:spacing w:after="120"/>
      </w:pPr>
      <w:r>
        <w:t>My current readiness label is:  ☐ Needs foundation  ☐ Developing  ☐ Progressing</w:t>
      </w:r>
    </w:p>
    <w:p>
      <w:r>
        <w:br w:type="page"/>
      </w:r>
    </w:p>
    <w:p>
      <w:pPr>
        <w:pStyle w:val="Heading1"/>
        <w:keepNext/>
      </w:pPr>
      <w:r>
        <w:t>Clinical Reasoning Habits Self-Assessment</w:t>
      </w:r>
    </w:p>
    <w:p>
      <w:pPr>
        <w:spacing w:after="100"/>
      </w:pPr>
      <w:r>
        <w:t>Rate each statement from 1 to 4. Add one brief piece of evidence for every rating of 3 or 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461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676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 can consistently…</w:t>
            </w:r>
          </w:p>
        </w:tc>
        <w:tc>
          <w:tcPr>
            <w:tcW w:type="dxa" w:w="79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1–4</w:t>
            </w:r>
          </w:p>
        </w:tc>
        <w:tc>
          <w:tcPr>
            <w:tcW w:type="dxa" w:w="1771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1</w:t>
            </w:r>
          </w:p>
        </w:tc>
        <w:tc>
          <w:tcPr>
            <w:tcW w:type="dxa" w:w="67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identify the task word before solving the vignette.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2</w:t>
            </w:r>
          </w:p>
        </w:tc>
        <w:tc>
          <w:tcPr>
            <w:tcW w:type="dxa" w:w="67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distinguish assessment, planning, intervention, evaluation, and follow-up.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3</w:t>
            </w:r>
          </w:p>
        </w:tc>
        <w:tc>
          <w:tcPr>
            <w:tcW w:type="dxa" w:w="67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prioritize immediate danger, legal duties, and level-of-care needs before routine treatment.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4</w:t>
            </w:r>
          </w:p>
        </w:tc>
        <w:tc>
          <w:tcPr>
            <w:tcW w:type="dxa" w:w="67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identify the client, treatment unit, and therapist role before selecting an action.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5</w:t>
            </w:r>
          </w:p>
        </w:tc>
        <w:tc>
          <w:tcPr>
            <w:tcW w:type="dxa" w:w="67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assess relational patterns, reciprocal influence, context, and strengths rather than focusing only on one person.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6</w:t>
            </w:r>
          </w:p>
        </w:tc>
        <w:tc>
          <w:tcPr>
            <w:tcW w:type="dxa" w:w="67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gather enough intake, mental-status, developmental, cultural, medical, and substance information before diagnosing or intervening.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7</w:t>
            </w:r>
          </w:p>
        </w:tc>
        <w:tc>
          <w:tcPr>
            <w:tcW w:type="dxa" w:w="67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compare diagnostic explanations using duration, impairment, exclusions, and competing causes.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8</w:t>
            </w:r>
          </w:p>
        </w:tc>
        <w:tc>
          <w:tcPr>
            <w:tcW w:type="dxa" w:w="67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connect assessment findings to measurable goals and a coherent treatment plan.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9</w:t>
            </w:r>
          </w:p>
        </w:tc>
        <w:tc>
          <w:tcPr>
            <w:tcW w:type="dxa" w:w="67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select individual, couple, family, group, referral, or collaborative action based on safety, readiness, mechanism, and fit.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10</w:t>
            </w:r>
          </w:p>
        </w:tc>
        <w:tc>
          <w:tcPr>
            <w:tcW w:type="dxa" w:w="67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adapt care for culture, development, access, language, disability, family context, and client preferences.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11</w:t>
            </w:r>
          </w:p>
        </w:tc>
        <w:tc>
          <w:tcPr>
            <w:tcW w:type="dxa" w:w="67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separate consent, confidentiality, privilege, authorization, payment, participation, and legal process.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  <w:tr>
        <w:trPr>
          <w:cantSplit/>
          <w:trHeight w:val="430" w:hRule="atLeast"/>
        </w:trPr>
        <w:tc>
          <w:tcPr>
            <w:tcW w:type="dxa" w:w="46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12</w:t>
            </w:r>
          </w:p>
        </w:tc>
        <w:tc>
          <w:tcPr>
            <w:tcW w:type="dxa" w:w="67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 document the reasoning, consultation, action, and follow-up that support the decision.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  <w:tc>
          <w:tcPr>
            <w:tcW w:type="dxa" w:w="177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________________________________</w:t>
            </w:r>
          </w:p>
        </w:tc>
      </w:tr>
    </w:tbl>
    <w:p>
      <w:pPr>
        <w:pStyle w:val="Heading2"/>
        <w:keepNext/>
      </w:pPr>
      <w:r>
        <w:t>Reasoning Pattern Summary</w:t>
      </w:r>
    </w:p>
    <w:p>
      <w:r>
        <w:t>Three habits to maintain:  1) ______________________________  2) ______________________________  3) ______________________________</w:t>
      </w:r>
    </w:p>
    <w:p>
      <w:r>
        <w:t>Two habits to remediate first:  1) ______________________________  2) ______________________________</w:t>
      </w:r>
    </w:p>
    <w:p>
      <w:r>
        <w:br w:type="page"/>
      </w:r>
    </w:p>
    <w:p>
      <w:pPr>
        <w:pStyle w:val="Heading1"/>
        <w:keepNext/>
      </w:pPr>
      <w:r>
        <w:t>Workbook Completion and Mastery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Completion rule:  </w:t>
            </w:r>
            <w:r>
              <w:rPr>
                <w:color w:val="24313D"/>
              </w:rPr>
              <w:t>A workbook is not “done” only because it was read. Mark mastery after the workbook, companion lesson, bank, rationale review, and required remediation are complete.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>
        <w:trPr>
          <w:tblHeader w:val="true"/>
          <w:cantSplit/>
        </w:trPr>
        <w:tc>
          <w:tcPr>
            <w:tcW w:type="dxa" w:w="605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WB</w:t>
            </w:r>
          </w:p>
        </w:tc>
        <w:tc>
          <w:tcPr>
            <w:tcW w:type="dxa" w:w="381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Topic</w:t>
            </w:r>
          </w:p>
        </w:tc>
        <w:tc>
          <w:tcPr>
            <w:tcW w:type="dxa" w:w="619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Book</w:t>
            </w:r>
          </w:p>
        </w:tc>
        <w:tc>
          <w:tcPr>
            <w:tcW w:type="dxa" w:w="691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Media</w:t>
            </w:r>
          </w:p>
        </w:tc>
        <w:tc>
          <w:tcPr>
            <w:tcW w:type="dxa" w:w="619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Bank</w:t>
            </w:r>
          </w:p>
        </w:tc>
        <w:tc>
          <w:tcPr>
            <w:tcW w:type="dxa" w:w="677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Score</w:t>
            </w:r>
          </w:p>
        </w:tc>
        <w:tc>
          <w:tcPr>
            <w:tcW w:type="dxa" w:w="151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Review/Remed.</w:t>
            </w:r>
          </w:p>
        </w:tc>
        <w:tc>
          <w:tcPr>
            <w:tcW w:type="dxa" w:w="677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1–4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WB1</w:t>
            </w:r>
          </w:p>
        </w:tc>
        <w:tc>
          <w:tcPr>
            <w:tcW w:type="dxa" w:w="38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Exam Strategy and Clinical Reasoning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WB2</w:t>
            </w:r>
          </w:p>
        </w:tc>
        <w:tc>
          <w:tcPr>
            <w:tcW w:type="dxa" w:w="38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Clinical Engagement, Intake, and Mental Status Assessment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WB3</w:t>
            </w:r>
          </w:p>
        </w:tc>
        <w:tc>
          <w:tcPr>
            <w:tcW w:type="dxa" w:w="38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Developmental, Psychosocial, and Diversity Assessment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WB4</w:t>
            </w:r>
          </w:p>
        </w:tc>
        <w:tc>
          <w:tcPr>
            <w:tcW w:type="dxa" w:w="38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Relational, Family-System, Trauma, and Strengths Assessment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WB5</w:t>
            </w:r>
          </w:p>
        </w:tc>
        <w:tc>
          <w:tcPr>
            <w:tcW w:type="dxa" w:w="38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Diagnosis and Differential Diagnosis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WB6</w:t>
            </w:r>
          </w:p>
        </w:tc>
        <w:tc>
          <w:tcPr>
            <w:tcW w:type="dxa" w:w="38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Crisis, Abuse, and Safety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WB7</w:t>
            </w:r>
          </w:p>
        </w:tc>
        <w:tc>
          <w:tcPr>
            <w:tcW w:type="dxa" w:w="38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Planning, Progress, and Termination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WB8</w:t>
            </w:r>
          </w:p>
        </w:tc>
        <w:tc>
          <w:tcPr>
            <w:tcW w:type="dxa" w:w="38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Family, Couple, Attachment, and Relational Interventions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WB9</w:t>
            </w:r>
          </w:p>
        </w:tc>
        <w:tc>
          <w:tcPr>
            <w:tcW w:type="dxa" w:w="38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Trauma, Psychological, Behavioral, and Recovery Interventions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WB10</w:t>
            </w:r>
          </w:p>
        </w:tc>
        <w:tc>
          <w:tcPr>
            <w:tcW w:type="dxa" w:w="38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Developmental, Cultural, and Contextual Interventions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WB11</w:t>
            </w:r>
          </w:p>
        </w:tc>
        <w:tc>
          <w:tcPr>
            <w:tcW w:type="dxa" w:w="38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Theory, Groups, Referral, and Collaboration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  <w:tr>
        <w:trPr>
          <w:cantSplit/>
          <w:trHeight w:val="420" w:hRule="atLeast"/>
        </w:trPr>
        <w:tc>
          <w:tcPr>
            <w:tcW w:type="dxa" w:w="605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4"/>
              </w:rPr>
              <w:t>WB12</w:t>
            </w:r>
          </w:p>
        </w:tc>
        <w:tc>
          <w:tcPr>
            <w:tcW w:type="dxa" w:w="38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California Legal, Ethical, and Professional Practice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9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19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☐</w:t>
            </w:r>
          </w:p>
        </w:tc>
        <w:tc>
          <w:tcPr>
            <w:tcW w:type="dxa" w:w="677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4"/>
              </w:rPr>
              <w:t>___</w:t>
            </w:r>
          </w:p>
        </w:tc>
      </w:tr>
    </w:tbl>
    <w:p>
      <w:pPr>
        <w:pStyle w:val="Heading2"/>
        <w:keepNext/>
      </w:pPr>
      <w:r>
        <w:t>Mastery Evidence</w:t>
      </w:r>
    </w:p>
    <w:p>
      <w:pPr>
        <w:spacing w:after="40"/>
      </w:pPr>
      <w:r>
        <w:rPr>
          <w:sz w:val="18"/>
        </w:rPr>
        <w:t>☐ I can state the workbook’s core decision rule without looking.</w:t>
      </w:r>
    </w:p>
    <w:p>
      <w:pPr>
        <w:spacing w:after="40"/>
      </w:pPr>
      <w:r>
        <w:rPr>
          <w:sz w:val="18"/>
        </w:rPr>
        <w:t>☐ I can explain at least two tempting traps and why they are weaker.</w:t>
      </w:r>
    </w:p>
    <w:p>
      <w:pPr>
        <w:spacing w:after="40"/>
      </w:pPr>
      <w:r>
        <w:rPr>
          <w:sz w:val="18"/>
        </w:rPr>
        <w:t>☐ I can apply the rule to a new vignette rather than only recalling the example.</w:t>
      </w:r>
    </w:p>
    <w:p>
      <w:pPr>
        <w:spacing w:after="40"/>
      </w:pPr>
      <w:r>
        <w:rPr>
          <w:sz w:val="18"/>
        </w:rPr>
        <w:t>☐ I classified every missed bank item and completed the assigned remediation.</w:t>
      </w:r>
    </w:p>
    <w:p>
      <w:r>
        <w:t>Workbooks still requiring targeted review: 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Question-Bank Performance Tracker</w:t>
      </w:r>
    </w:p>
    <w:p>
      <w:r>
        <w:t>Record each first submitted attempt before reviewing rationales. Use score, time, and error type together; score alone does not reveal the cause of a miss.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rPr>
          <w:tblHeader w:val="true"/>
          <w:cantSplit/>
        </w:trPr>
        <w:tc>
          <w:tcPr>
            <w:tcW w:type="dxa" w:w="79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WB</w:t>
            </w:r>
          </w:p>
        </w:tc>
        <w:tc>
          <w:tcPr>
            <w:tcW w:type="dxa" w:w="122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First Score</w:t>
            </w:r>
          </w:p>
        </w:tc>
        <w:tc>
          <w:tcPr>
            <w:tcW w:type="dxa" w:w="93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Time</w:t>
            </w:r>
          </w:p>
        </w:tc>
        <w:tc>
          <w:tcPr>
            <w:tcW w:type="dxa" w:w="288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Primary Error</w:t>
            </w:r>
          </w:p>
        </w:tc>
        <w:tc>
          <w:tcPr>
            <w:tcW w:type="dxa" w:w="180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Remediation Date</w:t>
            </w:r>
          </w:p>
        </w:tc>
        <w:tc>
          <w:tcPr>
            <w:tcW w:type="dxa" w:w="194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Retest/Check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WB1</w:t>
            </w:r>
          </w:p>
        </w:tc>
        <w:tc>
          <w:tcPr>
            <w:tcW w:type="dxa" w:w="12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WB2</w:t>
            </w:r>
          </w:p>
        </w:tc>
        <w:tc>
          <w:tcPr>
            <w:tcW w:type="dxa" w:w="12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WB3</w:t>
            </w:r>
          </w:p>
        </w:tc>
        <w:tc>
          <w:tcPr>
            <w:tcW w:type="dxa" w:w="12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WB4</w:t>
            </w:r>
          </w:p>
        </w:tc>
        <w:tc>
          <w:tcPr>
            <w:tcW w:type="dxa" w:w="12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WB5</w:t>
            </w:r>
          </w:p>
        </w:tc>
        <w:tc>
          <w:tcPr>
            <w:tcW w:type="dxa" w:w="12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WB6</w:t>
            </w:r>
          </w:p>
        </w:tc>
        <w:tc>
          <w:tcPr>
            <w:tcW w:type="dxa" w:w="12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WB7</w:t>
            </w:r>
          </w:p>
        </w:tc>
        <w:tc>
          <w:tcPr>
            <w:tcW w:type="dxa" w:w="12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WB8</w:t>
            </w:r>
          </w:p>
        </w:tc>
        <w:tc>
          <w:tcPr>
            <w:tcW w:type="dxa" w:w="12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WB9</w:t>
            </w:r>
          </w:p>
        </w:tc>
        <w:tc>
          <w:tcPr>
            <w:tcW w:type="dxa" w:w="12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WB10</w:t>
            </w:r>
          </w:p>
        </w:tc>
        <w:tc>
          <w:tcPr>
            <w:tcW w:type="dxa" w:w="12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WB11</w:t>
            </w:r>
          </w:p>
        </w:tc>
        <w:tc>
          <w:tcPr>
            <w:tcW w:type="dxa" w:w="12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  <w:tr>
        <w:trPr>
          <w:cantSplit/>
          <w:trHeight w:val="470" w:hRule="atLeast"/>
        </w:trPr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WB12</w:t>
            </w:r>
          </w:p>
        </w:tc>
        <w:tc>
          <w:tcPr>
            <w:tcW w:type="dxa" w:w="12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____/17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</w:t>
            </w:r>
          </w:p>
        </w:tc>
      </w:tr>
    </w:tbl>
    <w:p>
      <w:pPr>
        <w:pStyle w:val="Heading2"/>
        <w:keepNext/>
      </w:pPr>
      <w:r>
        <w:t>Readiness Interpretation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Label</w:t>
            </w:r>
          </w:p>
        </w:tc>
        <w:tc>
          <w:tcPr>
            <w:tcW w:type="dxa" w:w="784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Needs foundation</w:t>
            </w:r>
          </w:p>
        </w:tc>
        <w:tc>
          <w:tcPr>
            <w:tcW w:type="dxa" w:w="78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Large content gaps; cannot yet explain the underlying rule.</w:t>
            </w:r>
          </w:p>
        </w:tc>
      </w:tr>
      <w:tr>
        <w:trPr>
          <w:cantSplit/>
        </w:trPr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Developing</w:t>
            </w:r>
          </w:p>
        </w:tc>
        <w:tc>
          <w:tcPr>
            <w:tcW w:type="dxa" w:w="784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Some correct reasoning, but timing, task, or assumptions remain inconsistent.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Progressing</w:t>
            </w:r>
          </w:p>
        </w:tc>
        <w:tc>
          <w:tcPr>
            <w:tcW w:type="dxa" w:w="78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Most decisions are sound; misses are identifiable and responsive to targeted review.</w:t>
            </w:r>
          </w:p>
        </w:tc>
      </w:tr>
      <w:tr>
        <w:trPr>
          <w:cantSplit/>
        </w:trPr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Ready to advance</w:t>
            </w:r>
          </w:p>
        </w:tc>
        <w:tc>
          <w:tcPr>
            <w:tcW w:type="dxa" w:w="784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Can apply the topic to unfamiliar scenarios and explain distractor weaknesses.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Error-Pattern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Do not record only the topic:  </w:t>
            </w:r>
            <w:r>
              <w:rPr>
                <w:color w:val="24313D"/>
              </w:rPr>
              <w:t>Classify the reasoning process that failed. A content label such as “diagnosis” is less useful than “ignored duration” or “acted before assessing medical causes.”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Error Type</w:t>
            </w:r>
          </w:p>
        </w:tc>
        <w:tc>
          <w:tcPr>
            <w:tcW w:type="dxa" w:w="684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What It Means</w:t>
            </w:r>
          </w:p>
        </w:tc>
        <w:tc>
          <w:tcPr>
            <w:tcW w:type="dxa" w:w="72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Tally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Task-word error</w:t>
            </w:r>
          </w:p>
        </w:tc>
        <w:tc>
          <w:tcPr>
            <w:tcW w:type="dxa" w:w="68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Misread FIRST, NEXT, BEST, MOST, INITIAL, or what the question actually asked.</w:t>
            </w:r>
          </w:p>
        </w:tc>
        <w:tc>
          <w:tcPr>
            <w:tcW w:type="dxa" w:w="7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Sequence/timing error</w:t>
            </w:r>
          </w:p>
        </w:tc>
        <w:tc>
          <w:tcPr>
            <w:tcW w:type="dxa" w:w="68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Selected a reasonable action at the wrong stage.</w:t>
            </w:r>
          </w:p>
        </w:tc>
        <w:tc>
          <w:tcPr>
            <w:tcW w:type="dxa" w:w="7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Safety/duty error</w:t>
            </w:r>
          </w:p>
        </w:tc>
        <w:tc>
          <w:tcPr>
            <w:tcW w:type="dxa" w:w="68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Missed urgency, reporting, protection, capacity, or level-of-care needs.</w:t>
            </w:r>
          </w:p>
        </w:tc>
        <w:tc>
          <w:tcPr>
            <w:tcW w:type="dxa" w:w="7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Assessment-gap error</w:t>
            </w:r>
          </w:p>
        </w:tc>
        <w:tc>
          <w:tcPr>
            <w:tcW w:type="dxa" w:w="68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Acted without gathering decision-critical information.</w:t>
            </w:r>
          </w:p>
        </w:tc>
        <w:tc>
          <w:tcPr>
            <w:tcW w:type="dxa" w:w="7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Unsupported-assumption error</w:t>
            </w:r>
          </w:p>
        </w:tc>
        <w:tc>
          <w:tcPr>
            <w:tcW w:type="dxa" w:w="68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Added a diagnosis, motive, barrier, permission, service, or fact not provided.</w:t>
            </w:r>
          </w:p>
        </w:tc>
        <w:tc>
          <w:tcPr>
            <w:tcW w:type="dxa" w:w="7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Role/authority error</w:t>
            </w:r>
          </w:p>
        </w:tc>
        <w:tc>
          <w:tcPr>
            <w:tcW w:type="dxa" w:w="68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Confused professional role, client status, consent, authorization, privilege, or responsibility.</w:t>
            </w:r>
          </w:p>
        </w:tc>
        <w:tc>
          <w:tcPr>
            <w:tcW w:type="dxa" w:w="7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Client/context error</w:t>
            </w:r>
          </w:p>
        </w:tc>
        <w:tc>
          <w:tcPr>
            <w:tcW w:type="dxa" w:w="68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Ignored client perspective, culture, development, relationships, environment, access, or power.</w:t>
            </w:r>
          </w:p>
        </w:tc>
        <w:tc>
          <w:tcPr>
            <w:tcW w:type="dxa" w:w="7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Intervention-fit error</w:t>
            </w:r>
          </w:p>
        </w:tc>
        <w:tc>
          <w:tcPr>
            <w:tcW w:type="dxa" w:w="68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Chose a technique or service that did not match mechanism, readiness, target, or modality.</w:t>
            </w:r>
          </w:p>
        </w:tc>
        <w:tc>
          <w:tcPr>
            <w:tcW w:type="dxa" w:w="7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Evaluation/follow-up error</w:t>
            </w:r>
          </w:p>
        </w:tc>
        <w:tc>
          <w:tcPr>
            <w:tcW w:type="dxa" w:w="68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Failed to measure response, revise the plan, document, or coordinate next steps.</w:t>
            </w:r>
          </w:p>
        </w:tc>
        <w:tc>
          <w:tcPr>
            <w:tcW w:type="dxa" w:w="7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  <w:tr>
        <w:trPr>
          <w:cantSplit/>
          <w:trHeight w:val="440" w:hRule="atLeast"/>
        </w:trPr>
        <w:tc>
          <w:tcPr>
            <w:tcW w:type="dxa" w:w="22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5"/>
              </w:rPr>
              <w:t>Pacing/attention error</w:t>
            </w:r>
          </w:p>
        </w:tc>
        <w:tc>
          <w:tcPr>
            <w:tcW w:type="dxa" w:w="68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Rushed, overread, changed an answer without evidence, or lost the task under fatigue.</w:t>
            </w:r>
          </w:p>
        </w:tc>
        <w:tc>
          <w:tcPr>
            <w:tcW w:type="dxa" w:w="7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</w:t>
            </w:r>
          </w:p>
        </w:tc>
      </w:tr>
    </w:tbl>
    <w:p>
      <w:pPr>
        <w:pStyle w:val="Heading2"/>
        <w:keepNext/>
      </w:pPr>
      <w:r>
        <w:t>Top Three Recurring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64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237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Pattern</w:t>
            </w:r>
          </w:p>
        </w:tc>
        <w:tc>
          <w:tcPr>
            <w:tcW w:type="dxa" w:w="525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New Decision Rule</w:t>
            </w:r>
          </w:p>
        </w:tc>
        <w:tc>
          <w:tcPr>
            <w:tcW w:type="dxa" w:w="151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Recheck Date</w:t>
            </w:r>
          </w:p>
        </w:tc>
      </w:tr>
      <w:tr>
        <w:trPr>
          <w:cantSplit/>
          <w:trHeight w:val="550" w:hRule="atLeast"/>
        </w:trPr>
        <w:tc>
          <w:tcPr>
            <w:tcW w:type="dxa" w:w="6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1</w:t>
            </w:r>
          </w:p>
        </w:tc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  <w:tc>
          <w:tcPr>
            <w:tcW w:type="dxa" w:w="525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____________________________________________</w:t>
            </w:r>
          </w:p>
        </w:tc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</w:t>
            </w:r>
          </w:p>
        </w:tc>
      </w:tr>
      <w:tr>
        <w:trPr>
          <w:cantSplit/>
          <w:trHeight w:val="550" w:hRule="atLeast"/>
        </w:trPr>
        <w:tc>
          <w:tcPr>
            <w:tcW w:type="dxa" w:w="64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2</w:t>
            </w:r>
          </w:p>
        </w:tc>
        <w:tc>
          <w:tcPr>
            <w:tcW w:type="dxa" w:w="23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  <w:tc>
          <w:tcPr>
            <w:tcW w:type="dxa" w:w="525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____________________________________________</w:t>
            </w:r>
          </w:p>
        </w:tc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</w:t>
            </w:r>
          </w:p>
        </w:tc>
      </w:tr>
      <w:tr>
        <w:trPr>
          <w:cantSplit/>
          <w:trHeight w:val="550" w:hRule="atLeast"/>
        </w:trPr>
        <w:tc>
          <w:tcPr>
            <w:tcW w:type="dxa" w:w="6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3</w:t>
            </w:r>
          </w:p>
        </w:tc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  <w:tc>
          <w:tcPr>
            <w:tcW w:type="dxa" w:w="525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____________________________________________</w:t>
            </w:r>
          </w:p>
        </w:tc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Targeted Remediation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Use the smallest effective review:  </w:t>
            </w:r>
            <w:r>
              <w:rPr>
                <w:color w:val="24313D"/>
              </w:rPr>
              <w:t>Return to the exact rule, page, quick-reference sheet, flashcards, or audio track that addresses the error. Then prove the correction with a new explanation or practice item.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rPr>
          <w:tblHeader w:val="true"/>
          <w:cantSplit/>
        </w:trPr>
        <w:tc>
          <w:tcPr>
            <w:tcW w:type="dxa" w:w="43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37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Weak Skill / Rule</w:t>
            </w:r>
          </w:p>
        </w:tc>
        <w:tc>
          <w:tcPr>
            <w:tcW w:type="dxa" w:w="295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Review Resource</w:t>
            </w:r>
          </w:p>
        </w:tc>
        <w:tc>
          <w:tcPr>
            <w:tcW w:type="dxa" w:w="252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Practice Evidence</w:t>
            </w:r>
          </w:p>
        </w:tc>
        <w:tc>
          <w:tcPr>
            <w:tcW w:type="dxa" w:w="93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Due</w:t>
            </w:r>
          </w:p>
        </w:tc>
        <w:tc>
          <w:tcPr>
            <w:tcW w:type="dxa" w:w="57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Done</w:t>
            </w:r>
          </w:p>
        </w:tc>
      </w:tr>
      <w:tr>
        <w:trPr>
          <w:cantSplit/>
          <w:trHeight w:val="620" w:hRule="atLeast"/>
        </w:trPr>
        <w:tc>
          <w:tcPr>
            <w:tcW w:type="dxa" w:w="4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1</w:t>
            </w:r>
          </w:p>
        </w:tc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9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5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5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  <w:tr>
        <w:trPr>
          <w:cantSplit/>
          <w:trHeight w:val="620" w:hRule="atLeast"/>
        </w:trPr>
        <w:tc>
          <w:tcPr>
            <w:tcW w:type="dxa" w:w="4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2</w:t>
            </w:r>
          </w:p>
        </w:tc>
        <w:tc>
          <w:tcPr>
            <w:tcW w:type="dxa" w:w="23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9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5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5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  <w:tr>
        <w:trPr>
          <w:cantSplit/>
          <w:trHeight w:val="620" w:hRule="atLeast"/>
        </w:trPr>
        <w:tc>
          <w:tcPr>
            <w:tcW w:type="dxa" w:w="4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3</w:t>
            </w:r>
          </w:p>
        </w:tc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9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5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5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  <w:tr>
        <w:trPr>
          <w:cantSplit/>
          <w:trHeight w:val="620" w:hRule="atLeast"/>
        </w:trPr>
        <w:tc>
          <w:tcPr>
            <w:tcW w:type="dxa" w:w="4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4</w:t>
            </w:r>
          </w:p>
        </w:tc>
        <w:tc>
          <w:tcPr>
            <w:tcW w:type="dxa" w:w="23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9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5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5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  <w:tr>
        <w:trPr>
          <w:cantSplit/>
          <w:trHeight w:val="620" w:hRule="atLeast"/>
        </w:trPr>
        <w:tc>
          <w:tcPr>
            <w:tcW w:type="dxa" w:w="4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5</w:t>
            </w:r>
          </w:p>
        </w:tc>
        <w:tc>
          <w:tcPr>
            <w:tcW w:type="dxa" w:w="23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9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52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9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57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  <w:tr>
        <w:trPr>
          <w:cantSplit/>
          <w:trHeight w:val="620" w:hRule="atLeast"/>
        </w:trPr>
        <w:tc>
          <w:tcPr>
            <w:tcW w:type="dxa" w:w="4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6</w:t>
            </w:r>
          </w:p>
        </w:tc>
        <w:tc>
          <w:tcPr>
            <w:tcW w:type="dxa" w:w="23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9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252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</w:t>
            </w:r>
          </w:p>
        </w:tc>
        <w:tc>
          <w:tcPr>
            <w:tcW w:type="dxa" w:w="9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57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</w:tbl>
    <w:p>
      <w:pPr>
        <w:pStyle w:val="Heading2"/>
        <w:keepNext/>
      </w:pPr>
      <w:r>
        <w:t>Remediation Script</w:t>
      </w:r>
    </w:p>
    <w:p>
      <w:pPr>
        <w:spacing w:after="140"/>
      </w:pPr>
      <w:r>
        <w:t>The error I made was: _____________________________________________________________________________</w:t>
      </w:r>
    </w:p>
    <w:p>
      <w:pPr>
        <w:spacing w:after="140"/>
      </w:pPr>
      <w:r>
        <w:t>The correct rule is: _______________________________________________________________________________</w:t>
      </w:r>
    </w:p>
    <w:p>
      <w:pPr>
        <w:spacing w:after="140"/>
      </w:pPr>
      <w:r>
        <w:t>The clue I missed was: ______________________________________________________________________________</w:t>
      </w:r>
    </w:p>
    <w:p>
      <w:pPr>
        <w:spacing w:after="140"/>
      </w:pPr>
      <w:r>
        <w:t>The tempting answer was weaker because: _____________________________________________________________</w:t>
      </w:r>
    </w:p>
    <w:p>
      <w:pPr>
        <w:spacing w:after="140"/>
      </w:pPr>
      <w:r>
        <w:t>On the next item, I will: ____________________________________________________________________________</w:t>
      </w:r>
    </w:p>
    <w:p>
      <w:pPr>
        <w:pStyle w:val="Heading2"/>
        <w:keepNext/>
      </w:pPr>
      <w:r>
        <w:t>Targeted Practice Standard</w:t>
      </w:r>
    </w:p>
    <w:p>
      <w:pPr>
        <w:spacing w:after="40"/>
      </w:pPr>
      <w:r>
        <w:rPr>
          <w:sz w:val="18"/>
        </w:rPr>
        <w:t>☐ I completed at least one new item without looking at the rule.</w:t>
      </w:r>
    </w:p>
    <w:p>
      <w:pPr>
        <w:spacing w:after="40"/>
      </w:pPr>
      <w:r>
        <w:rPr>
          <w:sz w:val="18"/>
        </w:rPr>
        <w:t>☐ I explained why each distractor was premature, unsupported, outside role, or incomplete.</w:t>
      </w:r>
    </w:p>
    <w:p>
      <w:pPr>
        <w:spacing w:after="40"/>
      </w:pPr>
      <w:r>
        <w:rPr>
          <w:sz w:val="18"/>
        </w:rPr>
        <w:t>☐ I can now recognize the same error pattern in a different content area.</w:t>
      </w:r>
    </w:p>
    <w:p>
      <w:r>
        <w:br w:type="page"/>
      </w:r>
    </w:p>
    <w:p>
      <w:pPr>
        <w:pStyle w:val="Heading1"/>
        <w:keepNext/>
      </w:pPr>
      <w:r>
        <w:t>Reusable Weekly Progress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Weekly review:  </w:t>
            </w:r>
            <w:r>
              <w:rPr>
                <w:color w:val="24313D"/>
              </w:rPr>
              <w:t>Use one copy per study week. A strong week produces completion evidence, error correction, and a specific next step—not only hours logged.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180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09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  <w:tc>
          <w:tcPr>
            <w:tcW w:type="dxa" w:w="201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88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Week / Dates</w:t>
            </w:r>
          </w:p>
        </w:tc>
        <w:tc>
          <w:tcPr>
            <w:tcW w:type="dxa" w:w="309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</w:t>
            </w:r>
          </w:p>
        </w:tc>
        <w:tc>
          <w:tcPr>
            <w:tcW w:type="dxa" w:w="20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Target workbooks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</w:t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Planned study hours</w:t>
            </w:r>
          </w:p>
        </w:tc>
        <w:tc>
          <w:tcPr>
            <w:tcW w:type="dxa" w:w="309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</w:t>
            </w:r>
          </w:p>
        </w:tc>
        <w:tc>
          <w:tcPr>
            <w:tcW w:type="dxa" w:w="20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Completed hours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</w:t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Banks completed</w:t>
            </w:r>
          </w:p>
        </w:tc>
        <w:tc>
          <w:tcPr>
            <w:tcW w:type="dxa" w:w="309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</w:t>
            </w:r>
          </w:p>
        </w:tc>
        <w:tc>
          <w:tcPr>
            <w:tcW w:type="dxa" w:w="20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Rationales reviewed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</w:t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Audio / flashcards / quick sheets</w:t>
            </w:r>
          </w:p>
        </w:tc>
        <w:tc>
          <w:tcPr>
            <w:tcW w:type="dxa" w:w="309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</w:t>
            </w:r>
          </w:p>
        </w:tc>
        <w:tc>
          <w:tcPr>
            <w:tcW w:type="dxa" w:w="20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Remediation completed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</w:t>
            </w:r>
          </w:p>
        </w:tc>
      </w:tr>
    </w:tbl>
    <w:p>
      <w:pPr>
        <w:pStyle w:val="Heading2"/>
        <w:keepNext/>
      </w:pPr>
      <w:r>
        <w:t>This Week’s Evidence</w:t>
      </w:r>
    </w:p>
    <w:p>
      <w:pPr>
        <w:spacing w:after="160"/>
      </w:pPr>
      <w:r>
        <w:t>The most important rule I strengthened: _____________________________________________________________</w:t>
      </w:r>
    </w:p>
    <w:p>
      <w:pPr>
        <w:spacing w:after="160"/>
      </w:pPr>
      <w:r>
        <w:t>A distractor pattern I can now eliminate: ___________________________________________________________</w:t>
      </w:r>
    </w:p>
    <w:p>
      <w:pPr>
        <w:spacing w:after="160"/>
      </w:pPr>
      <w:r>
        <w:t>A scenario I can explain more clearly: ______________________________________________________________</w:t>
      </w:r>
    </w:p>
    <w:p>
      <w:pPr>
        <w:spacing w:after="160"/>
      </w:pPr>
      <w:r>
        <w:t>A gap that still needs direct review: _______________________________________________________________</w:t>
      </w:r>
    </w:p>
    <w:p>
      <w:pPr>
        <w:pStyle w:val="Heading2"/>
        <w:keepNext/>
      </w:pPr>
      <w:r>
        <w:t>Next-Week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50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748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Specific Task</w:t>
            </w:r>
          </w:p>
        </w:tc>
        <w:tc>
          <w:tcPr>
            <w:tcW w:type="dxa" w:w="115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64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</w:tr>
      <w:tr>
        <w:trPr>
          <w:cantSplit/>
          <w:trHeight w:val="530" w:hRule="atLeast"/>
        </w:trPr>
        <w:tc>
          <w:tcPr>
            <w:tcW w:type="dxa" w:w="50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1</w:t>
            </w:r>
          </w:p>
        </w:tc>
        <w:tc>
          <w:tcPr>
            <w:tcW w:type="dxa" w:w="748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  <w:tc>
          <w:tcPr>
            <w:tcW w:type="dxa" w:w="11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</w:t>
            </w:r>
          </w:p>
        </w:tc>
        <w:tc>
          <w:tcPr>
            <w:tcW w:type="dxa" w:w="6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☐</w:t>
            </w:r>
          </w:p>
        </w:tc>
      </w:tr>
      <w:tr>
        <w:trPr>
          <w:cantSplit/>
          <w:trHeight w:val="530" w:hRule="atLeast"/>
        </w:trPr>
        <w:tc>
          <w:tcPr>
            <w:tcW w:type="dxa" w:w="50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2</w:t>
            </w:r>
          </w:p>
        </w:tc>
        <w:tc>
          <w:tcPr>
            <w:tcW w:type="dxa" w:w="748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  <w:tc>
          <w:tcPr>
            <w:tcW w:type="dxa" w:w="11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</w:t>
            </w:r>
          </w:p>
        </w:tc>
        <w:tc>
          <w:tcPr>
            <w:tcW w:type="dxa" w:w="64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☐</w:t>
            </w:r>
          </w:p>
        </w:tc>
      </w:tr>
      <w:tr>
        <w:trPr>
          <w:cantSplit/>
          <w:trHeight w:val="530" w:hRule="atLeast"/>
        </w:trPr>
        <w:tc>
          <w:tcPr>
            <w:tcW w:type="dxa" w:w="50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3</w:t>
            </w:r>
          </w:p>
        </w:tc>
        <w:tc>
          <w:tcPr>
            <w:tcW w:type="dxa" w:w="748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  <w:tc>
          <w:tcPr>
            <w:tcW w:type="dxa" w:w="11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</w:t>
            </w:r>
          </w:p>
        </w:tc>
        <w:tc>
          <w:tcPr>
            <w:tcW w:type="dxa" w:w="6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☐</w:t>
            </w:r>
          </w:p>
        </w:tc>
      </w:tr>
      <w:tr>
        <w:trPr>
          <w:cantSplit/>
          <w:trHeight w:val="530" w:hRule="atLeast"/>
        </w:trPr>
        <w:tc>
          <w:tcPr>
            <w:tcW w:type="dxa" w:w="50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4</w:t>
            </w:r>
          </w:p>
        </w:tc>
        <w:tc>
          <w:tcPr>
            <w:tcW w:type="dxa" w:w="748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  <w:tc>
          <w:tcPr>
            <w:tcW w:type="dxa" w:w="11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</w:t>
            </w:r>
          </w:p>
        </w:tc>
        <w:tc>
          <w:tcPr>
            <w:tcW w:type="dxa" w:w="64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☐</w:t>
            </w:r>
          </w:p>
        </w:tc>
      </w:tr>
      <w:tr>
        <w:trPr>
          <w:cantSplit/>
          <w:trHeight w:val="530" w:hRule="atLeast"/>
        </w:trPr>
        <w:tc>
          <w:tcPr>
            <w:tcW w:type="dxa" w:w="50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5</w:t>
            </w:r>
          </w:p>
        </w:tc>
        <w:tc>
          <w:tcPr>
            <w:tcW w:type="dxa" w:w="748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  <w:tc>
          <w:tcPr>
            <w:tcW w:type="dxa" w:w="11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</w:t>
            </w:r>
          </w:p>
        </w:tc>
        <w:tc>
          <w:tcPr>
            <w:tcW w:type="dxa" w:w="6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☐</w:t>
            </w:r>
          </w:p>
        </w:tc>
      </w:tr>
    </w:tbl>
    <w:p>
      <w:pPr>
        <w:pStyle w:val="Heading2"/>
        <w:keepNext/>
      </w:pPr>
      <w:r>
        <w:t>Weekly Status</w:t>
      </w:r>
    </w:p>
    <w:p>
      <w:r>
        <w:t>☐ Needs reset   ☐ Developing   ☐ On plan   ☐ Ahead of plan   ☐ Ready for next gate</w:t>
      </w:r>
    </w:p>
    <w:p>
      <w:r>
        <w:t>Adjustment for next week: 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Form A Readiness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FF6DD"/>
            <w:tcBorders>
              <w:top w:val="single" w:sz="8" w:color="D9A441"/>
              <w:left w:val="single" w:sz="8" w:color="D9A441"/>
              <w:bottom w:val="single" w:sz="8" w:color="D9A441"/>
              <w:right w:val="single" w:sz="8" w:color="D9A441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Protect the simulation:  </w:t>
            </w:r>
            <w:r>
              <w:rPr>
                <w:color w:val="24313D"/>
              </w:rPr>
              <w:t>Form A is most useful when all 12 workbooks and banks are complete and detailed answers have not been previewed. Use it to diagnose remaining gaps under realistic conditions.</w:t>
            </w:r>
          </w:p>
        </w:tc>
      </w:tr>
    </w:tbl>
    <w:p>
      <w:pPr>
        <w:spacing w:after="40"/>
      </w:pPr>
      <w:r>
        <w:rPr>
          <w:sz w:val="18"/>
        </w:rPr>
        <w:t>☐ All 12 workbooks are complete.</w:t>
      </w:r>
    </w:p>
    <w:p>
      <w:pPr>
        <w:spacing w:after="40"/>
      </w:pPr>
      <w:r>
        <w:rPr>
          <w:sz w:val="18"/>
        </w:rPr>
        <w:t>☐ All 12 companion lessons are complete.</w:t>
      </w:r>
    </w:p>
    <w:p>
      <w:pPr>
        <w:spacing w:after="40"/>
      </w:pPr>
      <w:r>
        <w:rPr>
          <w:sz w:val="18"/>
        </w:rPr>
        <w:t>☐ All 12 question banks were submitted before rationale review.</w:t>
      </w:r>
    </w:p>
    <w:p>
      <w:pPr>
        <w:spacing w:after="40"/>
      </w:pPr>
      <w:r>
        <w:rPr>
          <w:sz w:val="18"/>
        </w:rPr>
        <w:t>☐ All bank rationales were reviewed and errors classified.</w:t>
      </w:r>
    </w:p>
    <w:p>
      <w:pPr>
        <w:spacing w:after="40"/>
      </w:pPr>
      <w:r>
        <w:rPr>
          <w:sz w:val="18"/>
        </w:rPr>
        <w:t>☐ Targeted remediation is complete for recurring task, timing, safety, assessment, role, context, and intervention-fit errors.</w:t>
      </w:r>
    </w:p>
    <w:p>
      <w:pPr>
        <w:spacing w:after="40"/>
      </w:pPr>
      <w:r>
        <w:rPr>
          <w:sz w:val="18"/>
        </w:rPr>
        <w:t>☐ I can explain my profession-specific decision sequence without looking.</w:t>
      </w:r>
    </w:p>
    <w:p>
      <w:pPr>
        <w:spacing w:after="40"/>
      </w:pPr>
      <w:r>
        <w:rPr>
          <w:sz w:val="18"/>
        </w:rPr>
        <w:t>☐ I selected a quiet setting, timing plan, break plan, and interruption controls.</w:t>
      </w:r>
    </w:p>
    <w:p>
      <w:pPr>
        <w:spacing w:after="40"/>
      </w:pPr>
      <w:r>
        <w:rPr>
          <w:sz w:val="18"/>
        </w:rPr>
        <w:t>☐ I will not pause to research answers or review rationales during the simulation.</w:t>
      </w:r>
    </w:p>
    <w:p>
      <w:pPr>
        <w:spacing w:after="40"/>
      </w:pPr>
      <w:r>
        <w:rPr>
          <w:sz w:val="18"/>
        </w:rPr>
        <w:t>☐ I understand that Form A is a readiness diagnostic, not a guaranteed pass prediction.</w:t>
      </w:r>
    </w:p>
    <w:p>
      <w:pPr>
        <w:pStyle w:val="Heading2"/>
        <w:keepNext/>
      </w:pPr>
      <w:r>
        <w:t>Pre-Simulation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187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95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Plan</w:t>
            </w:r>
          </w:p>
        </w:tc>
        <w:tc>
          <w:tcPr>
            <w:tcW w:type="dxa" w:w="194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02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Plan</w:t>
            </w:r>
          </w:p>
        </w:tc>
      </w:tr>
      <w:tr>
        <w:trPr>
          <w:cantSplit/>
          <w:trHeight w:val="520" w:hRule="atLeast"/>
        </w:trPr>
        <w:tc>
          <w:tcPr>
            <w:tcW w:type="dxa" w:w="18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Planned date</w:t>
            </w:r>
          </w:p>
        </w:tc>
        <w:tc>
          <w:tcPr>
            <w:tcW w:type="dxa" w:w="29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Start time</w:t>
            </w:r>
          </w:p>
        </w:tc>
        <w:tc>
          <w:tcPr>
            <w:tcW w:type="dxa" w:w="30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</w:t>
            </w:r>
          </w:p>
        </w:tc>
      </w:tr>
      <w:tr>
        <w:trPr>
          <w:cantSplit/>
          <w:trHeight w:val="520" w:hRule="atLeast"/>
        </w:trPr>
        <w:tc>
          <w:tcPr>
            <w:tcW w:type="dxa" w:w="187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Testing location</w:t>
            </w:r>
          </w:p>
        </w:tc>
        <w:tc>
          <w:tcPr>
            <w:tcW w:type="dxa" w:w="29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Expected duration</w:t>
            </w:r>
          </w:p>
        </w:tc>
        <w:tc>
          <w:tcPr>
            <w:tcW w:type="dxa" w:w="30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</w:t>
            </w:r>
          </w:p>
        </w:tc>
      </w:tr>
      <w:tr>
        <w:trPr>
          <w:cantSplit/>
          <w:trHeight w:val="520" w:hRule="atLeast"/>
        </w:trPr>
        <w:tc>
          <w:tcPr>
            <w:tcW w:type="dxa" w:w="18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Break plan</w:t>
            </w:r>
          </w:p>
        </w:tc>
        <w:tc>
          <w:tcPr>
            <w:tcW w:type="dxa" w:w="29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Pacing checkpoint</w:t>
            </w:r>
          </w:p>
        </w:tc>
        <w:tc>
          <w:tcPr>
            <w:tcW w:type="dxa" w:w="30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</w:t>
            </w:r>
          </w:p>
        </w:tc>
      </w:tr>
      <w:tr>
        <w:trPr>
          <w:cantSplit/>
          <w:trHeight w:val="520" w:hRule="atLeast"/>
        </w:trPr>
        <w:tc>
          <w:tcPr>
            <w:tcW w:type="dxa" w:w="187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Anxiety recovery cue</w:t>
            </w:r>
          </w:p>
        </w:tc>
        <w:tc>
          <w:tcPr>
            <w:tcW w:type="dxa" w:w="29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Answer-change rule</w:t>
            </w:r>
          </w:p>
        </w:tc>
        <w:tc>
          <w:tcPr>
            <w:tcW w:type="dxa" w:w="30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</w:t>
            </w:r>
          </w:p>
        </w:tc>
      </w:tr>
    </w:tbl>
    <w:p>
      <w:pPr>
        <w:pStyle w:val="Heading2"/>
        <w:keepNext/>
      </w:pPr>
      <w:r>
        <w:t>Gate Decision</w:t>
      </w:r>
    </w:p>
    <w:p>
      <w:r>
        <w:t>☐ Not ready—return to targeted review    ☐ Ready to schedule Form A</w:t>
      </w:r>
    </w:p>
    <w:p>
      <w:r>
        <w:t>Reason for decision: 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Form A Results and Remediation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Review after the full attempt:  </w:t>
            </w:r>
            <w:r>
              <w:rPr>
                <w:color w:val="24313D"/>
              </w:rPr>
              <w:t>Record score, timing, domain patterns, and reasoning errors before studying detailed rationales. Then build the remediation plan that unlocks Form B.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180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02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  <w:tc>
          <w:tcPr>
            <w:tcW w:type="dxa" w:w="194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95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Entry</w:t>
            </w:r>
          </w:p>
        </w:tc>
      </w:tr>
      <w:tr>
        <w:trPr>
          <w:cantSplit/>
          <w:trHeight w:val="500" w:hRule="atLeast"/>
        </w:trPr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Attempt date</w:t>
            </w:r>
          </w:p>
        </w:tc>
        <w:tc>
          <w:tcPr>
            <w:tcW w:type="dxa" w:w="30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Total time</w:t>
            </w:r>
          </w:p>
        </w:tc>
        <w:tc>
          <w:tcPr>
            <w:tcW w:type="dxa" w:w="29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Overall result</w:t>
            </w:r>
          </w:p>
        </w:tc>
        <w:tc>
          <w:tcPr>
            <w:tcW w:type="dxa" w:w="30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Questions changed</w:t>
            </w:r>
          </w:p>
        </w:tc>
        <w:tc>
          <w:tcPr>
            <w:tcW w:type="dxa" w:w="29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Strongest domain</w:t>
            </w:r>
          </w:p>
        </w:tc>
        <w:tc>
          <w:tcPr>
            <w:tcW w:type="dxa" w:w="30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</w:t>
            </w:r>
          </w:p>
        </w:tc>
        <w:tc>
          <w:tcPr>
            <w:tcW w:type="dxa" w:w="194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Weakest domain</w:t>
            </w:r>
          </w:p>
        </w:tc>
        <w:tc>
          <w:tcPr>
            <w:tcW w:type="dxa" w:w="295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Primary reasoning error</w:t>
            </w:r>
          </w:p>
        </w:tc>
        <w:tc>
          <w:tcPr>
            <w:tcW w:type="dxa" w:w="30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</w:t>
            </w:r>
          </w:p>
        </w:tc>
        <w:tc>
          <w:tcPr>
            <w:tcW w:type="dxa" w:w="194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Primary pacing issue</w:t>
            </w:r>
          </w:p>
        </w:tc>
        <w:tc>
          <w:tcPr>
            <w:tcW w:type="dxa" w:w="295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</w:t>
            </w:r>
          </w:p>
        </w:tc>
      </w:tr>
    </w:tbl>
    <w:p>
      <w:pPr>
        <w:pStyle w:val="Heading2"/>
        <w:keepNext/>
      </w:pPr>
      <w:r>
        <w:t>Domain-Level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288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180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Result/Notes</w:t>
            </w:r>
          </w:p>
        </w:tc>
        <w:tc>
          <w:tcPr>
            <w:tcW w:type="dxa" w:w="144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Readiness</w:t>
            </w:r>
          </w:p>
        </w:tc>
        <w:tc>
          <w:tcPr>
            <w:tcW w:type="dxa" w:w="367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Required Review</w:t>
            </w:r>
          </w:p>
        </w:tc>
      </w:tr>
      <w:tr>
        <w:trPr>
          <w:cantSplit/>
          <w:trHeight w:val="480" w:hRule="atLeast"/>
        </w:trPr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Clinical reasoning and sequencing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14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36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Relational and systemic formulation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14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367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Assessment and mental status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14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36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Diagnosis and differential diagnosis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14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367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Crisis, abuse, and safety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14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36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Planning and intervention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14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367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Culture, development, and access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144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367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</w:t>
            </w:r>
          </w:p>
        </w:tc>
      </w:tr>
      <w:tr>
        <w:trPr>
          <w:cantSplit/>
          <w:trHeight w:val="480" w:hRule="atLeast"/>
        </w:trPr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Legal, ethical, and professional practice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144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</w:t>
            </w:r>
          </w:p>
        </w:tc>
        <w:tc>
          <w:tcPr>
            <w:tcW w:type="dxa" w:w="367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____________________________</w:t>
            </w:r>
          </w:p>
        </w:tc>
      </w:tr>
    </w:tbl>
    <w:p>
      <w:pPr>
        <w:pStyle w:val="Heading2"/>
        <w:keepNext/>
      </w:pPr>
      <w:r>
        <w:t>Required Remediation Before Form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  <w:cantSplit/>
        </w:trPr>
        <w:tc>
          <w:tcPr>
            <w:tcW w:type="dxa" w:w="43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88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Gap</w:t>
            </w:r>
          </w:p>
        </w:tc>
        <w:tc>
          <w:tcPr>
            <w:tcW w:type="dxa" w:w="453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Corrective Action</w:t>
            </w:r>
          </w:p>
        </w:tc>
        <w:tc>
          <w:tcPr>
            <w:tcW w:type="dxa" w:w="100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64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Done</w:t>
            </w:r>
          </w:p>
        </w:tc>
      </w:tr>
      <w:tr>
        <w:trPr>
          <w:cantSplit/>
          <w:trHeight w:val="520" w:hRule="atLeast"/>
        </w:trPr>
        <w:tc>
          <w:tcPr>
            <w:tcW w:type="dxa" w:w="4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1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</w:t>
            </w:r>
          </w:p>
        </w:tc>
        <w:tc>
          <w:tcPr>
            <w:tcW w:type="dxa" w:w="45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</w:t>
            </w:r>
          </w:p>
        </w:tc>
        <w:tc>
          <w:tcPr>
            <w:tcW w:type="dxa" w:w="100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6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  <w:tr>
        <w:trPr>
          <w:cantSplit/>
          <w:trHeight w:val="520" w:hRule="atLeast"/>
        </w:trPr>
        <w:tc>
          <w:tcPr>
            <w:tcW w:type="dxa" w:w="4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2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</w:t>
            </w:r>
          </w:p>
        </w:tc>
        <w:tc>
          <w:tcPr>
            <w:tcW w:type="dxa" w:w="45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</w:t>
            </w:r>
          </w:p>
        </w:tc>
        <w:tc>
          <w:tcPr>
            <w:tcW w:type="dxa" w:w="100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64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  <w:tr>
        <w:trPr>
          <w:cantSplit/>
          <w:trHeight w:val="520" w:hRule="atLeast"/>
        </w:trPr>
        <w:tc>
          <w:tcPr>
            <w:tcW w:type="dxa" w:w="4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3</w:t>
            </w:r>
          </w:p>
        </w:tc>
        <w:tc>
          <w:tcPr>
            <w:tcW w:type="dxa" w:w="288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</w:t>
            </w:r>
          </w:p>
        </w:tc>
        <w:tc>
          <w:tcPr>
            <w:tcW w:type="dxa" w:w="453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</w:t>
            </w:r>
          </w:p>
        </w:tc>
        <w:tc>
          <w:tcPr>
            <w:tcW w:type="dxa" w:w="100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64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  <w:tr>
        <w:trPr>
          <w:cantSplit/>
          <w:trHeight w:val="520" w:hRule="atLeast"/>
        </w:trPr>
        <w:tc>
          <w:tcPr>
            <w:tcW w:type="dxa" w:w="4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4</w:t>
            </w:r>
          </w:p>
        </w:tc>
        <w:tc>
          <w:tcPr>
            <w:tcW w:type="dxa" w:w="288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</w:t>
            </w:r>
          </w:p>
        </w:tc>
        <w:tc>
          <w:tcPr>
            <w:tcW w:type="dxa" w:w="453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________________________</w:t>
            </w:r>
          </w:p>
        </w:tc>
        <w:tc>
          <w:tcPr>
            <w:tcW w:type="dxa" w:w="100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________</w:t>
            </w:r>
          </w:p>
        </w:tc>
        <w:tc>
          <w:tcPr>
            <w:tcW w:type="dxa" w:w="64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5"/>
              </w:rPr>
              <w:t>☐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Form B Readiness and Final Simulation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FF6DD"/>
            <w:tcBorders>
              <w:top w:val="single" w:sz="8" w:color="D9A441"/>
              <w:left w:val="single" w:sz="8" w:color="D9A441"/>
              <w:bottom w:val="single" w:sz="8" w:color="D9A441"/>
              <w:right w:val="single" w:sz="8" w:color="D9A441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Form B is the final readiness form:  </w:t>
            </w:r>
            <w:r>
              <w:rPr>
                <w:color w:val="24313D"/>
              </w:rPr>
              <w:t>Do not use it as casual extra practice. Open it only after Form A remediation has been completed and demonstrated with new evidence.</w:t>
            </w:r>
          </w:p>
        </w:tc>
      </w:tr>
    </w:tbl>
    <w:p>
      <w:pPr>
        <w:spacing w:after="40"/>
      </w:pPr>
      <w:r>
        <w:rPr>
          <w:sz w:val="18"/>
        </w:rPr>
        <w:t>☐ I completed every required Form A remediation action.</w:t>
      </w:r>
    </w:p>
    <w:p>
      <w:pPr>
        <w:spacing w:after="40"/>
      </w:pPr>
      <w:r>
        <w:rPr>
          <w:sz w:val="18"/>
        </w:rPr>
        <w:t>☐ I can state the corrected rule for each major Form A error pattern.</w:t>
      </w:r>
    </w:p>
    <w:p>
      <w:pPr>
        <w:spacing w:after="40"/>
      </w:pPr>
      <w:r>
        <w:rPr>
          <w:sz w:val="18"/>
        </w:rPr>
        <w:t>☐ I completed new practice that demonstrates the correction.</w:t>
      </w:r>
    </w:p>
    <w:p>
      <w:pPr>
        <w:spacing w:after="40"/>
      </w:pPr>
      <w:r>
        <w:rPr>
          <w:sz w:val="18"/>
        </w:rPr>
        <w:t>☐ I reviewed weak workbook topics without memorizing Form A answers as a substitute for reasoning.</w:t>
      </w:r>
    </w:p>
    <w:p>
      <w:pPr>
        <w:spacing w:after="40"/>
      </w:pPr>
      <w:r>
        <w:rPr>
          <w:sz w:val="18"/>
        </w:rPr>
        <w:t>☐ My pacing plan has been adjusted based on Form A.</w:t>
      </w:r>
    </w:p>
    <w:p>
      <w:pPr>
        <w:spacing w:after="40"/>
      </w:pPr>
      <w:r>
        <w:rPr>
          <w:sz w:val="18"/>
        </w:rPr>
        <w:t>☐ My anxiety and attention recovery plan is realistic and practiced.</w:t>
      </w:r>
    </w:p>
    <w:p>
      <w:pPr>
        <w:spacing w:after="40"/>
      </w:pPr>
      <w:r>
        <w:rPr>
          <w:sz w:val="18"/>
        </w:rPr>
        <w:t>☐ I can explain why I change an answer only when I identify a specific misread fact, task, rule, or sequence error.</w:t>
      </w:r>
    </w:p>
    <w:p>
      <w:pPr>
        <w:spacing w:after="40"/>
      </w:pPr>
      <w:r>
        <w:rPr>
          <w:sz w:val="18"/>
        </w:rPr>
        <w:t>☐ I selected a protected testing setting and will preserve full simulation conditions.</w:t>
      </w:r>
    </w:p>
    <w:p>
      <w:pPr>
        <w:pStyle w:val="Heading2"/>
        <w:keepNext/>
      </w:pPr>
      <w:r>
        <w:t>Evidence of Correction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  <w:cantSplit/>
        </w:trPr>
        <w:tc>
          <w:tcPr>
            <w:tcW w:type="dxa" w:w="2016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280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Correction</w:t>
            </w:r>
          </w:p>
        </w:tc>
        <w:tc>
          <w:tcPr>
            <w:tcW w:type="dxa" w:w="180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16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  <w:trHeight w:val="540" w:hRule="atLeast"/>
        </w:trPr>
        <w:tc>
          <w:tcPr>
            <w:tcW w:type="dxa" w:w="20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Form A error pattern 1</w:t>
            </w:r>
          </w:p>
        </w:tc>
        <w:tc>
          <w:tcPr>
            <w:tcW w:type="dxa" w:w="280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New evidence</w:t>
            </w:r>
          </w:p>
        </w:tc>
        <w:tc>
          <w:tcPr>
            <w:tcW w:type="dxa" w:w="31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</w:tr>
      <w:tr>
        <w:trPr>
          <w:cantSplit/>
          <w:trHeight w:val="540" w:hRule="atLeast"/>
        </w:trPr>
        <w:tc>
          <w:tcPr>
            <w:tcW w:type="dxa" w:w="20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Form A error pattern 2</w:t>
            </w:r>
          </w:p>
        </w:tc>
        <w:tc>
          <w:tcPr>
            <w:tcW w:type="dxa" w:w="280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New evidence</w:t>
            </w:r>
          </w:p>
        </w:tc>
        <w:tc>
          <w:tcPr>
            <w:tcW w:type="dxa" w:w="31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</w:tr>
      <w:tr>
        <w:trPr>
          <w:cantSplit/>
          <w:trHeight w:val="540" w:hRule="atLeast"/>
        </w:trPr>
        <w:tc>
          <w:tcPr>
            <w:tcW w:type="dxa" w:w="2016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Form A error pattern 3</w:t>
            </w:r>
          </w:p>
        </w:tc>
        <w:tc>
          <w:tcPr>
            <w:tcW w:type="dxa" w:w="280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  <w:tc>
          <w:tcPr>
            <w:tcW w:type="dxa" w:w="180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New evidence</w:t>
            </w:r>
          </w:p>
        </w:tc>
        <w:tc>
          <w:tcPr>
            <w:tcW w:type="dxa" w:w="31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</w:tr>
      <w:tr>
        <w:trPr>
          <w:cantSplit/>
          <w:trHeight w:val="540" w:hRule="atLeast"/>
        </w:trPr>
        <w:tc>
          <w:tcPr>
            <w:tcW w:type="dxa" w:w="2016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24313D"/>
                <w:sz w:val="16"/>
              </w:rPr>
              <w:t>Pacing correction</w:t>
            </w:r>
          </w:p>
        </w:tc>
        <w:tc>
          <w:tcPr>
            <w:tcW w:type="dxa" w:w="280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  <w:tc>
          <w:tcPr>
            <w:tcW w:type="dxa" w:w="180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Recovery plan</w:t>
            </w:r>
          </w:p>
        </w:tc>
        <w:tc>
          <w:tcPr>
            <w:tcW w:type="dxa" w:w="31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</w:t>
            </w:r>
          </w:p>
        </w:tc>
      </w:tr>
    </w:tbl>
    <w:p>
      <w:pPr>
        <w:pStyle w:val="Heading2"/>
        <w:keepNext/>
      </w:pPr>
      <w:r>
        <w:t>Gate Decision</w:t>
      </w:r>
    </w:p>
    <w:p>
      <w:r>
        <w:t>☐ Continue remediation    ☐ Ready to schedule Form B</w:t>
      </w:r>
    </w:p>
    <w:p>
      <w:r>
        <w:t>Scheduled date: ____________________   Start time: ____________________</w:t>
      </w:r>
    </w:p>
    <w:p>
      <w:r>
        <w:t>Reason this gate is met: 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Final Readiness Summary and Last-Week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Final review should be selective:  </w:t>
            </w:r>
            <w:r>
              <w:rPr>
                <w:color w:val="24313D"/>
              </w:rPr>
              <w:t>Use the last week to reinforce decision rules, pacing, confidence, and recovery—not to restart the entire curriculum or chase every possible fact.</w:t>
            </w:r>
          </w:p>
        </w:tc>
      </w:tr>
    </w:tbl>
    <w:p>
      <w:pPr>
        <w:pStyle w:val="Heading2"/>
        <w:keepNext/>
      </w:pPr>
      <w:r>
        <w:t>Final Readiness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  <w:cantSplit/>
        </w:trPr>
        <w:tc>
          <w:tcPr>
            <w:tcW w:type="dxa" w:w="316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79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1–4</w:t>
            </w:r>
          </w:p>
        </w:tc>
        <w:tc>
          <w:tcPr>
            <w:tcW w:type="dxa" w:w="583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Final Evidence</w:t>
            </w:r>
          </w:p>
        </w:tc>
      </w:tr>
      <w:tr>
        <w:trPr>
          <w:cantSplit/>
          <w:trHeight w:val="500" w:hRule="atLeast"/>
        </w:trPr>
        <w:tc>
          <w:tcPr>
            <w:tcW w:type="dxa" w:w="31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Clinical reasoning and sequencing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</w:t>
            </w:r>
          </w:p>
        </w:tc>
        <w:tc>
          <w:tcPr>
            <w:tcW w:type="dxa" w:w="58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31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Relational and systemic formulation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</w:t>
            </w:r>
          </w:p>
        </w:tc>
        <w:tc>
          <w:tcPr>
            <w:tcW w:type="dxa" w:w="58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31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Assessment and mental status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</w:t>
            </w:r>
          </w:p>
        </w:tc>
        <w:tc>
          <w:tcPr>
            <w:tcW w:type="dxa" w:w="58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31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Diagnosis and differential diagnosis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</w:t>
            </w:r>
          </w:p>
        </w:tc>
        <w:tc>
          <w:tcPr>
            <w:tcW w:type="dxa" w:w="58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31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Crisis, abuse, and safety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</w:t>
            </w:r>
          </w:p>
        </w:tc>
        <w:tc>
          <w:tcPr>
            <w:tcW w:type="dxa" w:w="58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31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Planning and intervention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</w:t>
            </w:r>
          </w:p>
        </w:tc>
        <w:tc>
          <w:tcPr>
            <w:tcW w:type="dxa" w:w="58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3168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Culture, development, and access</w:t>
            </w:r>
          </w:p>
        </w:tc>
        <w:tc>
          <w:tcPr>
            <w:tcW w:type="dxa" w:w="79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</w:t>
            </w:r>
          </w:p>
        </w:tc>
        <w:tc>
          <w:tcPr>
            <w:tcW w:type="dxa" w:w="583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</w:tr>
      <w:tr>
        <w:trPr>
          <w:cantSplit/>
          <w:trHeight w:val="500" w:hRule="atLeast"/>
        </w:trPr>
        <w:tc>
          <w:tcPr>
            <w:tcW w:type="dxa" w:w="3168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Legal, ethical, and professional practice</w:t>
            </w:r>
          </w:p>
        </w:tc>
        <w:tc>
          <w:tcPr>
            <w:tcW w:type="dxa" w:w="79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</w:t>
            </w:r>
          </w:p>
        </w:tc>
        <w:tc>
          <w:tcPr>
            <w:tcW w:type="dxa" w:w="583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color w:val="24313D"/>
                <w:sz w:val="16"/>
              </w:rPr>
              <w:t>________________________________________</w:t>
            </w:r>
          </w:p>
        </w:tc>
      </w:tr>
    </w:tbl>
    <w:p>
      <w:pPr>
        <w:pStyle w:val="Heading2"/>
        <w:keepNext/>
      </w:pPr>
      <w:r>
        <w:t>Last-Week Checklist</w:t>
      </w:r>
    </w:p>
    <w:p>
      <w:pPr>
        <w:spacing w:after="40"/>
      </w:pPr>
      <w:r>
        <w:rPr>
          <w:sz w:val="17"/>
        </w:rPr>
        <w:t>☐ Review only the highest-yield quick-reference sheets and error-log rules.</w:t>
      </w:r>
    </w:p>
    <w:p>
      <w:pPr>
        <w:spacing w:after="40"/>
      </w:pPr>
      <w:r>
        <w:rPr>
          <w:sz w:val="17"/>
        </w:rPr>
        <w:t>☐ Use flashcards and audio review for retrieval—not passive rereading.</w:t>
      </w:r>
    </w:p>
    <w:p>
      <w:pPr>
        <w:spacing w:after="40"/>
      </w:pPr>
      <w:r>
        <w:rPr>
          <w:sz w:val="17"/>
        </w:rPr>
        <w:t>☐ Rehearse task words, sequence, safety, role, assessment, client/context, and intervention fit.</w:t>
      </w:r>
    </w:p>
    <w:p>
      <w:pPr>
        <w:spacing w:after="40"/>
      </w:pPr>
      <w:r>
        <w:rPr>
          <w:sz w:val="17"/>
        </w:rPr>
        <w:t>☐ Use a normal sleep, food, medication, transportation, and arrival plan.</w:t>
      </w:r>
    </w:p>
    <w:p>
      <w:pPr>
        <w:spacing w:after="40"/>
      </w:pPr>
      <w:r>
        <w:rPr>
          <w:sz w:val="17"/>
        </w:rPr>
        <w:t>☐ Prepare identification and official testing instructions using current exam-provider information.</w:t>
      </w:r>
    </w:p>
    <w:p>
      <w:pPr>
        <w:spacing w:after="40"/>
      </w:pPr>
      <w:r>
        <w:rPr>
          <w:sz w:val="17"/>
        </w:rPr>
        <w:t>☐ Stop heavy studying early enough to protect rest and attention.</w:t>
      </w:r>
    </w:p>
    <w:p>
      <w:pPr>
        <w:spacing w:after="40"/>
      </w:pPr>
      <w:r>
        <w:rPr>
          <w:sz w:val="17"/>
        </w:rPr>
        <w:t>☐ Use one practiced recovery cue when anxiety rises.</w:t>
      </w:r>
    </w:p>
    <w:p>
      <w:pPr>
        <w:spacing w:after="40"/>
      </w:pPr>
      <w:r>
        <w:rPr>
          <w:sz w:val="17"/>
        </w:rPr>
        <w:t>☐ Accept uncertainty and choose the best supported option from the facts given.</w:t>
      </w:r>
    </w:p>
    <w:p>
      <w:pPr>
        <w:pStyle w:val="Heading2"/>
        <w:keepNext/>
      </w:pPr>
      <w:r>
        <w:t>Final Status</w:t>
      </w:r>
    </w:p>
    <w:p>
      <w:r>
        <w:t>☐ Needs additional preparation   ☐ Progressing   ☐ Final review complete</w:t>
      </w:r>
    </w:p>
    <w:p>
      <w:r>
        <w:t>My three strongest readiness indicators are:</w:t>
      </w:r>
    </w:p>
    <w:p>
      <w:r>
        <w:t>1. _________________________________________________________________________________________________</w:t>
      </w:r>
    </w:p>
    <w:p>
      <w:r>
        <w:t>2. _________________________________________________________________________________________________</w:t>
      </w:r>
    </w:p>
    <w:p>
      <w:r>
        <w:t>3. _________________________________________________________________________________________________</w:t>
      </w:r>
    </w:p>
    <w:p>
      <w:pPr>
        <w:spacing w:before="160"/>
      </w:pPr>
      <w:r>
        <w:rPr>
          <w:b/>
        </w:rPr>
        <w:t xml:space="preserve">Student commitment: </w:t>
      </w:r>
      <w:r>
        <w:t>I will use the task, facts, sequence, role, client/context, and least premature action to guide each decision.</w:t>
      </w:r>
    </w:p>
    <w:p>
      <w:r>
        <w:t>Signature: _______________________________________________   Date: 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35" w:bottom="792" w:left="835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8737D"/>
        <w:sz w:val="16"/>
      </w:rPr>
      <w:t xml:space="preserve">Clinical Training Academy |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TAHeader"/>
      <w:jc w:val="right"/>
    </w:pPr>
    <w:r>
      <w:t>CLINICAL TRAINING ACADEMY  •  LMFT READINESS &amp; PROGRESS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431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7A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00" w:after="80"/>
    </w:pPr>
    <w:rPr>
      <w:rFonts w:asciiTheme="majorHAnsi" w:eastAsiaTheme="majorEastAsia" w:hAnsiTheme="majorHAnsi" w:cstheme="majorBidi" w:ascii="Arial" w:hAnsi="Arial"/>
      <w:b/>
      <w:i/>
      <w:iCs/>
      <w:color w:val="1F7A8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Header">
    <w:name w:val="CTA Header"/>
    <w:rPr>
      <w:rFonts w:ascii="Arial" w:hAnsi="Arial"/>
      <w:b/>
      <w:color w:val="1F7A8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LMFT Readiness Self Assessment and Progress Tracker v1.0</dc:title>
  <dc:subject>CTA clinical exam preparation readiness self-assessment and progress tracker</dc:subject>
  <dc:creator>Clinical Training Academy</dc:creator>
  <cp:keywords>CTA, readiness, self-assessment, progress tracker, LMFT, LCSW, exam preparation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