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234440" cy="892311"/>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image.png" descr="Clinical Training Academy logo"/>
                    <pic:cNvPicPr/>
                  </pic:nvPicPr>
                  <pic:blipFill>
                    <a:blip r:embed="rId9"/>
                    <a:stretch>
                      <a:fillRect/>
                    </a:stretch>
                  </pic:blipFill>
                  <pic:spPr>
                    <a:xfrm>
                      <a:off x="0" y="0"/>
                      <a:ext cx="1234440" cy="892311"/>
                    </a:xfrm>
                    <a:prstGeom prst="rect"/>
                  </pic:spPr>
                </pic:pic>
              </a:graphicData>
            </a:graphic>
          </wp:inline>
        </w:drawing>
      </w:r>
    </w:p>
    <w:p>
      <w:pPr>
        <w:spacing w:after="60"/>
        <w:jc w:val="center"/>
      </w:pPr>
      <w:r>
        <w:rPr>
          <w:b/>
          <w:i w:val="0"/>
          <w:color w:val="0F7C82"/>
          <w:sz w:val="23"/>
        </w:rPr>
        <w:t>LMFT EXAM PREPARATION PROGRAM</w:t>
      </w:r>
    </w:p>
    <w:p>
      <w:pPr>
        <w:spacing w:after="240"/>
        <w:jc w:val="center"/>
      </w:pPr>
      <w:r>
        <w:rPr>
          <w:b/>
          <w:i w:val="0"/>
          <w:color w:val="C17C00"/>
          <w:sz w:val="30"/>
        </w:rPr>
        <w:t>Student Workbook</w:t>
      </w:r>
    </w:p>
    <w:p>
      <w:pPr>
        <w:pStyle w:val="Title"/>
        <w:spacing w:after="160"/>
        <w:jc w:val="center"/>
      </w:pPr>
      <w:r>
        <w:t>CTA LMFT Workbook 10: Developmental, Cultural, and Contextual Interventions</w:t>
      </w:r>
    </w:p>
    <w:p>
      <w:pPr>
        <w:spacing w:after="240"/>
        <w:jc w:val="center"/>
      </w:pPr>
      <w:r>
        <w:rPr>
          <w:b w:val="0"/>
          <w:i/>
          <w:color w:val="5B6573"/>
          <w:sz w:val="24"/>
        </w:rPr>
        <w:t>Adapting treatment to development, identity, environment, access, and relational meaning</w:t>
      </w:r>
    </w:p>
    <w:p>
      <w:pPr>
        <w:spacing w:after="360"/>
        <w:jc w:val="center"/>
      </w:pPr>
      <w:r>
        <w:rPr>
          <w:b w:val="0"/>
          <w:i w:val="0"/>
          <w:color w:val="667085"/>
          <w:sz w:val="21"/>
        </w:rPr>
        <w:t>Version 1.0 - July 2026</w:t>
      </w:r>
    </w:p>
    <w:p>
      <w:pPr>
        <w:spacing w:before="240"/>
        <w:jc w:val="center"/>
      </w:pPr>
      <w:r>
        <w:rPr>
          <w:b/>
          <w:i w:val="0"/>
          <w:color w:val="17365D"/>
          <w:sz w:val="22"/>
        </w:rPr>
        <w:t>Clinical Training Academy</w:t>
      </w:r>
    </w:p>
    <w:p>
      <w:r>
        <w:br w:type="page"/>
      </w:r>
    </w:p>
    <w:tbl>
      <w:tblPr>
        <w:tblW w:type="auto" w:w="0"/>
        <w:jc w:val="center"/>
        <w:tblLayout w:type="fixed"/>
        <w:tblLook w:firstColumn="1" w:firstRow="1" w:lastColumn="0" w:lastRow="0" w:noHBand="0" w:noVBand="1" w:val="04A0"/>
      </w:tblPr>
      <w:tblGrid>
        <w:gridCol w:w="8208"/>
      </w:tblGrid>
      <w:tr>
        <w:trPr>
          <w:cantSplit/>
          <w:tblHeader w:val="true"/>
        </w:trPr>
        <w:tc>
          <w:tcPr>
            <w:tcW w:type="dxa" w:w="10080"/>
            <w:shd w:fill="EEF6F8"/>
            <w:tcMar>
              <w:top w:w="120" w:type="dxa"/>
              <w:start w:w="140" w:type="dxa"/>
              <w:bottom w:w="120" w:type="dxa"/>
              <w:end w:w="140" w:type="dxa"/>
            </w:tcMar>
            <w:vAlign w:val="center"/>
          </w:tcPr>
          <w:p>
            <w:pPr>
              <w:spacing w:after="0" w:before="0" w:line="252" w:lineRule="auto"/>
              <w:jc w:val="center"/>
            </w:pPr>
            <w:r>
              <w:rPr>
                <w:b/>
              </w:rPr>
              <w:t>Educational and Non-Affiliation Notice</w:t>
            </w:r>
            <w:r>
              <w:br/>
              <w:t>This workbook is an independent educational resource developed by Clinical Training and Supervision Academy. CTA is not affiliated with, endorsed by, or sponsored by the California Board of Behavioral Sciences, Pearson VUE, the Association of Social Work Boards, or any other licensing or testing organization. Examination specifications, laws, regulations, and professional standards may change. Candidates are responsible for consulting current official sources. Completion of this program does not guarantee examination passage.</w:t>
            </w:r>
          </w:p>
        </w:tc>
      </w:tr>
    </w:tbl>
    <w:tbl>
      <w:tblPr>
        <w:tblW w:type="auto" w:w="0"/>
        <w:jc w:val="center"/>
        <w:tblLayout w:type="fixed"/>
        <w:tblLook w:firstColumn="1" w:firstRow="1" w:lastColumn="0" w:lastRow="0" w:noHBand="0" w:noVBand="1" w:val="04A0"/>
      </w:tblPr>
      <w:tblGrid>
        <w:gridCol w:w="9936"/>
      </w:tblGrid>
      <w:tr>
        <w:trPr>
          <w:cantSplit/>
          <w:tblHeader w:val="true"/>
        </w:trPr>
        <w:tc>
          <w:tcPr>
            <w:tcW w:type="dxa" w:w="10080"/>
            <w:shd w:fill="EEF6F8"/>
            <w:tcMar>
              <w:top w:w="120" w:type="dxa"/>
              <w:start w:w="140" w:type="dxa"/>
              <w:bottom w:w="120" w:type="dxa"/>
              <w:end w:w="140" w:type="dxa"/>
            </w:tcMar>
            <w:vAlign w:val="center"/>
          </w:tcPr>
          <w:p>
            <w:pPr>
              <w:spacing w:after="0" w:before="0" w:line="252" w:lineRule="auto"/>
            </w:pPr>
            <w:r>
              <w:rPr>
                <w:b/>
              </w:rPr>
              <w:t>Clinical and Legal Scope Notice</w:t>
            </w:r>
            <w:r>
              <w:br/>
              <w:t>The material is provided for examination preparation and professional education. It is not legal advice, clinical supervision, diagnosis, treatment, or a substitute for consultation with qualified legal, clinical, regulatory, or professional experts. California examination and professional-practice references were reviewed against current official sources on July 24, 2026. Candidates should verify current Board requirements and setting-specific procedures.</w:t>
            </w:r>
          </w:p>
        </w:tc>
      </w:tr>
    </w:tbl>
    <w:p>
      <w:pPr>
        <w:pStyle w:val="Heading1"/>
      </w:pPr>
      <w:r>
        <w:t>How to Use This Workbook</w:t>
      </w:r>
    </w:p>
    <w:p>
      <w:r>
        <w:rPr>
          <w:i w:val="0"/>
        </w:rPr>
        <w:t>This workbook focuses on treatment adaptation. Assessment tells you which developmental, cultural, identity, accessibility, and environmental factors matter; intervention reasoning asks how those factors should change the treatment plan, language, pacing, participants, setting, and evaluation. Read each section, complete the worksheet, then answer the knowledge check without reviewing the rationales.</w:t>
      </w: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AF3F8"/>
            <w:tcMar>
              <w:top w:w="150" w:type="dxa"/>
              <w:start w:w="180" w:type="dxa"/>
              <w:bottom w:w="150" w:type="dxa"/>
              <w:end w:w="180" w:type="dxa"/>
            </w:tcMar>
          </w:tcPr>
          <w:p>
            <w:pPr>
              <w:spacing w:after="80"/>
            </w:pPr>
            <w:r>
              <w:rPr>
                <w:b/>
                <w:i w:val="0"/>
                <w:color w:val="1F4E78"/>
              </w:rPr>
              <w:t>Core Exam Question</w:t>
            </w:r>
          </w:p>
          <w:p>
            <w:pPr>
              <w:spacing w:after="0"/>
            </w:pPr>
            <w:r>
              <w:t>What adaptation makes the intervention safer, more accessible, developmentally matched, culturally responsive, and useful within the client’s relationship system?</w:t>
            </w:r>
          </w:p>
        </w:tc>
      </w:tr>
    </w:tbl>
    <w:p>
      <w:pPr>
        <w:spacing w:after="0"/>
      </w:pPr>
    </w:p>
    <w:p>
      <w:pPr>
        <w:pStyle w:val="Heading1"/>
      </w:pPr>
      <w:r>
        <w:t>Learning Objectives</w:t>
      </w:r>
    </w:p>
    <w:p>
      <w:pPr>
        <w:pStyle w:val="ListBullet"/>
      </w:pPr>
      <w:r>
        <w:t>Adapt intervention language, pacing, activity, expectations, participants, and setting to developmental capacity across childhood, adolescence, adulthood, aging, disability, neurodiversity, illness, and family life-cycle transitions.</w:t>
      </w:r>
    </w:p>
    <w:p>
      <w:pPr>
        <w:pStyle w:val="ListBullet"/>
      </w:pPr>
      <w:r>
        <w:t>Use cultural humility, intersectional assessment, and client-defined meaning to integrate identity, spirituality, family and community values, minority stress, power, privilege, and historical context without stereotyping.</w:t>
      </w:r>
    </w:p>
    <w:p>
      <w:pPr>
        <w:pStyle w:val="ListBullet"/>
      </w:pPr>
      <w:r>
        <w:t>Identify and address accessibility, language, socioeconomic, housing, educational, occupational, immigration, military, caregiving, health, and technology conditions that affect engagement, safety, alliance, and outcomes.</w:t>
      </w:r>
    </w:p>
    <w:p>
      <w:pPr>
        <w:pStyle w:val="ListBullet"/>
      </w:pPr>
      <w:r>
        <w:t>Select proportionate individual, couple, family, caregiver, school, medical, community, interpretive, or specialty supports while preserving informed participation, role clarity, confidentiality, and professional competence.</w:t>
      </w:r>
    </w:p>
    <w:p>
      <w:pPr>
        <w:pStyle w:val="ListBullet"/>
      </w:pPr>
      <w:r>
        <w:t>Evaluate whether contextual adaptations improve understanding, participation, access, alliance, functioning, relational patterns, and client-defined goals and revise the formulation or intervention when they do not.</w:t>
      </w:r>
    </w:p>
    <w:p>
      <w:pPr>
        <w:pStyle w:val="Heading1"/>
      </w:pPr>
      <w:r>
        <w:t>Why This Topic Matters</w:t>
      </w:r>
    </w:p>
    <w:p>
      <w:r>
        <w:rPr>
          <w:i w:val="0"/>
        </w:rPr>
        <w:t>Many examination options name an intervention that could be effective in general. The best answer is the version that fits the client’s developmental capacity, cultural and identity meanings, access conditions, family system, stage of treatment, and informed preferences. Context should change clinical action, not simply appear in the assessment paragraph.</w:t>
      </w:r>
    </w:p>
    <w:p>
      <w:pPr>
        <w:pStyle w:val="Heading1"/>
      </w:pPr>
      <w:r>
        <w:t>1. The CARE Contextual Intervention Sequence</w:t>
      </w:r>
    </w:p>
    <w:tbl>
      <w:tblPr>
        <w:tblStyle w:val="TableGrid"/>
        <w:tblW w:type="auto" w:w="0"/>
        <w:jc w:val="center"/>
        <w:tblLayout w:type="fixed"/>
        <w:tblLook w:firstColumn="1" w:firstRow="1" w:lastColumn="0" w:lastRow="0" w:noHBand="0" w:noVBand="1" w:val="04A0"/>
      </w:tblPr>
      <w:tblGrid>
        <w:gridCol w:w="2232"/>
        <w:gridCol w:w="7704"/>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Step</w:t>
            </w:r>
          </w:p>
        </w:tc>
        <w:tc>
          <w:tcPr>
            <w:tcW w:type="dxa" w:w="5040"/>
            <w:shd w:fill="17365D"/>
            <w:tcMar>
              <w:top w:w="100" w:type="dxa"/>
              <w:start w:w="120" w:type="dxa"/>
              <w:bottom w:w="100" w:type="dxa"/>
              <w:end w:w="120" w:type="dxa"/>
            </w:tcMar>
          </w:tcPr>
          <w:p>
            <w:pPr>
              <w:spacing w:after="0"/>
            </w:pPr>
            <w:r>
              <w:rPr>
                <w:b/>
                <w:color w:val="FFFFFF"/>
                <w:sz w:val="17"/>
              </w:rPr>
              <w:t>Clinical Question</w:t>
            </w:r>
          </w:p>
        </w:tc>
      </w:tr>
      <w:tr>
        <w:trPr>
          <w:cantSplit/>
        </w:trPr>
        <w:tc>
          <w:tcPr>
            <w:tcW w:type="dxa" w:w="2232"/>
            <w:tcMar>
              <w:top w:w="100" w:type="dxa"/>
              <w:start w:w="120" w:type="dxa"/>
              <w:bottom w:w="100" w:type="dxa"/>
              <w:end w:w="120" w:type="dxa"/>
            </w:tcMar>
          </w:tcPr>
          <w:p>
            <w:pPr>
              <w:spacing w:after="0"/>
            </w:pPr>
            <w:r>
              <w:rPr>
                <w:sz w:val="17"/>
              </w:rPr>
              <w:t>C — Context</w:t>
            </w:r>
          </w:p>
        </w:tc>
        <w:tc>
          <w:tcPr>
            <w:tcW w:type="dxa" w:w="7704"/>
            <w:tcMar>
              <w:top w:w="100" w:type="dxa"/>
              <w:start w:w="120" w:type="dxa"/>
              <w:bottom w:w="100" w:type="dxa"/>
              <w:end w:w="120" w:type="dxa"/>
            </w:tcMar>
          </w:tcPr>
          <w:p>
            <w:pPr>
              <w:spacing w:after="0"/>
            </w:pPr>
            <w:r>
              <w:rPr>
                <w:sz w:val="17"/>
              </w:rPr>
              <w:t>Which developmental, cultural, identity, family, environmental, health, and historical factors change the meaning of the problem?</w:t>
            </w:r>
          </w:p>
        </w:tc>
      </w:tr>
      <w:tr>
        <w:trPr>
          <w:cantSplit/>
        </w:trPr>
        <w:tc>
          <w:tcPr>
            <w:tcW w:type="dxa" w:w="2232"/>
            <w:tcMar>
              <w:top w:w="100" w:type="dxa"/>
              <w:start w:w="120" w:type="dxa"/>
              <w:bottom w:w="100" w:type="dxa"/>
              <w:end w:w="120" w:type="dxa"/>
            </w:tcMar>
            <w:shd w:fill="F7F8FA"/>
          </w:tcPr>
          <w:p>
            <w:pPr>
              <w:spacing w:after="0"/>
            </w:pPr>
            <w:r>
              <w:rPr>
                <w:sz w:val="17"/>
              </w:rPr>
              <w:t>A — Access and alliance</w:t>
            </w:r>
          </w:p>
        </w:tc>
        <w:tc>
          <w:tcPr>
            <w:tcW w:type="dxa" w:w="7704"/>
            <w:tcMar>
              <w:top w:w="100" w:type="dxa"/>
              <w:start w:w="120" w:type="dxa"/>
              <w:bottom w:w="100" w:type="dxa"/>
              <w:end w:w="120" w:type="dxa"/>
            </w:tcMar>
            <w:shd w:fill="F7F8FA"/>
          </w:tcPr>
          <w:p>
            <w:pPr>
              <w:spacing w:after="0"/>
            </w:pPr>
            <w:r>
              <w:rPr>
                <w:sz w:val="17"/>
              </w:rPr>
              <w:t>What language, disability, neurodiversity, technology, transportation, cost, safety, or trust barriers affect participation?</w:t>
            </w:r>
          </w:p>
        </w:tc>
      </w:tr>
      <w:tr>
        <w:trPr>
          <w:cantSplit/>
        </w:trPr>
        <w:tc>
          <w:tcPr>
            <w:tcW w:type="dxa" w:w="2232"/>
            <w:tcMar>
              <w:top w:w="100" w:type="dxa"/>
              <w:start w:w="120" w:type="dxa"/>
              <w:bottom w:w="100" w:type="dxa"/>
              <w:end w:w="120" w:type="dxa"/>
            </w:tcMar>
          </w:tcPr>
          <w:p>
            <w:pPr>
              <w:spacing w:after="0"/>
            </w:pPr>
            <w:r>
              <w:rPr>
                <w:sz w:val="17"/>
              </w:rPr>
              <w:t>R — Relational adaptation</w:t>
            </w:r>
          </w:p>
        </w:tc>
        <w:tc>
          <w:tcPr>
            <w:tcW w:type="dxa" w:w="7704"/>
            <w:tcMar>
              <w:top w:w="100" w:type="dxa"/>
              <w:start w:w="120" w:type="dxa"/>
              <w:bottom w:w="100" w:type="dxa"/>
              <w:end w:w="120" w:type="dxa"/>
            </w:tcMar>
          </w:tcPr>
          <w:p>
            <w:pPr>
              <w:spacing w:after="0"/>
            </w:pPr>
            <w:r>
              <w:rPr>
                <w:sz w:val="17"/>
              </w:rPr>
              <w:t>How should roles, participants, pacing, communication, and intervention method be adapted within the client system?</w:t>
            </w:r>
          </w:p>
        </w:tc>
      </w:tr>
      <w:tr>
        <w:trPr>
          <w:cantSplit/>
        </w:trPr>
        <w:tc>
          <w:tcPr>
            <w:tcW w:type="dxa" w:w="2232"/>
            <w:tcMar>
              <w:top w:w="100" w:type="dxa"/>
              <w:start w:w="120" w:type="dxa"/>
              <w:bottom w:w="100" w:type="dxa"/>
              <w:end w:w="120" w:type="dxa"/>
            </w:tcMar>
            <w:shd w:fill="F7F8FA"/>
          </w:tcPr>
          <w:p>
            <w:pPr>
              <w:spacing w:after="0"/>
            </w:pPr>
            <w:r>
              <w:rPr>
                <w:sz w:val="17"/>
              </w:rPr>
              <w:t>E — Evaluate</w:t>
            </w:r>
          </w:p>
        </w:tc>
        <w:tc>
          <w:tcPr>
            <w:tcW w:type="dxa" w:w="7704"/>
            <w:tcMar>
              <w:top w:w="100" w:type="dxa"/>
              <w:start w:w="120" w:type="dxa"/>
              <w:bottom w:w="100" w:type="dxa"/>
              <w:end w:w="120" w:type="dxa"/>
            </w:tcMar>
            <w:shd w:fill="F7F8FA"/>
          </w:tcPr>
          <w:p>
            <w:pPr>
              <w:spacing w:after="0"/>
            </w:pPr>
            <w:r>
              <w:rPr>
                <w:sz w:val="17"/>
              </w:rPr>
              <w:t>Did the adaptation improve understanding, participation, safety, alliance, functioning, and progress?</w:t>
            </w:r>
          </w:p>
        </w:tc>
      </w:tr>
    </w:tbl>
    <w:p>
      <w:pPr>
        <w:spacing w:after="0"/>
      </w:pP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FFF4D6"/>
            <w:tcMar>
              <w:top w:w="150" w:type="dxa"/>
              <w:start w:w="180" w:type="dxa"/>
              <w:bottom w:w="150" w:type="dxa"/>
              <w:end w:w="180" w:type="dxa"/>
            </w:tcMar>
          </w:tcPr>
          <w:p>
            <w:pPr>
              <w:spacing w:after="80"/>
            </w:pPr>
            <w:r>
              <w:rPr>
                <w:b/>
                <w:i w:val="0"/>
                <w:color w:val="C17C00"/>
              </w:rPr>
              <w:t>Memory Aid</w:t>
            </w:r>
          </w:p>
          <w:p>
            <w:pPr>
              <w:spacing w:after="0"/>
            </w:pPr>
            <w:r>
              <w:t>CARE prevents context from becoming background information. Context must lead to access changes, relational adaptation, and evaluation.</w:t>
            </w:r>
          </w:p>
        </w:tc>
      </w:tr>
    </w:tbl>
    <w:p>
      <w:pPr>
        <w:spacing w:after="0"/>
      </w:pPr>
    </w:p>
    <w:p>
      <w:pPr>
        <w:pStyle w:val="Heading1"/>
      </w:pPr>
      <w:r>
        <w:t>2. Developmental Fit Across the Lifespan</w:t>
      </w:r>
    </w:p>
    <w:p>
      <w:r>
        <w:rPr>
          <w:i w:val="0"/>
        </w:rPr>
        <w:t>Developmental fit affects language, attention demands, emotional regulation expectations, informed participation, caregiver involvement, homework, and the meaning of independence. The therapist distinguishes chronological age from developmental capacity and avoids using a child-only or adult-only assumption when disability, neurodiversity, trauma, illness, or aging changes functioning.</w:t>
      </w:r>
    </w:p>
    <w:tbl>
      <w:tblPr>
        <w:tblStyle w:val="TableGrid"/>
        <w:tblW w:type="auto" w:w="0"/>
        <w:jc w:val="center"/>
        <w:tblLayout w:type="fixed"/>
        <w:tblLook w:firstColumn="1" w:firstRow="1" w:lastColumn="0" w:lastRow="0" w:noHBand="0" w:noVBand="1" w:val="04A0"/>
      </w:tblPr>
      <w:tblGrid>
        <w:gridCol w:w="2376"/>
        <w:gridCol w:w="7560"/>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Developmental Context</w:t>
            </w:r>
          </w:p>
        </w:tc>
        <w:tc>
          <w:tcPr>
            <w:tcW w:type="dxa" w:w="5040"/>
            <w:shd w:fill="17365D"/>
            <w:tcMar>
              <w:top w:w="100" w:type="dxa"/>
              <w:start w:w="120" w:type="dxa"/>
              <w:bottom w:w="100" w:type="dxa"/>
              <w:end w:w="120" w:type="dxa"/>
            </w:tcMar>
          </w:tcPr>
          <w:p>
            <w:pPr>
              <w:spacing w:after="0"/>
            </w:pPr>
            <w:r>
              <w:rPr>
                <w:b/>
                <w:color w:val="FFFFFF"/>
                <w:sz w:val="17"/>
              </w:rPr>
              <w:t>Possible Adaptations</w:t>
            </w:r>
          </w:p>
        </w:tc>
      </w:tr>
      <w:tr>
        <w:trPr>
          <w:cantSplit/>
        </w:trPr>
        <w:tc>
          <w:tcPr>
            <w:tcW w:type="dxa" w:w="2376"/>
            <w:tcMar>
              <w:top w:w="100" w:type="dxa"/>
              <w:start w:w="120" w:type="dxa"/>
              <w:bottom w:w="100" w:type="dxa"/>
              <w:end w:w="120" w:type="dxa"/>
            </w:tcMar>
          </w:tcPr>
          <w:p>
            <w:pPr>
              <w:spacing w:after="0"/>
            </w:pPr>
            <w:r>
              <w:rPr>
                <w:sz w:val="17"/>
              </w:rPr>
              <w:t>Childhood</w:t>
            </w:r>
          </w:p>
        </w:tc>
        <w:tc>
          <w:tcPr>
            <w:tcW w:type="dxa" w:w="7560"/>
            <w:tcMar>
              <w:top w:w="100" w:type="dxa"/>
              <w:start w:w="120" w:type="dxa"/>
              <w:bottom w:w="100" w:type="dxa"/>
              <w:end w:w="120" w:type="dxa"/>
            </w:tcMar>
          </w:tcPr>
          <w:p>
            <w:pPr>
              <w:spacing w:after="0"/>
            </w:pPr>
            <w:r>
              <w:rPr>
                <w:sz w:val="17"/>
              </w:rPr>
              <w:t>Concrete language, play or visual methods, short tasks, caregiver coaching, predictable routines, and school collaboration when appropriate.</w:t>
            </w:r>
          </w:p>
        </w:tc>
      </w:tr>
      <w:tr>
        <w:trPr>
          <w:cantSplit/>
        </w:trPr>
        <w:tc>
          <w:tcPr>
            <w:tcW w:type="dxa" w:w="2376"/>
            <w:tcMar>
              <w:top w:w="100" w:type="dxa"/>
              <w:start w:w="120" w:type="dxa"/>
              <w:bottom w:w="100" w:type="dxa"/>
              <w:end w:w="120" w:type="dxa"/>
            </w:tcMar>
            <w:shd w:fill="F7F8FA"/>
          </w:tcPr>
          <w:p>
            <w:pPr>
              <w:spacing w:after="0"/>
            </w:pPr>
            <w:r>
              <w:rPr>
                <w:sz w:val="17"/>
              </w:rPr>
              <w:t>Adolescence</w:t>
            </w:r>
          </w:p>
        </w:tc>
        <w:tc>
          <w:tcPr>
            <w:tcW w:type="dxa" w:w="7560"/>
            <w:tcMar>
              <w:top w:w="100" w:type="dxa"/>
              <w:start w:w="120" w:type="dxa"/>
              <w:bottom w:w="100" w:type="dxa"/>
              <w:end w:w="120" w:type="dxa"/>
            </w:tcMar>
            <w:shd w:fill="F7F8FA"/>
          </w:tcPr>
          <w:p>
            <w:pPr>
              <w:spacing w:after="0"/>
            </w:pPr>
            <w:r>
              <w:rPr>
                <w:sz w:val="17"/>
              </w:rPr>
              <w:t>Meaningful choices, privacy clarification, identity exploration, collaborative goals, and careful balance of caregiver involvement and autonomy.</w:t>
            </w:r>
          </w:p>
        </w:tc>
      </w:tr>
      <w:tr>
        <w:trPr>
          <w:cantSplit/>
        </w:trPr>
        <w:tc>
          <w:tcPr>
            <w:tcW w:type="dxa" w:w="2376"/>
            <w:tcMar>
              <w:top w:w="100" w:type="dxa"/>
              <w:start w:w="120" w:type="dxa"/>
              <w:bottom w:w="100" w:type="dxa"/>
              <w:end w:w="120" w:type="dxa"/>
            </w:tcMar>
          </w:tcPr>
          <w:p>
            <w:pPr>
              <w:spacing w:after="0"/>
            </w:pPr>
            <w:r>
              <w:rPr>
                <w:sz w:val="17"/>
              </w:rPr>
              <w:t>Adulthood</w:t>
            </w:r>
          </w:p>
        </w:tc>
        <w:tc>
          <w:tcPr>
            <w:tcW w:type="dxa" w:w="7560"/>
            <w:tcMar>
              <w:top w:w="100" w:type="dxa"/>
              <w:start w:w="120" w:type="dxa"/>
              <w:bottom w:w="100" w:type="dxa"/>
              <w:end w:w="120" w:type="dxa"/>
            </w:tcMar>
          </w:tcPr>
          <w:p>
            <w:pPr>
              <w:spacing w:after="0"/>
            </w:pPr>
            <w:r>
              <w:rPr>
                <w:sz w:val="17"/>
              </w:rPr>
              <w:t>Role, work, intimacy, parenting, health, caregiving, and economic demands integrated into treatment.</w:t>
            </w:r>
          </w:p>
        </w:tc>
      </w:tr>
      <w:tr>
        <w:trPr>
          <w:cantSplit/>
        </w:trPr>
        <w:tc>
          <w:tcPr>
            <w:tcW w:type="dxa" w:w="2376"/>
            <w:tcMar>
              <w:top w:w="100" w:type="dxa"/>
              <w:start w:w="120" w:type="dxa"/>
              <w:bottom w:w="100" w:type="dxa"/>
              <w:end w:w="120" w:type="dxa"/>
            </w:tcMar>
            <w:shd w:fill="F7F8FA"/>
          </w:tcPr>
          <w:p>
            <w:pPr>
              <w:spacing w:after="0"/>
            </w:pPr>
            <w:r>
              <w:rPr>
                <w:sz w:val="17"/>
              </w:rPr>
              <w:t>Older adulthood</w:t>
            </w:r>
          </w:p>
        </w:tc>
        <w:tc>
          <w:tcPr>
            <w:tcW w:type="dxa" w:w="7560"/>
            <w:tcMar>
              <w:top w:w="100" w:type="dxa"/>
              <w:start w:w="120" w:type="dxa"/>
              <w:bottom w:w="100" w:type="dxa"/>
              <w:end w:w="120" w:type="dxa"/>
            </w:tcMar>
            <w:shd w:fill="F7F8FA"/>
          </w:tcPr>
          <w:p>
            <w:pPr>
              <w:spacing w:after="0"/>
            </w:pPr>
            <w:r>
              <w:rPr>
                <w:sz w:val="17"/>
              </w:rPr>
              <w:t>Health, grief, caregiving, cognition, sensory access, transportation, technology, isolation, meaning, and family role changes.</w:t>
            </w:r>
          </w:p>
        </w:tc>
      </w:tr>
    </w:tbl>
    <w:p>
      <w:pPr>
        <w:spacing w:after="0"/>
      </w:pPr>
    </w:p>
    <w:p>
      <w:pPr>
        <w:pStyle w:val="Heading1"/>
      </w:pPr>
      <w:r>
        <w:t>3. Individual and Family Life-Cycle Transitions</w:t>
      </w:r>
    </w:p>
    <w:p>
      <w:r>
        <w:rPr>
          <w:i w:val="0"/>
        </w:rPr>
        <w:t>Transitions can increase symptoms because roles, boundaries, loyalties, identity, routines, and support structures are being reorganized. Marriage, childbirth, launching children, divorce, remarriage, migration, retirement, illness, caregiving, deployment, reunification, and loss may require both individual coping and relational reorganization.</w:t>
      </w:r>
    </w:p>
    <w:tbl>
      <w:tblPr>
        <w:tblStyle w:val="TableGrid"/>
        <w:tblW w:type="auto" w:w="0"/>
        <w:jc w:val="center"/>
        <w:tblLayout w:type="fixed"/>
        <w:tblLook w:firstColumn="1" w:firstRow="1" w:lastColumn="0" w:lastRow="0" w:noHBand="0" w:noVBand="1" w:val="04A0"/>
      </w:tblPr>
      <w:tblGrid>
        <w:gridCol w:w="3744"/>
        <w:gridCol w:w="6192"/>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Exam Trap</w:t>
            </w:r>
          </w:p>
        </w:tc>
        <w:tc>
          <w:tcPr>
            <w:tcW w:type="dxa" w:w="5040"/>
            <w:shd w:fill="17365D"/>
            <w:tcMar>
              <w:top w:w="100" w:type="dxa"/>
              <w:start w:w="120" w:type="dxa"/>
              <w:bottom w:w="100" w:type="dxa"/>
              <w:end w:w="120" w:type="dxa"/>
            </w:tcMar>
          </w:tcPr>
          <w:p>
            <w:pPr>
              <w:spacing w:after="0"/>
            </w:pPr>
            <w:r>
              <w:rPr>
                <w:b/>
                <w:color w:val="FFFFFF"/>
                <w:sz w:val="17"/>
              </w:rPr>
              <w:t>Correction</w:t>
            </w:r>
          </w:p>
        </w:tc>
      </w:tr>
      <w:tr>
        <w:trPr>
          <w:cantSplit/>
        </w:trPr>
        <w:tc>
          <w:tcPr>
            <w:tcW w:type="dxa" w:w="3744"/>
            <w:tcMar>
              <w:top w:w="100" w:type="dxa"/>
              <w:start w:w="120" w:type="dxa"/>
              <w:bottom w:w="100" w:type="dxa"/>
              <w:end w:w="120" w:type="dxa"/>
            </w:tcMar>
          </w:tcPr>
          <w:p>
            <w:pPr>
              <w:spacing w:after="0"/>
            </w:pPr>
            <w:r>
              <w:rPr>
                <w:sz w:val="17"/>
              </w:rPr>
              <w:t>Treat the transition as a diagnosis</w:t>
            </w:r>
          </w:p>
        </w:tc>
        <w:tc>
          <w:tcPr>
            <w:tcW w:type="dxa" w:w="6192"/>
            <w:tcMar>
              <w:top w:w="100" w:type="dxa"/>
              <w:start w:w="120" w:type="dxa"/>
              <w:bottom w:w="100" w:type="dxa"/>
              <w:end w:w="120" w:type="dxa"/>
            </w:tcMar>
          </w:tcPr>
          <w:p>
            <w:pPr>
              <w:spacing w:after="0"/>
            </w:pPr>
            <w:r>
              <w:rPr>
                <w:sz w:val="17"/>
              </w:rPr>
              <w:t>Assess symptoms and impairment while also exploring the transition’s meaning and demands.</w:t>
            </w:r>
          </w:p>
        </w:tc>
      </w:tr>
      <w:tr>
        <w:trPr>
          <w:cantSplit/>
        </w:trPr>
        <w:tc>
          <w:tcPr>
            <w:tcW w:type="dxa" w:w="3744"/>
            <w:tcMar>
              <w:top w:w="100" w:type="dxa"/>
              <w:start w:w="120" w:type="dxa"/>
              <w:bottom w:w="100" w:type="dxa"/>
              <w:end w:w="120" w:type="dxa"/>
            </w:tcMar>
            <w:shd w:fill="F7F8FA"/>
          </w:tcPr>
          <w:p>
            <w:pPr>
              <w:spacing w:after="0"/>
            </w:pPr>
            <w:r>
              <w:rPr>
                <w:sz w:val="17"/>
              </w:rPr>
              <w:t>Teach skills before understanding the transition</w:t>
            </w:r>
          </w:p>
        </w:tc>
        <w:tc>
          <w:tcPr>
            <w:tcW w:type="dxa" w:w="6192"/>
            <w:tcMar>
              <w:top w:w="100" w:type="dxa"/>
              <w:start w:w="120" w:type="dxa"/>
              <w:bottom w:w="100" w:type="dxa"/>
              <w:end w:w="120" w:type="dxa"/>
            </w:tcMar>
            <w:shd w:fill="F7F8FA"/>
          </w:tcPr>
          <w:p>
            <w:pPr>
              <w:spacing w:after="0"/>
            </w:pPr>
            <w:r>
              <w:rPr>
                <w:sz w:val="17"/>
              </w:rPr>
              <w:t>Clarify role changes, losses, expectations, power, boundaries, and the interaction cycle.</w:t>
            </w:r>
          </w:p>
        </w:tc>
      </w:tr>
      <w:tr>
        <w:trPr>
          <w:cantSplit/>
        </w:trPr>
        <w:tc>
          <w:tcPr>
            <w:tcW w:type="dxa" w:w="3744"/>
            <w:tcMar>
              <w:top w:w="100" w:type="dxa"/>
              <w:start w:w="120" w:type="dxa"/>
              <w:bottom w:w="100" w:type="dxa"/>
              <w:end w:w="120" w:type="dxa"/>
            </w:tcMar>
          </w:tcPr>
          <w:p>
            <w:pPr>
              <w:spacing w:after="0"/>
            </w:pPr>
            <w:r>
              <w:rPr>
                <w:sz w:val="17"/>
              </w:rPr>
              <w:t>Assume all family members experience the change alike</w:t>
            </w:r>
          </w:p>
        </w:tc>
        <w:tc>
          <w:tcPr>
            <w:tcW w:type="dxa" w:w="6192"/>
            <w:tcMar>
              <w:top w:w="100" w:type="dxa"/>
              <w:start w:w="120" w:type="dxa"/>
              <w:bottom w:w="100" w:type="dxa"/>
              <w:end w:w="120" w:type="dxa"/>
            </w:tcMar>
          </w:tcPr>
          <w:p>
            <w:pPr>
              <w:spacing w:after="0"/>
            </w:pPr>
            <w:r>
              <w:rPr>
                <w:sz w:val="17"/>
              </w:rPr>
              <w:t>Assess multiple perspectives, timing, culture, and unequal burdens.</w:t>
            </w:r>
          </w:p>
        </w:tc>
      </w:tr>
      <w:tr>
        <w:trPr>
          <w:cantSplit/>
        </w:trPr>
        <w:tc>
          <w:tcPr>
            <w:tcW w:type="dxa" w:w="3744"/>
            <w:tcMar>
              <w:top w:w="100" w:type="dxa"/>
              <w:start w:w="120" w:type="dxa"/>
              <w:bottom w:w="100" w:type="dxa"/>
              <w:end w:w="120" w:type="dxa"/>
            </w:tcMar>
            <w:shd w:fill="F7F8FA"/>
          </w:tcPr>
          <w:p>
            <w:pPr>
              <w:spacing w:after="0"/>
            </w:pPr>
            <w:r>
              <w:rPr>
                <w:sz w:val="17"/>
              </w:rPr>
              <w:t>Try to restore the previous family structure</w:t>
            </w:r>
          </w:p>
        </w:tc>
        <w:tc>
          <w:tcPr>
            <w:tcW w:type="dxa" w:w="6192"/>
            <w:tcMar>
              <w:top w:w="100" w:type="dxa"/>
              <w:start w:w="120" w:type="dxa"/>
              <w:bottom w:w="100" w:type="dxa"/>
              <w:end w:w="120" w:type="dxa"/>
            </w:tcMar>
            <w:shd w:fill="F7F8FA"/>
          </w:tcPr>
          <w:p>
            <w:pPr>
              <w:spacing w:after="0"/>
            </w:pPr>
            <w:r>
              <w:rPr>
                <w:sz w:val="17"/>
              </w:rPr>
              <w:t>Support a workable next-stage organization rather than reversing development.</w:t>
            </w:r>
          </w:p>
        </w:tc>
      </w:tr>
    </w:tbl>
    <w:p>
      <w:pPr>
        <w:spacing w:after="0"/>
      </w:pPr>
    </w:p>
    <w:p>
      <w:pPr>
        <w:pStyle w:val="Heading1"/>
      </w:pPr>
      <w:r>
        <w:t>4. Cultural Humility and Treatment Adaptation</w:t>
      </w:r>
    </w:p>
    <w:p>
      <w:r>
        <w:rPr>
          <w:i w:val="0"/>
        </w:rPr>
        <w:t>Cultural humility requires ongoing self-reflection, openness to correction, attention to power, and collaborative adaptation. The therapist asks what identities, traditions, family expectations, experiences of discrimination, and community meanings are relevant. Cultural responsiveness is not agreement with every belief; it is accurate understanding, respectful exploration, and treatment that avoids unnecessary cultural barriers.</w:t>
      </w: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7F5F4"/>
            <w:tcMar>
              <w:top w:w="150" w:type="dxa"/>
              <w:start w:w="180" w:type="dxa"/>
              <w:bottom w:w="150" w:type="dxa"/>
              <w:end w:w="180" w:type="dxa"/>
            </w:tcMar>
          </w:tcPr>
          <w:p>
            <w:pPr>
              <w:spacing w:after="80"/>
            </w:pPr>
            <w:r>
              <w:rPr>
                <w:b/>
                <w:i w:val="0"/>
                <w:color w:val="0F7C82"/>
              </w:rPr>
              <w:t>Clinical Language</w:t>
            </w:r>
          </w:p>
          <w:p>
            <w:pPr>
              <w:spacing w:after="0"/>
            </w:pPr>
            <w:r>
              <w:t>“How does your family or community understand what is happening, and what would make this treatment feel respectful and useful?”</w:t>
            </w:r>
          </w:p>
        </w:tc>
      </w:tr>
    </w:tbl>
    <w:p>
      <w:pPr>
        <w:spacing w:after="0"/>
      </w:pPr>
    </w:p>
    <w:p>
      <w:pPr>
        <w:pStyle w:val="Heading1"/>
      </w:pPr>
      <w:r>
        <w:t>5. Intersectionality, Power, Privilege, and Minority Stress</w:t>
      </w:r>
    </w:p>
    <w:p>
      <w:r>
        <w:rPr>
          <w:i w:val="0"/>
        </w:rPr>
        <w:t>Clients experience multiple identities and systems simultaneously. Race, ethnicity, gender, sexual orientation, disability, age, class, religion, immigration status, and other identities may shape safety, access, family conflict, institutional treatment, and coping. Minority stress may include discrimination, concealment pressure, vigilance, rejection, and internalized stigma. The therapist validates real contextual stress without assuming that identity itself is the pathology.</w:t>
      </w:r>
    </w:p>
    <w:tbl>
      <w:tblPr>
        <w:tblStyle w:val="TableGrid"/>
        <w:tblW w:type="auto" w:w="0"/>
        <w:jc w:val="center"/>
        <w:tblLayout w:type="fixed"/>
        <w:tblLook w:firstColumn="1" w:firstRow="1" w:lastColumn="0" w:lastRow="0" w:noHBand="0" w:noVBand="1" w:val="04A0"/>
      </w:tblPr>
      <w:tblGrid>
        <w:gridCol w:w="3744"/>
        <w:gridCol w:w="6192"/>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Weak Response</w:t>
            </w:r>
          </w:p>
        </w:tc>
        <w:tc>
          <w:tcPr>
            <w:tcW w:type="dxa" w:w="5040"/>
            <w:shd w:fill="17365D"/>
            <w:tcMar>
              <w:top w:w="100" w:type="dxa"/>
              <w:start w:w="120" w:type="dxa"/>
              <w:bottom w:w="100" w:type="dxa"/>
              <w:end w:w="120" w:type="dxa"/>
            </w:tcMar>
          </w:tcPr>
          <w:p>
            <w:pPr>
              <w:spacing w:after="0"/>
            </w:pPr>
            <w:r>
              <w:rPr>
                <w:b/>
                <w:color w:val="FFFFFF"/>
                <w:sz w:val="16"/>
              </w:rPr>
              <w:t>Stronger Response</w:t>
            </w:r>
          </w:p>
        </w:tc>
      </w:tr>
      <w:tr>
        <w:trPr>
          <w:cantSplit/>
        </w:trPr>
        <w:tc>
          <w:tcPr>
            <w:tcW w:type="dxa" w:w="3744"/>
            <w:tcMar>
              <w:top w:w="100" w:type="dxa"/>
              <w:start w:w="120" w:type="dxa"/>
              <w:bottom w:w="100" w:type="dxa"/>
              <w:end w:w="120" w:type="dxa"/>
            </w:tcMar>
          </w:tcPr>
          <w:p>
            <w:pPr>
              <w:spacing w:after="0"/>
            </w:pPr>
            <w:r>
              <w:rPr>
                <w:sz w:val="16"/>
              </w:rPr>
              <w:t>Explain the problem only as low self-esteem</w:t>
            </w:r>
          </w:p>
        </w:tc>
        <w:tc>
          <w:tcPr>
            <w:tcW w:type="dxa" w:w="6192"/>
            <w:tcMar>
              <w:top w:w="100" w:type="dxa"/>
              <w:start w:w="120" w:type="dxa"/>
              <w:bottom w:w="100" w:type="dxa"/>
              <w:end w:w="120" w:type="dxa"/>
            </w:tcMar>
          </w:tcPr>
          <w:p>
            <w:pPr>
              <w:spacing w:after="0"/>
            </w:pPr>
            <w:r>
              <w:rPr>
                <w:sz w:val="16"/>
              </w:rPr>
              <w:t>Assess discrimination, safety, identity meaning, family and community responses, and coping.</w:t>
            </w:r>
          </w:p>
        </w:tc>
      </w:tr>
      <w:tr>
        <w:trPr>
          <w:cantSplit/>
        </w:trPr>
        <w:tc>
          <w:tcPr>
            <w:tcW w:type="dxa" w:w="3744"/>
            <w:tcMar>
              <w:top w:w="100" w:type="dxa"/>
              <w:start w:w="120" w:type="dxa"/>
              <w:bottom w:w="100" w:type="dxa"/>
              <w:end w:w="120" w:type="dxa"/>
            </w:tcMar>
            <w:shd w:fill="F7F8FA"/>
          </w:tcPr>
          <w:p>
            <w:pPr>
              <w:spacing w:after="0"/>
            </w:pPr>
            <w:r>
              <w:rPr>
                <w:sz w:val="16"/>
              </w:rPr>
              <w:t>Avoid power differences to remain neutral</w:t>
            </w:r>
          </w:p>
        </w:tc>
        <w:tc>
          <w:tcPr>
            <w:tcW w:type="dxa" w:w="6192"/>
            <w:tcMar>
              <w:top w:w="100" w:type="dxa"/>
              <w:start w:w="120" w:type="dxa"/>
              <w:bottom w:w="100" w:type="dxa"/>
              <w:end w:w="120" w:type="dxa"/>
            </w:tcMar>
            <w:shd w:fill="F7F8FA"/>
          </w:tcPr>
          <w:p>
            <w:pPr>
              <w:spacing w:after="0"/>
            </w:pPr>
            <w:r>
              <w:rPr>
                <w:sz w:val="16"/>
              </w:rPr>
              <w:t>Acknowledge relevant power and invite feedback about the therapeutic relationship.</w:t>
            </w:r>
          </w:p>
        </w:tc>
      </w:tr>
      <w:tr>
        <w:trPr>
          <w:cantSplit/>
        </w:trPr>
        <w:tc>
          <w:tcPr>
            <w:tcW w:type="dxa" w:w="3744"/>
            <w:tcMar>
              <w:top w:w="100" w:type="dxa"/>
              <w:start w:w="120" w:type="dxa"/>
              <w:bottom w:w="100" w:type="dxa"/>
              <w:end w:w="120" w:type="dxa"/>
            </w:tcMar>
          </w:tcPr>
          <w:p>
            <w:pPr>
              <w:spacing w:after="0"/>
            </w:pPr>
            <w:r>
              <w:rPr>
                <w:sz w:val="16"/>
              </w:rPr>
              <w:t>Ask the client to educate the therapist extensively</w:t>
            </w:r>
          </w:p>
        </w:tc>
        <w:tc>
          <w:tcPr>
            <w:tcW w:type="dxa" w:w="6192"/>
            <w:tcMar>
              <w:top w:w="100" w:type="dxa"/>
              <w:start w:w="120" w:type="dxa"/>
              <w:bottom w:w="100" w:type="dxa"/>
              <w:end w:w="120" w:type="dxa"/>
            </w:tcMar>
          </w:tcPr>
          <w:p>
            <w:pPr>
              <w:spacing w:after="0"/>
            </w:pPr>
            <w:r>
              <w:rPr>
                <w:sz w:val="16"/>
              </w:rPr>
              <w:t>Use respectful inquiry while also seeking consultation and education independently.</w:t>
            </w:r>
          </w:p>
        </w:tc>
      </w:tr>
      <w:tr>
        <w:trPr>
          <w:cantSplit/>
        </w:trPr>
        <w:tc>
          <w:tcPr>
            <w:tcW w:type="dxa" w:w="3744"/>
            <w:tcMar>
              <w:top w:w="100" w:type="dxa"/>
              <w:start w:w="120" w:type="dxa"/>
              <w:bottom w:w="100" w:type="dxa"/>
              <w:end w:w="120" w:type="dxa"/>
            </w:tcMar>
            <w:shd w:fill="F7F8FA"/>
          </w:tcPr>
          <w:p>
            <w:pPr>
              <w:spacing w:after="0"/>
            </w:pPr>
            <w:r>
              <w:rPr>
                <w:sz w:val="16"/>
              </w:rPr>
              <w:t>Make acceptance by others the treatment goal</w:t>
            </w:r>
          </w:p>
        </w:tc>
        <w:tc>
          <w:tcPr>
            <w:tcW w:type="dxa" w:w="6192"/>
            <w:tcMar>
              <w:top w:w="100" w:type="dxa"/>
              <w:start w:w="120" w:type="dxa"/>
              <w:bottom w:w="100" w:type="dxa"/>
              <w:end w:w="120" w:type="dxa"/>
            </w:tcMar>
            <w:shd w:fill="F7F8FA"/>
          </w:tcPr>
          <w:p>
            <w:pPr>
              <w:spacing w:after="0"/>
            </w:pPr>
            <w:r>
              <w:rPr>
                <w:sz w:val="16"/>
              </w:rPr>
              <w:t>Center the client’s safety, identity, agency, support, and chosen relationship goals.</w:t>
            </w:r>
          </w:p>
        </w:tc>
      </w:tr>
    </w:tbl>
    <w:p>
      <w:pPr>
        <w:spacing w:after="0"/>
      </w:pPr>
    </w:p>
    <w:p>
      <w:pPr>
        <w:pStyle w:val="Heading1"/>
      </w:pPr>
      <w:r>
        <w:t>6. Spirituality, Religion, and Meaning</w:t>
      </w:r>
    </w:p>
    <w:p>
      <w:r>
        <w:rPr>
          <w:i w:val="0"/>
        </w:rPr>
        <w:t>Spirituality and religion may provide meaning, rituals, values, coping, community, conflict, shame, or support. The therapist follows the client’s lead, assesses whether spiritual resources are protective or stressful, and integrates them only when clinically relevant and within competence. Referral or collaboration with a spiritual leader should be client-centered and appropriately authorized.</w:t>
      </w:r>
    </w:p>
    <w:p>
      <w:pPr>
        <w:pStyle w:val="Heading1"/>
      </w:pPr>
      <w:r>
        <w:t>7. Disability, Neurodiversity, and Accessibility</w:t>
      </w:r>
    </w:p>
    <w:p>
      <w:r>
        <w:rPr>
          <w:i w:val="0"/>
        </w:rPr>
        <w:t>Accessibility is part of clinical effectiveness. The therapist assesses communication, sensory, cognitive, mobility, learning, executive-function, and technology needs; modifies the setting and materials; checks understanding; and avoids interpreting access difficulties as noncompliance. Neurodiversity-informed care distinguishes difference from disorder while still addressing distress, impairment, safety, and the client’s chosen goals.</w:t>
      </w:r>
    </w:p>
    <w:tbl>
      <w:tblPr>
        <w:tblStyle w:val="TableGrid"/>
        <w:tblW w:type="auto" w:w="0"/>
        <w:jc w:val="center"/>
        <w:tblLayout w:type="fixed"/>
        <w:tblLook w:firstColumn="1" w:firstRow="1" w:lastColumn="0" w:lastRow="0" w:noHBand="0" w:noVBand="1" w:val="04A0"/>
      </w:tblPr>
      <w:tblGrid>
        <w:gridCol w:w="2880"/>
        <w:gridCol w:w="7056"/>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Barrier</w:t>
            </w:r>
          </w:p>
        </w:tc>
        <w:tc>
          <w:tcPr>
            <w:tcW w:type="dxa" w:w="5040"/>
            <w:shd w:fill="17365D"/>
            <w:tcMar>
              <w:top w:w="100" w:type="dxa"/>
              <w:start w:w="120" w:type="dxa"/>
              <w:bottom w:w="100" w:type="dxa"/>
              <w:end w:w="120" w:type="dxa"/>
            </w:tcMar>
          </w:tcPr>
          <w:p>
            <w:pPr>
              <w:spacing w:after="0"/>
            </w:pPr>
            <w:r>
              <w:rPr>
                <w:b/>
                <w:color w:val="FFFFFF"/>
                <w:sz w:val="16"/>
              </w:rPr>
              <w:t>Possible Adaptation</w:t>
            </w:r>
          </w:p>
        </w:tc>
      </w:tr>
      <w:tr>
        <w:trPr>
          <w:cantSplit/>
        </w:trPr>
        <w:tc>
          <w:tcPr>
            <w:tcW w:type="dxa" w:w="2880"/>
            <w:tcMar>
              <w:top w:w="100" w:type="dxa"/>
              <w:start w:w="120" w:type="dxa"/>
              <w:bottom w:w="100" w:type="dxa"/>
              <w:end w:w="120" w:type="dxa"/>
            </w:tcMar>
          </w:tcPr>
          <w:p>
            <w:pPr>
              <w:spacing w:after="0"/>
            </w:pPr>
            <w:r>
              <w:rPr>
                <w:sz w:val="16"/>
              </w:rPr>
              <w:t>Sensory overload</w:t>
            </w:r>
          </w:p>
        </w:tc>
        <w:tc>
          <w:tcPr>
            <w:tcW w:type="dxa" w:w="7056"/>
            <w:tcMar>
              <w:top w:w="100" w:type="dxa"/>
              <w:start w:w="120" w:type="dxa"/>
              <w:bottom w:w="100" w:type="dxa"/>
              <w:end w:w="120" w:type="dxa"/>
            </w:tcMar>
          </w:tcPr>
          <w:p>
            <w:pPr>
              <w:spacing w:after="0"/>
            </w:pPr>
            <w:r>
              <w:rPr>
                <w:sz w:val="16"/>
              </w:rPr>
              <w:t>Lighting, sound, seating, session length, breaks, predictability, or remote alternatives.</w:t>
            </w:r>
          </w:p>
        </w:tc>
      </w:tr>
      <w:tr>
        <w:trPr>
          <w:cantSplit/>
        </w:trPr>
        <w:tc>
          <w:tcPr>
            <w:tcW w:type="dxa" w:w="2880"/>
            <w:tcMar>
              <w:top w:w="100" w:type="dxa"/>
              <w:start w:w="120" w:type="dxa"/>
              <w:bottom w:w="100" w:type="dxa"/>
              <w:end w:w="120" w:type="dxa"/>
            </w:tcMar>
            <w:shd w:fill="F7F8FA"/>
          </w:tcPr>
          <w:p>
            <w:pPr>
              <w:spacing w:after="0"/>
            </w:pPr>
            <w:r>
              <w:rPr>
                <w:sz w:val="16"/>
              </w:rPr>
              <w:t>Executive-function demands</w:t>
            </w:r>
          </w:p>
        </w:tc>
        <w:tc>
          <w:tcPr>
            <w:tcW w:type="dxa" w:w="7056"/>
            <w:tcMar>
              <w:top w:w="100" w:type="dxa"/>
              <w:start w:w="120" w:type="dxa"/>
              <w:bottom w:w="100" w:type="dxa"/>
              <w:end w:w="120" w:type="dxa"/>
            </w:tcMar>
            <w:shd w:fill="F7F8FA"/>
          </w:tcPr>
          <w:p>
            <w:pPr>
              <w:spacing w:after="0"/>
            </w:pPr>
            <w:r>
              <w:rPr>
                <w:sz w:val="16"/>
              </w:rPr>
              <w:t>Written summaries, reminders, smaller steps, visual plans, and in-session practice.</w:t>
            </w:r>
          </w:p>
        </w:tc>
      </w:tr>
      <w:tr>
        <w:trPr>
          <w:cantSplit/>
        </w:trPr>
        <w:tc>
          <w:tcPr>
            <w:tcW w:type="dxa" w:w="2880"/>
            <w:tcMar>
              <w:top w:w="100" w:type="dxa"/>
              <w:start w:w="120" w:type="dxa"/>
              <w:bottom w:w="100" w:type="dxa"/>
              <w:end w:w="120" w:type="dxa"/>
            </w:tcMar>
          </w:tcPr>
          <w:p>
            <w:pPr>
              <w:spacing w:after="0"/>
            </w:pPr>
            <w:r>
              <w:rPr>
                <w:sz w:val="16"/>
              </w:rPr>
              <w:t>Communication difference</w:t>
            </w:r>
          </w:p>
        </w:tc>
        <w:tc>
          <w:tcPr>
            <w:tcW w:type="dxa" w:w="7056"/>
            <w:tcMar>
              <w:top w:w="100" w:type="dxa"/>
              <w:start w:w="120" w:type="dxa"/>
              <w:bottom w:w="100" w:type="dxa"/>
              <w:end w:w="120" w:type="dxa"/>
            </w:tcMar>
          </w:tcPr>
          <w:p>
            <w:pPr>
              <w:spacing w:after="0"/>
            </w:pPr>
            <w:r>
              <w:rPr>
                <w:sz w:val="16"/>
              </w:rPr>
              <w:t>Concrete language, processing time, alternative communication, qualified support, and comprehension checks.</w:t>
            </w:r>
          </w:p>
        </w:tc>
      </w:tr>
      <w:tr>
        <w:trPr>
          <w:cantSplit/>
        </w:trPr>
        <w:tc>
          <w:tcPr>
            <w:tcW w:type="dxa" w:w="2880"/>
            <w:tcMar>
              <w:top w:w="100" w:type="dxa"/>
              <w:start w:w="120" w:type="dxa"/>
              <w:bottom w:w="100" w:type="dxa"/>
              <w:end w:w="120" w:type="dxa"/>
            </w:tcMar>
            <w:shd w:fill="F7F8FA"/>
          </w:tcPr>
          <w:p>
            <w:pPr>
              <w:spacing w:after="0"/>
            </w:pPr>
            <w:r>
              <w:rPr>
                <w:sz w:val="16"/>
              </w:rPr>
              <w:t>Mobility or transportation barrier</w:t>
            </w:r>
          </w:p>
        </w:tc>
        <w:tc>
          <w:tcPr>
            <w:tcW w:type="dxa" w:w="7056"/>
            <w:tcMar>
              <w:top w:w="100" w:type="dxa"/>
              <w:start w:w="120" w:type="dxa"/>
              <w:bottom w:w="100" w:type="dxa"/>
              <w:end w:w="120" w:type="dxa"/>
            </w:tcMar>
            <w:shd w:fill="F7F8FA"/>
          </w:tcPr>
          <w:p>
            <w:pPr>
              <w:spacing w:after="0"/>
            </w:pPr>
            <w:r>
              <w:rPr>
                <w:sz w:val="16"/>
              </w:rPr>
              <w:t>Accessible location, scheduling, telehealth when appropriate, transportation resources, or coordinated home-based options.</w:t>
            </w:r>
          </w:p>
        </w:tc>
      </w:tr>
    </w:tbl>
    <w:p>
      <w:pPr>
        <w:spacing w:after="0"/>
      </w:pPr>
    </w:p>
    <w:p>
      <w:pPr>
        <w:pStyle w:val="Heading1"/>
      </w:pPr>
      <w:r>
        <w:t>8. Socioeconomic, Educational, Occupational, and Housing Context</w:t>
      </w:r>
    </w:p>
    <w:p>
      <w:r>
        <w:rPr>
          <w:i w:val="0"/>
        </w:rPr>
        <w:t>Financial strain, housing instability, unsafe work, school barriers, food insecurity, transportation, and childcare can maintain symptoms and relationship conflict. The therapist addresses practical needs through appropriate resources and collaboration while also treating the emotional and relational effects. Structural stress should not be reframed as an individual failure of motivation or coping.</w:t>
      </w: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AF3F8"/>
            <w:tcMar>
              <w:top w:w="150" w:type="dxa"/>
              <w:start w:w="180" w:type="dxa"/>
              <w:bottom w:w="150" w:type="dxa"/>
              <w:end w:w="180" w:type="dxa"/>
            </w:tcMar>
          </w:tcPr>
          <w:p>
            <w:pPr>
              <w:spacing w:after="80"/>
            </w:pPr>
            <w:r>
              <w:rPr>
                <w:b/>
                <w:i w:val="0"/>
                <w:color w:val="1F4E78"/>
              </w:rPr>
              <w:t>Integration Rule</w:t>
            </w:r>
          </w:p>
          <w:p>
            <w:pPr>
              <w:spacing w:after="0"/>
            </w:pPr>
            <w:r>
              <w:t>When the stressor is concrete, use both practical and clinical intervention. Do not make resource access compete with psychotherapy.</w:t>
            </w:r>
          </w:p>
        </w:tc>
      </w:tr>
    </w:tbl>
    <w:p>
      <w:pPr>
        <w:spacing w:after="0"/>
      </w:pPr>
    </w:p>
    <w:p>
      <w:pPr>
        <w:pStyle w:val="Heading1"/>
      </w:pPr>
      <w:r>
        <w:t>9. Language Access, Immigration, Refugee, and Migration Contexts</w:t>
      </w:r>
    </w:p>
    <w:p>
      <w:r>
        <w:rPr>
          <w:i w:val="0"/>
        </w:rPr>
        <w:t>Language access supports accuracy, consent, alliance, and safety. Qualified interpreters are generally preferable to children or family members for sensitive clinical work. Immigration and refugee experiences may include loss, disrupted roles, legal uncertainty, trauma, discrimination, language barriers, and transnational family obligations. The therapist avoids legal advice outside competence and coordinates qualified resources when needed.</w:t>
      </w:r>
    </w:p>
    <w:p>
      <w:pPr>
        <w:pStyle w:val="Heading1"/>
      </w:pPr>
      <w:r>
        <w:t>10. Military, Deployment, and Reintegration</w:t>
      </w:r>
    </w:p>
    <w:p>
      <w:r>
        <w:rPr>
          <w:i w:val="0"/>
        </w:rPr>
        <w:t>Deployment and reintegration can reorganize parenting, authority, intimacy, routines, and identity. The family may have adapted successfully during separation and still struggle when roles change again. Treatment can validate each person’s adaptation, assess trauma and safety, clarify expectations and losses, and support gradual renegotiation rather than requiring an immediate return to previous roles.</w:t>
      </w:r>
    </w:p>
    <w:p>
      <w:pPr>
        <w:pStyle w:val="Heading1"/>
      </w:pPr>
      <w:r>
        <w:t>11. Gender, Sexual Orientation, and Family Relationships</w:t>
      </w:r>
    </w:p>
    <w:p>
      <w:r>
        <w:rPr>
          <w:i w:val="0"/>
        </w:rPr>
        <w:t>Affirming practice respects the client’s identity, chosen name and language, safety, autonomy, and relationship goals. The therapist assesses minority stress, family acceptance or rejection, community support, housing and economic risks, and the suitability of family involvement. The clinician does not adopt a change agenda aimed at eliminating or suppressing identity.</w:t>
      </w:r>
    </w:p>
    <w:p>
      <w:pPr>
        <w:pStyle w:val="Heading1"/>
      </w:pPr>
      <w:r>
        <w:t>12. Trauma, Historical Context, and Resilience</w:t>
      </w:r>
    </w:p>
    <w:p>
      <w:r>
        <w:rPr>
          <w:i w:val="0"/>
        </w:rPr>
        <w:t>Trauma may be individual, relational, institutional, intergenerational, community-based, or historical. A contextual formulation includes current safety, triggers, losses, discrimination, displacement, cultural meaning, family survival strategies, and resilience. The therapist avoids requiring detailed disclosure before stabilization and does not treat culturally shaped survival strategies as pathology without assessment.</w:t>
      </w:r>
    </w:p>
    <w:p>
      <w:pPr>
        <w:pStyle w:val="Heading1"/>
      </w:pPr>
      <w:r>
        <w:t>13. Adapting Modality, Pacing, Participants, and Homework</w:t>
      </w:r>
    </w:p>
    <w:tbl>
      <w:tblPr>
        <w:tblStyle w:val="TableGrid"/>
        <w:tblW w:type="auto" w:w="0"/>
        <w:jc w:val="center"/>
        <w:tblLayout w:type="fixed"/>
        <w:tblLook w:firstColumn="1" w:firstRow="1" w:lastColumn="0" w:lastRow="0" w:noHBand="0" w:noVBand="1" w:val="04A0"/>
      </w:tblPr>
      <w:tblGrid>
        <w:gridCol w:w="2376"/>
        <w:gridCol w:w="7560"/>
      </w:tblGrid>
      <w:tr>
        <w:trPr>
          <w:tblHeader w:val="true"/>
          <w:cantSplit/>
        </w:trPr>
        <w:tc>
          <w:tcPr>
            <w:tcW w:type="dxa" w:w="5040"/>
            <w:shd w:fill="17365D"/>
            <w:tcMar>
              <w:top w:w="100" w:type="dxa"/>
              <w:start w:w="120" w:type="dxa"/>
              <w:bottom w:w="100" w:type="dxa"/>
              <w:end w:w="120" w:type="dxa"/>
            </w:tcMar>
          </w:tcPr>
          <w:p>
            <w:pPr>
              <w:spacing w:after="0"/>
            </w:pPr>
            <w:r>
              <w:rPr>
                <w:b/>
                <w:color w:val="FFFFFF"/>
                <w:sz w:val="16"/>
              </w:rPr>
              <w:t>Treatment Element</w:t>
            </w:r>
          </w:p>
        </w:tc>
        <w:tc>
          <w:tcPr>
            <w:tcW w:type="dxa" w:w="5040"/>
            <w:shd w:fill="17365D"/>
            <w:tcMar>
              <w:top w:w="100" w:type="dxa"/>
              <w:start w:w="120" w:type="dxa"/>
              <w:bottom w:w="100" w:type="dxa"/>
              <w:end w:w="120" w:type="dxa"/>
            </w:tcMar>
          </w:tcPr>
          <w:p>
            <w:pPr>
              <w:spacing w:after="0"/>
            </w:pPr>
            <w:r>
              <w:rPr>
                <w:b/>
                <w:color w:val="FFFFFF"/>
                <w:sz w:val="16"/>
              </w:rPr>
              <w:t>Adaptation Questions</w:t>
            </w:r>
          </w:p>
        </w:tc>
      </w:tr>
      <w:tr>
        <w:trPr>
          <w:cantSplit/>
        </w:trPr>
        <w:tc>
          <w:tcPr>
            <w:tcW w:type="dxa" w:w="2376"/>
            <w:tcMar>
              <w:top w:w="100" w:type="dxa"/>
              <w:start w:w="120" w:type="dxa"/>
              <w:bottom w:w="100" w:type="dxa"/>
              <w:end w:w="120" w:type="dxa"/>
            </w:tcMar>
          </w:tcPr>
          <w:p>
            <w:pPr>
              <w:spacing w:after="0"/>
            </w:pPr>
            <w:r>
              <w:rPr>
                <w:sz w:val="16"/>
              </w:rPr>
              <w:t>Modality</w:t>
            </w:r>
          </w:p>
        </w:tc>
        <w:tc>
          <w:tcPr>
            <w:tcW w:type="dxa" w:w="7560"/>
            <w:tcMar>
              <w:top w:w="100" w:type="dxa"/>
              <w:start w:w="120" w:type="dxa"/>
              <w:bottom w:w="100" w:type="dxa"/>
              <w:end w:w="120" w:type="dxa"/>
            </w:tcMar>
          </w:tcPr>
          <w:p>
            <w:pPr>
              <w:spacing w:after="0"/>
            </w:pPr>
            <w:r>
              <w:rPr>
                <w:sz w:val="16"/>
              </w:rPr>
              <w:t>Is individual, couple, family, group, collateral, or coordinated care safest and most useful now?</w:t>
            </w:r>
          </w:p>
        </w:tc>
      </w:tr>
      <w:tr>
        <w:trPr>
          <w:cantSplit/>
        </w:trPr>
        <w:tc>
          <w:tcPr>
            <w:tcW w:type="dxa" w:w="2376"/>
            <w:tcMar>
              <w:top w:w="100" w:type="dxa"/>
              <w:start w:w="120" w:type="dxa"/>
              <w:bottom w:w="100" w:type="dxa"/>
              <w:end w:w="120" w:type="dxa"/>
            </w:tcMar>
            <w:shd w:fill="F7F8FA"/>
          </w:tcPr>
          <w:p>
            <w:pPr>
              <w:spacing w:after="0"/>
            </w:pPr>
            <w:r>
              <w:rPr>
                <w:sz w:val="16"/>
              </w:rPr>
              <w:t>Pacing</w:t>
            </w:r>
          </w:p>
        </w:tc>
        <w:tc>
          <w:tcPr>
            <w:tcW w:type="dxa" w:w="7560"/>
            <w:tcMar>
              <w:top w:w="100" w:type="dxa"/>
              <w:start w:w="120" w:type="dxa"/>
              <w:bottom w:w="100" w:type="dxa"/>
              <w:end w:w="120" w:type="dxa"/>
            </w:tcMar>
            <w:shd w:fill="F7F8FA"/>
          </w:tcPr>
          <w:p>
            <w:pPr>
              <w:spacing w:after="0"/>
            </w:pPr>
            <w:r>
              <w:rPr>
                <w:sz w:val="16"/>
              </w:rPr>
              <w:t>Does the client need more preparation, repetition, stabilization, processing time, or smaller steps?</w:t>
            </w:r>
          </w:p>
        </w:tc>
      </w:tr>
      <w:tr>
        <w:trPr>
          <w:cantSplit/>
        </w:trPr>
        <w:tc>
          <w:tcPr>
            <w:tcW w:type="dxa" w:w="2376"/>
            <w:tcMar>
              <w:top w:w="100" w:type="dxa"/>
              <w:start w:w="120" w:type="dxa"/>
              <w:bottom w:w="100" w:type="dxa"/>
              <w:end w:w="120" w:type="dxa"/>
            </w:tcMar>
          </w:tcPr>
          <w:p>
            <w:pPr>
              <w:spacing w:after="0"/>
            </w:pPr>
            <w:r>
              <w:rPr>
                <w:sz w:val="16"/>
              </w:rPr>
              <w:t>Language and materials</w:t>
            </w:r>
          </w:p>
        </w:tc>
        <w:tc>
          <w:tcPr>
            <w:tcW w:type="dxa" w:w="7560"/>
            <w:tcMar>
              <w:top w:w="100" w:type="dxa"/>
              <w:start w:w="120" w:type="dxa"/>
              <w:bottom w:w="100" w:type="dxa"/>
              <w:end w:w="120" w:type="dxa"/>
            </w:tcMar>
          </w:tcPr>
          <w:p>
            <w:pPr>
              <w:spacing w:after="0"/>
            </w:pPr>
            <w:r>
              <w:rPr>
                <w:sz w:val="16"/>
              </w:rPr>
              <w:t>Are examples, reading level, interpretation, visuals, and terminology understandable and respectful?</w:t>
            </w:r>
          </w:p>
        </w:tc>
      </w:tr>
      <w:tr>
        <w:trPr>
          <w:cantSplit/>
        </w:trPr>
        <w:tc>
          <w:tcPr>
            <w:tcW w:type="dxa" w:w="2376"/>
            <w:tcMar>
              <w:top w:w="100" w:type="dxa"/>
              <w:start w:w="120" w:type="dxa"/>
              <w:bottom w:w="100" w:type="dxa"/>
              <w:end w:w="120" w:type="dxa"/>
            </w:tcMar>
            <w:shd w:fill="F7F8FA"/>
          </w:tcPr>
          <w:p>
            <w:pPr>
              <w:spacing w:after="0"/>
            </w:pPr>
            <w:r>
              <w:rPr>
                <w:sz w:val="16"/>
              </w:rPr>
              <w:t>Participants</w:t>
            </w:r>
          </w:p>
        </w:tc>
        <w:tc>
          <w:tcPr>
            <w:tcW w:type="dxa" w:w="7560"/>
            <w:tcMar>
              <w:top w:w="100" w:type="dxa"/>
              <w:start w:w="120" w:type="dxa"/>
              <w:bottom w:w="100" w:type="dxa"/>
              <w:end w:w="120" w:type="dxa"/>
            </w:tcMar>
            <w:shd w:fill="F7F8FA"/>
          </w:tcPr>
          <w:p>
            <w:pPr>
              <w:spacing w:after="0"/>
            </w:pPr>
            <w:r>
              <w:rPr>
                <w:sz w:val="16"/>
              </w:rPr>
              <w:t>Whose involvement supports the client’s goals, and what consent, safety, boundary, or power issues must be addressed?</w:t>
            </w:r>
          </w:p>
        </w:tc>
      </w:tr>
      <w:tr>
        <w:trPr>
          <w:cantSplit/>
        </w:trPr>
        <w:tc>
          <w:tcPr>
            <w:tcW w:type="dxa" w:w="2376"/>
            <w:tcMar>
              <w:top w:w="100" w:type="dxa"/>
              <w:start w:w="120" w:type="dxa"/>
              <w:bottom w:w="100" w:type="dxa"/>
              <w:end w:w="120" w:type="dxa"/>
            </w:tcMar>
          </w:tcPr>
          <w:p>
            <w:pPr>
              <w:spacing w:after="0"/>
            </w:pPr>
            <w:r>
              <w:rPr>
                <w:sz w:val="16"/>
              </w:rPr>
              <w:t>Homework or practice</w:t>
            </w:r>
          </w:p>
        </w:tc>
        <w:tc>
          <w:tcPr>
            <w:tcW w:type="dxa" w:w="7560"/>
            <w:tcMar>
              <w:top w:w="100" w:type="dxa"/>
              <w:start w:w="120" w:type="dxa"/>
              <w:bottom w:w="100" w:type="dxa"/>
              <w:end w:w="120" w:type="dxa"/>
            </w:tcMar>
          </w:tcPr>
          <w:p>
            <w:pPr>
              <w:spacing w:after="0"/>
            </w:pPr>
            <w:r>
              <w:rPr>
                <w:sz w:val="16"/>
              </w:rPr>
              <w:t>Is the task feasible within the client’s time, privacy, transportation, technology, caregiving, and cultural context?</w:t>
            </w:r>
          </w:p>
        </w:tc>
      </w:tr>
    </w:tbl>
    <w:p>
      <w:pPr>
        <w:spacing w:after="0"/>
      </w:pPr>
    </w:p>
    <w:p>
      <w:pPr>
        <w:pStyle w:val="Heading1"/>
      </w:pPr>
      <w:r>
        <w:t>14. Evaluating Contextual Fit</w:t>
      </w:r>
    </w:p>
    <w:p>
      <w:r>
        <w:rPr>
          <w:i w:val="0"/>
        </w:rPr>
        <w:t>A well-intended adaptation must still be evaluated. The therapist asks whether the client understands the plan, feels respected, can access the intervention, participates more fully, experiences a stronger alliance, and makes progress toward chosen goals. Lack of improvement may indicate that the formulation, treatment unit, method, intensity, accessibility, or therapist assumptions need revision.</w:t>
      </w:r>
    </w:p>
    <w:p>
      <w:pPr>
        <w:pStyle w:val="ListNumber"/>
      </w:pPr>
      <w:r>
        <w:t>Ask the client what feels useful, difficult, inaccessible, or culturally mismatched.</w:t>
      </w:r>
    </w:p>
    <w:p>
      <w:pPr>
        <w:pStyle w:val="ListNumber"/>
      </w:pPr>
      <w:r>
        <w:t>Review safety, engagement, attendance, participation, and alliance.</w:t>
      </w:r>
    </w:p>
    <w:p>
      <w:pPr>
        <w:pStyle w:val="ListNumber"/>
      </w:pPr>
      <w:r>
        <w:t>Measure progress in symptoms, functioning, relationships, and client-defined goals.</w:t>
      </w:r>
    </w:p>
    <w:p>
      <w:pPr>
        <w:pStyle w:val="ListNumber"/>
      </w:pPr>
      <w:r>
        <w:t>Consult or seek training when competence limits are affecting fit.</w:t>
      </w:r>
    </w:p>
    <w:p>
      <w:pPr>
        <w:pStyle w:val="ListNumber"/>
      </w:pPr>
      <w:r>
        <w:t>Modify the intervention and set a specific review point.</w:t>
      </w:r>
    </w:p>
    <w:p>
      <w:pPr>
        <w:pStyle w:val="Heading1"/>
      </w:pPr>
      <w:r>
        <w:t>Common Exam Traps</w:t>
      </w:r>
    </w:p>
    <w:tbl>
      <w:tblPr>
        <w:tblStyle w:val="TableGrid"/>
        <w:tblW w:type="auto" w:w="0"/>
        <w:jc w:val="center"/>
        <w:tblLayout w:type="fixed"/>
        <w:tblLook w:firstColumn="1" w:firstRow="1" w:lastColumn="0" w:lastRow="0" w:noHBand="0" w:noVBand="1" w:val="04A0"/>
      </w:tblPr>
      <w:tblGrid>
        <w:gridCol w:w="3960"/>
        <w:gridCol w:w="5976"/>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Trap</w:t>
            </w:r>
          </w:p>
        </w:tc>
        <w:tc>
          <w:tcPr>
            <w:tcW w:type="dxa" w:w="5040"/>
            <w:shd w:fill="17365D"/>
            <w:tcMar>
              <w:top w:w="100" w:type="dxa"/>
              <w:start w:w="120" w:type="dxa"/>
              <w:bottom w:w="100" w:type="dxa"/>
              <w:end w:w="120" w:type="dxa"/>
            </w:tcMar>
          </w:tcPr>
          <w:p>
            <w:pPr>
              <w:spacing w:after="0"/>
            </w:pPr>
            <w:r>
              <w:rPr>
                <w:b/>
                <w:color w:val="FFFFFF"/>
                <w:sz w:val="17"/>
              </w:rPr>
              <w:t>Correction</w:t>
            </w:r>
          </w:p>
        </w:tc>
      </w:tr>
      <w:tr>
        <w:trPr>
          <w:cantSplit/>
        </w:trPr>
        <w:tc>
          <w:tcPr>
            <w:tcW w:type="dxa" w:w="3960"/>
            <w:tcMar>
              <w:top w:w="100" w:type="dxa"/>
              <w:start w:w="120" w:type="dxa"/>
              <w:bottom w:w="100" w:type="dxa"/>
              <w:end w:w="120" w:type="dxa"/>
            </w:tcMar>
          </w:tcPr>
          <w:p>
            <w:pPr>
              <w:spacing w:after="0"/>
            </w:pPr>
            <w:r>
              <w:rPr>
                <w:sz w:val="17"/>
              </w:rPr>
              <w:t>Assuming culture from demographic labels</w:t>
            </w:r>
          </w:p>
        </w:tc>
        <w:tc>
          <w:tcPr>
            <w:tcW w:type="dxa" w:w="5976"/>
            <w:tcMar>
              <w:top w:w="100" w:type="dxa"/>
              <w:start w:w="120" w:type="dxa"/>
              <w:bottom w:w="100" w:type="dxa"/>
              <w:end w:w="120" w:type="dxa"/>
            </w:tcMar>
          </w:tcPr>
          <w:p>
            <w:pPr>
              <w:spacing w:after="0"/>
            </w:pPr>
            <w:r>
              <w:rPr>
                <w:sz w:val="17"/>
              </w:rPr>
              <w:t>Ask the client about meaning, identity, values, and preferred adaptations.</w:t>
            </w:r>
          </w:p>
        </w:tc>
      </w:tr>
      <w:tr>
        <w:trPr>
          <w:cantSplit/>
        </w:trPr>
        <w:tc>
          <w:tcPr>
            <w:tcW w:type="dxa" w:w="3960"/>
            <w:tcMar>
              <w:top w:w="100" w:type="dxa"/>
              <w:start w:w="120" w:type="dxa"/>
              <w:bottom w:w="100" w:type="dxa"/>
              <w:end w:w="120" w:type="dxa"/>
            </w:tcMar>
            <w:shd w:fill="F7F8FA"/>
          </w:tcPr>
          <w:p>
            <w:pPr>
              <w:spacing w:after="0"/>
            </w:pPr>
            <w:r>
              <w:rPr>
                <w:sz w:val="17"/>
              </w:rPr>
              <w:t>Treating access barriers as resistance</w:t>
            </w:r>
          </w:p>
        </w:tc>
        <w:tc>
          <w:tcPr>
            <w:tcW w:type="dxa" w:w="5976"/>
            <w:tcMar>
              <w:top w:w="100" w:type="dxa"/>
              <w:start w:w="120" w:type="dxa"/>
              <w:bottom w:w="100" w:type="dxa"/>
              <w:end w:w="120" w:type="dxa"/>
            </w:tcMar>
            <w:shd w:fill="F7F8FA"/>
          </w:tcPr>
          <w:p>
            <w:pPr>
              <w:spacing w:after="0"/>
            </w:pPr>
            <w:r>
              <w:rPr>
                <w:sz w:val="17"/>
              </w:rPr>
              <w:t>Assess language, disability, cost, transportation, technology, time, and safety.</w:t>
            </w:r>
          </w:p>
        </w:tc>
      </w:tr>
      <w:tr>
        <w:trPr>
          <w:cantSplit/>
        </w:trPr>
        <w:tc>
          <w:tcPr>
            <w:tcW w:type="dxa" w:w="3960"/>
            <w:tcMar>
              <w:top w:w="100" w:type="dxa"/>
              <w:start w:w="120" w:type="dxa"/>
              <w:bottom w:w="100" w:type="dxa"/>
              <w:end w:w="120" w:type="dxa"/>
            </w:tcMar>
          </w:tcPr>
          <w:p>
            <w:pPr>
              <w:spacing w:after="0"/>
            </w:pPr>
            <w:r>
              <w:rPr>
                <w:sz w:val="17"/>
              </w:rPr>
              <w:t>Using the same intervention for every age</w:t>
            </w:r>
          </w:p>
        </w:tc>
        <w:tc>
          <w:tcPr>
            <w:tcW w:type="dxa" w:w="5976"/>
            <w:tcMar>
              <w:top w:w="100" w:type="dxa"/>
              <w:start w:w="120" w:type="dxa"/>
              <w:bottom w:w="100" w:type="dxa"/>
              <w:end w:w="120" w:type="dxa"/>
            </w:tcMar>
          </w:tcPr>
          <w:p>
            <w:pPr>
              <w:spacing w:after="0"/>
            </w:pPr>
            <w:r>
              <w:rPr>
                <w:sz w:val="17"/>
              </w:rPr>
              <w:t>Match method, pacing, language, and caregiver involvement to developmental capacity.</w:t>
            </w:r>
          </w:p>
        </w:tc>
      </w:tr>
      <w:tr>
        <w:trPr>
          <w:cantSplit/>
        </w:trPr>
        <w:tc>
          <w:tcPr>
            <w:tcW w:type="dxa" w:w="3960"/>
            <w:tcMar>
              <w:top w:w="100" w:type="dxa"/>
              <w:start w:w="120" w:type="dxa"/>
              <w:bottom w:w="100" w:type="dxa"/>
              <w:end w:w="120" w:type="dxa"/>
            </w:tcMar>
            <w:shd w:fill="F7F8FA"/>
          </w:tcPr>
          <w:p>
            <w:pPr>
              <w:spacing w:after="0"/>
            </w:pPr>
            <w:r>
              <w:rPr>
                <w:sz w:val="17"/>
              </w:rPr>
              <w:t>Ignoring structural stress because therapy is clinical</w:t>
            </w:r>
          </w:p>
        </w:tc>
        <w:tc>
          <w:tcPr>
            <w:tcW w:type="dxa" w:w="5976"/>
            <w:tcMar>
              <w:top w:w="100" w:type="dxa"/>
              <w:start w:w="120" w:type="dxa"/>
              <w:bottom w:w="100" w:type="dxa"/>
              <w:end w:w="120" w:type="dxa"/>
            </w:tcMar>
            <w:shd w:fill="F7F8FA"/>
          </w:tcPr>
          <w:p>
            <w:pPr>
              <w:spacing w:after="0"/>
            </w:pPr>
            <w:r>
              <w:rPr>
                <w:sz w:val="17"/>
              </w:rPr>
              <w:t>Integrate concrete resources and relational or emotional intervention.</w:t>
            </w:r>
          </w:p>
        </w:tc>
      </w:tr>
      <w:tr>
        <w:trPr>
          <w:cantSplit/>
        </w:trPr>
        <w:tc>
          <w:tcPr>
            <w:tcW w:type="dxa" w:w="3960"/>
            <w:tcMar>
              <w:top w:w="100" w:type="dxa"/>
              <w:start w:w="120" w:type="dxa"/>
              <w:bottom w:w="100" w:type="dxa"/>
              <w:end w:w="120" w:type="dxa"/>
            </w:tcMar>
          </w:tcPr>
          <w:p>
            <w:pPr>
              <w:spacing w:after="0"/>
            </w:pPr>
            <w:r>
              <w:rPr>
                <w:sz w:val="17"/>
              </w:rPr>
              <w:t>Involving family automatically</w:t>
            </w:r>
          </w:p>
        </w:tc>
        <w:tc>
          <w:tcPr>
            <w:tcW w:type="dxa" w:w="5976"/>
            <w:tcMar>
              <w:top w:w="100" w:type="dxa"/>
              <w:start w:w="120" w:type="dxa"/>
              <w:bottom w:w="100" w:type="dxa"/>
              <w:end w:w="120" w:type="dxa"/>
            </w:tcMar>
          </w:tcPr>
          <w:p>
            <w:pPr>
              <w:spacing w:after="0"/>
            </w:pPr>
            <w:r>
              <w:rPr>
                <w:sz w:val="17"/>
              </w:rPr>
              <w:t>Clarify client preference, safety, purpose, role, and confidentiality.</w:t>
            </w:r>
          </w:p>
        </w:tc>
      </w:tr>
      <w:tr>
        <w:trPr>
          <w:cantSplit/>
        </w:trPr>
        <w:tc>
          <w:tcPr>
            <w:tcW w:type="dxa" w:w="3960"/>
            <w:tcMar>
              <w:top w:w="100" w:type="dxa"/>
              <w:start w:w="120" w:type="dxa"/>
              <w:bottom w:w="100" w:type="dxa"/>
              <w:end w:w="120" w:type="dxa"/>
            </w:tcMar>
            <w:shd w:fill="F7F8FA"/>
          </w:tcPr>
          <w:p>
            <w:pPr>
              <w:spacing w:after="0"/>
            </w:pPr>
            <w:r>
              <w:rPr>
                <w:sz w:val="17"/>
              </w:rPr>
              <w:t>Adapting once and assuming fit</w:t>
            </w:r>
          </w:p>
        </w:tc>
        <w:tc>
          <w:tcPr>
            <w:tcW w:type="dxa" w:w="5976"/>
            <w:tcMar>
              <w:top w:w="100" w:type="dxa"/>
              <w:start w:w="120" w:type="dxa"/>
              <w:bottom w:w="100" w:type="dxa"/>
              <w:end w:w="120" w:type="dxa"/>
            </w:tcMar>
            <w:shd w:fill="F7F8FA"/>
          </w:tcPr>
          <w:p>
            <w:pPr>
              <w:spacing w:after="0"/>
            </w:pPr>
            <w:r>
              <w:rPr>
                <w:sz w:val="17"/>
              </w:rPr>
              <w:t>Evaluate whether the change improves engagement and outcomes.</w:t>
            </w:r>
          </w:p>
        </w:tc>
      </w:tr>
    </w:tbl>
    <w:p>
      <w:pPr>
        <w:spacing w:after="0"/>
      </w:pPr>
    </w:p>
    <w:p>
      <w:pPr>
        <w:pStyle w:val="Heading1"/>
      </w:pPr>
      <w:r>
        <w:t>Worked Example 1: Adolescent, School, and Family Context</w:t>
      </w:r>
    </w:p>
    <w:p>
      <w:r>
        <w:rPr>
          <w:i w:val="0"/>
        </w:rPr>
        <w:t>A 15-year-old reports anxiety, declining grades, and conflict with parents after changing schools. The strongest formulation does not choose between an “individual” or “family” explanation. It assesses developmental autonomy, peer belonging, school demands, cultural expectations, family communication, safety, and the adolescent’s treatment goals. Intervention may combine individual coping, caregiver collaboration, and school coordination with appropriate consent and role clarity.</w:t>
      </w: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7F5F4"/>
            <w:tcMar>
              <w:top w:w="150" w:type="dxa"/>
              <w:start w:w="180" w:type="dxa"/>
              <w:bottom w:w="150" w:type="dxa"/>
              <w:end w:w="180" w:type="dxa"/>
            </w:tcMar>
          </w:tcPr>
          <w:p>
            <w:pPr>
              <w:spacing w:after="80"/>
            </w:pPr>
            <w:r>
              <w:rPr>
                <w:b/>
                <w:i w:val="0"/>
                <w:color w:val="0F7C82"/>
              </w:rPr>
              <w:t>Best Reasoning</w:t>
            </w:r>
          </w:p>
          <w:p>
            <w:pPr>
              <w:spacing w:after="0"/>
            </w:pPr>
            <w:r>
              <w:t>Use multiple levels only when each level has a defined purpose connected to the client’s goals.</w:t>
            </w:r>
          </w:p>
        </w:tc>
      </w:tr>
    </w:tbl>
    <w:p>
      <w:pPr>
        <w:spacing w:after="0"/>
      </w:pPr>
    </w:p>
    <w:p>
      <w:pPr>
        <w:pStyle w:val="Heading1"/>
      </w:pPr>
      <w:r>
        <w:t>Worked Example 2: Caregiving, Aging, and Access</w:t>
      </w:r>
    </w:p>
    <w:p>
      <w:r>
        <w:rPr>
          <w:i w:val="0"/>
        </w:rPr>
        <w:t>An older adult caring for a spouse misses sessions because transportation is unreliable and video technology is difficult. The therapist should not label the client uncommitted. The stronger response is to assess caregiver burden and health, adapt the service format, mobilize accessible supports, clarify family roles, and monitor whether the revised plan improves participation and functioning.</w:t>
      </w: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7F5F4"/>
            <w:tcMar>
              <w:top w:w="150" w:type="dxa"/>
              <w:start w:w="180" w:type="dxa"/>
              <w:bottom w:w="150" w:type="dxa"/>
              <w:end w:w="180" w:type="dxa"/>
            </w:tcMar>
          </w:tcPr>
          <w:p>
            <w:pPr>
              <w:spacing w:after="80"/>
            </w:pPr>
            <w:r>
              <w:rPr>
                <w:b/>
                <w:i w:val="0"/>
                <w:color w:val="0F7C82"/>
              </w:rPr>
              <w:t>Best Reasoning</w:t>
            </w:r>
          </w:p>
          <w:p>
            <w:pPr>
              <w:spacing w:after="0"/>
            </w:pPr>
            <w:r>
              <w:t>Accessibility and caregiving context are treatment variables, not administrative side issues.</w:t>
            </w:r>
          </w:p>
        </w:tc>
      </w:tr>
    </w:tbl>
    <w:p>
      <w:pPr>
        <w:spacing w:after="0"/>
      </w:pPr>
    </w:p>
    <w:p>
      <w:pPr>
        <w:pStyle w:val="Heading1"/>
        <w:pageBreakBefore/>
      </w:pPr>
      <w:r>
        <w:t>Contextual Intervention Worksheet</w:t>
      </w:r>
    </w:p>
    <w:tbl>
      <w:tblPr>
        <w:tblStyle w:val="TableGrid"/>
        <w:tblW w:type="auto" w:w="0"/>
        <w:jc w:val="center"/>
        <w:tblLayout w:type="fixed"/>
        <w:tblLook w:firstColumn="1" w:firstRow="1" w:lastColumn="0" w:lastRow="0" w:noHBand="0" w:noVBand="1" w:val="04A0"/>
      </w:tblPr>
      <w:tblGrid>
        <w:gridCol w:w="5976"/>
        <w:gridCol w:w="3960"/>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Prompt</w:t>
            </w:r>
          </w:p>
        </w:tc>
        <w:tc>
          <w:tcPr>
            <w:tcW w:type="dxa" w:w="5040"/>
            <w:shd w:fill="17365D"/>
            <w:tcMar>
              <w:top w:w="100" w:type="dxa"/>
              <w:start w:w="120" w:type="dxa"/>
              <w:bottom w:w="100" w:type="dxa"/>
              <w:end w:w="120" w:type="dxa"/>
            </w:tcMar>
          </w:tcPr>
          <w:p>
            <w:pPr>
              <w:spacing w:after="0"/>
            </w:pPr>
            <w:r>
              <w:rPr>
                <w:b/>
                <w:color w:val="FFFFFF"/>
                <w:sz w:val="17"/>
              </w:rPr>
              <w:t>Notes</w:t>
            </w:r>
          </w:p>
        </w:tc>
      </w:tr>
      <w:tr>
        <w:trPr>
          <w:cantSplit/>
        </w:trPr>
        <w:tc>
          <w:tcPr>
            <w:tcW w:type="dxa" w:w="5976"/>
            <w:tcMar>
              <w:top w:w="100" w:type="dxa"/>
              <w:start w:w="120" w:type="dxa"/>
              <w:bottom w:w="100" w:type="dxa"/>
              <w:end w:w="120" w:type="dxa"/>
            </w:tcMar>
          </w:tcPr>
          <w:p>
            <w:pPr>
              <w:spacing w:after="0"/>
            </w:pPr>
            <w:r>
              <w:rPr>
                <w:sz w:val="17"/>
              </w:rPr>
              <w:t>Client-defined concern, goals, strengths, and preferred outcomes</w:t>
            </w:r>
          </w:p>
        </w:tc>
        <w:tc>
          <w:tcPr>
            <w:tcW w:type="dxa" w:w="3960"/>
            <w:tcMar>
              <w:top w:w="100" w:type="dxa"/>
              <w:start w:w="120" w:type="dxa"/>
              <w:bottom w:w="100" w:type="dxa"/>
              <w:end w:w="120" w:type="dxa"/>
            </w:tcMar>
          </w:tcPr>
          <w:p>
            <w:pPr>
              <w:spacing w:after="0"/>
            </w:pPr>
            <w:r>
              <w:rPr>
                <w:sz w:val="17"/>
              </w:rPr>
            </w:r>
          </w:p>
        </w:tc>
      </w:tr>
      <w:tr>
        <w:trPr>
          <w:cantSplit/>
        </w:trPr>
        <w:tc>
          <w:tcPr>
            <w:tcW w:type="dxa" w:w="5976"/>
            <w:tcMar>
              <w:top w:w="100" w:type="dxa"/>
              <w:start w:w="120" w:type="dxa"/>
              <w:bottom w:w="100" w:type="dxa"/>
              <w:end w:w="120" w:type="dxa"/>
            </w:tcMar>
            <w:shd w:fill="F7F8FA"/>
          </w:tcPr>
          <w:p>
            <w:pPr>
              <w:spacing w:after="0"/>
            </w:pPr>
            <w:r>
              <w:rPr>
                <w:sz w:val="17"/>
              </w:rPr>
              <w:t>Developmental capacity and family life-cycle context</w:t>
            </w:r>
          </w:p>
        </w:tc>
        <w:tc>
          <w:tcPr>
            <w:tcW w:type="dxa" w:w="3960"/>
            <w:tcMar>
              <w:top w:w="100" w:type="dxa"/>
              <w:start w:w="120" w:type="dxa"/>
              <w:bottom w:w="100" w:type="dxa"/>
              <w:end w:w="120" w:type="dxa"/>
            </w:tcMar>
            <w:shd w:fill="F7F8FA"/>
          </w:tcPr>
          <w:p>
            <w:pPr>
              <w:spacing w:after="0"/>
            </w:pPr>
            <w:r>
              <w:rPr>
                <w:sz w:val="17"/>
              </w:rPr>
            </w:r>
          </w:p>
        </w:tc>
      </w:tr>
      <w:tr>
        <w:trPr>
          <w:cantSplit/>
        </w:trPr>
        <w:tc>
          <w:tcPr>
            <w:tcW w:type="dxa" w:w="5976"/>
            <w:tcMar>
              <w:top w:w="100" w:type="dxa"/>
              <w:start w:w="120" w:type="dxa"/>
              <w:bottom w:w="100" w:type="dxa"/>
              <w:end w:w="120" w:type="dxa"/>
            </w:tcMar>
          </w:tcPr>
          <w:p>
            <w:pPr>
              <w:spacing w:after="0"/>
            </w:pPr>
            <w:r>
              <w:rPr>
                <w:sz w:val="17"/>
              </w:rPr>
              <w:t>Culture, identity, spirituality, community, and historical meaning</w:t>
            </w:r>
          </w:p>
        </w:tc>
        <w:tc>
          <w:tcPr>
            <w:tcW w:type="dxa" w:w="3960"/>
            <w:tcMar>
              <w:top w:w="100" w:type="dxa"/>
              <w:start w:w="120" w:type="dxa"/>
              <w:bottom w:w="100" w:type="dxa"/>
              <w:end w:w="120" w:type="dxa"/>
            </w:tcMar>
          </w:tcPr>
          <w:p>
            <w:pPr>
              <w:spacing w:after="0"/>
            </w:pPr>
            <w:r>
              <w:rPr>
                <w:sz w:val="17"/>
              </w:rPr>
            </w:r>
          </w:p>
        </w:tc>
      </w:tr>
      <w:tr>
        <w:trPr>
          <w:cantSplit/>
        </w:trPr>
        <w:tc>
          <w:tcPr>
            <w:tcW w:type="dxa" w:w="5976"/>
            <w:tcMar>
              <w:top w:w="100" w:type="dxa"/>
              <w:start w:w="120" w:type="dxa"/>
              <w:bottom w:w="100" w:type="dxa"/>
              <w:end w:w="120" w:type="dxa"/>
            </w:tcMar>
            <w:shd w:fill="F7F8FA"/>
          </w:tcPr>
          <w:p>
            <w:pPr>
              <w:spacing w:after="0"/>
            </w:pPr>
            <w:r>
              <w:rPr>
                <w:sz w:val="17"/>
              </w:rPr>
              <w:t>Minority stress, power, discrimination, or institutional context</w:t>
            </w:r>
          </w:p>
        </w:tc>
        <w:tc>
          <w:tcPr>
            <w:tcW w:type="dxa" w:w="3960"/>
            <w:tcMar>
              <w:top w:w="100" w:type="dxa"/>
              <w:start w:w="120" w:type="dxa"/>
              <w:bottom w:w="100" w:type="dxa"/>
              <w:end w:w="120" w:type="dxa"/>
            </w:tcMar>
            <w:shd w:fill="F7F8FA"/>
          </w:tcPr>
          <w:p>
            <w:pPr>
              <w:spacing w:after="0"/>
            </w:pPr>
            <w:r>
              <w:rPr>
                <w:sz w:val="17"/>
              </w:rPr>
            </w:r>
          </w:p>
        </w:tc>
      </w:tr>
      <w:tr>
        <w:trPr>
          <w:cantSplit/>
        </w:trPr>
        <w:tc>
          <w:tcPr>
            <w:tcW w:type="dxa" w:w="5976"/>
            <w:tcMar>
              <w:top w:w="100" w:type="dxa"/>
              <w:start w:w="120" w:type="dxa"/>
              <w:bottom w:w="100" w:type="dxa"/>
              <w:end w:w="120" w:type="dxa"/>
            </w:tcMar>
          </w:tcPr>
          <w:p>
            <w:pPr>
              <w:spacing w:after="0"/>
            </w:pPr>
            <w:r>
              <w:rPr>
                <w:sz w:val="17"/>
              </w:rPr>
              <w:t>Language, disability, neurodiversity, technology, transportation, cost, and scheduling access</w:t>
            </w:r>
          </w:p>
        </w:tc>
        <w:tc>
          <w:tcPr>
            <w:tcW w:type="dxa" w:w="3960"/>
            <w:tcMar>
              <w:top w:w="100" w:type="dxa"/>
              <w:start w:w="120" w:type="dxa"/>
              <w:bottom w:w="100" w:type="dxa"/>
              <w:end w:w="120" w:type="dxa"/>
            </w:tcMar>
          </w:tcPr>
          <w:p>
            <w:pPr>
              <w:spacing w:after="0"/>
            </w:pPr>
            <w:r>
              <w:rPr>
                <w:sz w:val="17"/>
              </w:rPr>
            </w:r>
          </w:p>
        </w:tc>
      </w:tr>
      <w:tr>
        <w:trPr>
          <w:cantSplit/>
        </w:trPr>
        <w:tc>
          <w:tcPr>
            <w:tcW w:type="dxa" w:w="5976"/>
            <w:tcMar>
              <w:top w:w="100" w:type="dxa"/>
              <w:start w:w="120" w:type="dxa"/>
              <w:bottom w:w="100" w:type="dxa"/>
              <w:end w:w="120" w:type="dxa"/>
            </w:tcMar>
            <w:shd w:fill="F7F8FA"/>
          </w:tcPr>
          <w:p>
            <w:pPr>
              <w:spacing w:after="0"/>
            </w:pPr>
            <w:r>
              <w:rPr>
                <w:sz w:val="17"/>
              </w:rPr>
              <w:t>Family, couple, caregiving, parenting, school, work, military, migration, or health system factors</w:t>
            </w:r>
          </w:p>
        </w:tc>
        <w:tc>
          <w:tcPr>
            <w:tcW w:type="dxa" w:w="3960"/>
            <w:tcMar>
              <w:top w:w="100" w:type="dxa"/>
              <w:start w:w="120" w:type="dxa"/>
              <w:bottom w:w="100" w:type="dxa"/>
              <w:end w:w="120" w:type="dxa"/>
            </w:tcMar>
            <w:shd w:fill="F7F8FA"/>
          </w:tcPr>
          <w:p>
            <w:pPr>
              <w:spacing w:after="0"/>
            </w:pPr>
            <w:r>
              <w:rPr>
                <w:sz w:val="17"/>
              </w:rPr>
            </w:r>
          </w:p>
        </w:tc>
      </w:tr>
      <w:tr>
        <w:trPr>
          <w:cantSplit/>
        </w:trPr>
        <w:tc>
          <w:tcPr>
            <w:tcW w:type="dxa" w:w="5976"/>
            <w:tcMar>
              <w:top w:w="100" w:type="dxa"/>
              <w:start w:w="120" w:type="dxa"/>
              <w:bottom w:w="100" w:type="dxa"/>
              <w:end w:w="120" w:type="dxa"/>
            </w:tcMar>
          </w:tcPr>
          <w:p>
            <w:pPr>
              <w:spacing w:after="0"/>
            </w:pPr>
            <w:r>
              <w:rPr>
                <w:sz w:val="17"/>
              </w:rPr>
              <w:t>Planned adaptation to modality, participants, pacing, language, materials, or homework</w:t>
            </w:r>
          </w:p>
        </w:tc>
        <w:tc>
          <w:tcPr>
            <w:tcW w:type="dxa" w:w="3960"/>
            <w:tcMar>
              <w:top w:w="100" w:type="dxa"/>
              <w:start w:w="120" w:type="dxa"/>
              <w:bottom w:w="100" w:type="dxa"/>
              <w:end w:w="120" w:type="dxa"/>
            </w:tcMar>
          </w:tcPr>
          <w:p>
            <w:pPr>
              <w:spacing w:after="0"/>
            </w:pPr>
            <w:r>
              <w:rPr>
                <w:sz w:val="17"/>
              </w:rPr>
            </w:r>
          </w:p>
        </w:tc>
      </w:tr>
      <w:tr>
        <w:trPr>
          <w:cantSplit/>
        </w:trPr>
        <w:tc>
          <w:tcPr>
            <w:tcW w:type="dxa" w:w="5976"/>
            <w:tcMar>
              <w:top w:w="100" w:type="dxa"/>
              <w:start w:w="120" w:type="dxa"/>
              <w:bottom w:w="100" w:type="dxa"/>
              <w:end w:w="120" w:type="dxa"/>
            </w:tcMar>
            <w:shd w:fill="F7F8FA"/>
          </w:tcPr>
          <w:p>
            <w:pPr>
              <w:spacing w:after="0"/>
            </w:pPr>
            <w:r>
              <w:rPr>
                <w:sz w:val="17"/>
              </w:rPr>
              <w:t>Outcome indicators and review date</w:t>
            </w:r>
          </w:p>
        </w:tc>
        <w:tc>
          <w:tcPr>
            <w:tcW w:type="dxa" w:w="3960"/>
            <w:tcMar>
              <w:top w:w="100" w:type="dxa"/>
              <w:start w:w="120" w:type="dxa"/>
              <w:bottom w:w="100" w:type="dxa"/>
              <w:end w:w="120" w:type="dxa"/>
            </w:tcMar>
            <w:shd w:fill="F7F8FA"/>
          </w:tcPr>
          <w:p>
            <w:pPr>
              <w:spacing w:after="0"/>
            </w:pPr>
            <w:r>
              <w:rPr>
                <w:sz w:val="17"/>
              </w:rPr>
            </w:r>
          </w:p>
        </w:tc>
      </w:tr>
    </w:tbl>
    <w:p>
      <w:pPr>
        <w:spacing w:after="0"/>
      </w:pPr>
    </w:p>
    <w:p>
      <w:pPr>
        <w:pStyle w:val="Heading1"/>
      </w:pPr>
      <w:r>
        <w:t>Chapter Summary</w:t>
      </w:r>
    </w:p>
    <w:p>
      <w:pPr>
        <w:pStyle w:val="ListBullet"/>
      </w:pPr>
      <w:r>
        <w:t>Use CARE: clarify the context, ask rather than assume, revise the intervention, and evaluate the effect of the adaptation.</w:t>
      </w:r>
    </w:p>
    <w:p>
      <w:pPr>
        <w:pStyle w:val="ListBullet"/>
      </w:pPr>
      <w:r>
        <w:t>Developmental fit changes language, pacing, expectations, activities, caregiver involvement, homework, and the meaning of autonomy; chronological age alone is not enough.</w:t>
      </w:r>
    </w:p>
    <w:p>
      <w:pPr>
        <w:pStyle w:val="ListBullet"/>
      </w:pPr>
      <w:r>
        <w:t>Cultural humility requires curiosity, self-reflection, attention to power, and the client or client-system’s own meanings rather than demographic formulas or stereotypes.</w:t>
      </w:r>
    </w:p>
    <w:p>
      <w:pPr>
        <w:pStyle w:val="ListBullet"/>
      </w:pPr>
      <w:r>
        <w:t>Accessibility, language, housing, work, immigration, military, caregiving, health, disability, and technology conditions are clinical variables when they affect safety, participation, or outcomes.</w:t>
      </w:r>
    </w:p>
    <w:p>
      <w:pPr>
        <w:pStyle w:val="ListBullet"/>
      </w:pPr>
      <w:r>
        <w:t>A well-intended adaptation must still be evaluated. Reassess assumptions, competence, treatment unit, modality, intensity, access, and collaboration when engagement or progress does not improve.</w:t>
      </w:r>
    </w:p>
    <w:p>
      <w:pPr>
        <w:pStyle w:val="Heading1"/>
        <w:pageBreakBefore/>
      </w:pPr>
      <w:r>
        <w:t>Knowledge Check</w:t>
      </w:r>
    </w:p>
    <w:p>
      <w:r>
        <w:rPr>
          <w:i w:val="0"/>
        </w:rPr>
        <w:t>Complete all 10 original CTA practice questions before reviewing the answer key. Record your answer and confidence level. The set emphasizes developmental fit, cultural humility, accessibility, family transitions, spirituality, structural stress, language access, military reintegration, minority stress, and integrated contextual intervention.</w:t>
      </w:r>
    </w:p>
    <w:tbl>
      <w:tblPr>
        <w:tblStyle w:val="TableGrid"/>
        <w:tblW w:type="auto" w:w="0"/>
        <w:jc w:val="center"/>
        <w:tblLayout w:type="fixed"/>
        <w:tblLook w:firstColumn="1" w:firstRow="1" w:lastColumn="0" w:lastRow="0" w:noHBand="0" w:noVBand="1" w:val="04A0"/>
      </w:tblPr>
      <w:tblGrid>
        <w:gridCol w:w="1728"/>
        <w:gridCol w:w="2736"/>
        <w:gridCol w:w="2736"/>
        <w:gridCol w:w="2736"/>
      </w:tblGrid>
      <w:tr>
        <w:trPr>
          <w:tblHeader w:val="true"/>
          <w:cantSplit/>
        </w:trPr>
        <w:tc>
          <w:tcPr>
            <w:tcW w:type="dxa" w:w="2520"/>
            <w:shd w:fill="17365D"/>
            <w:tcMar>
              <w:top w:w="100" w:type="dxa"/>
              <w:start w:w="120" w:type="dxa"/>
              <w:bottom w:w="100" w:type="dxa"/>
              <w:end w:w="120" w:type="dxa"/>
            </w:tcMar>
          </w:tcPr>
          <w:p>
            <w:pPr>
              <w:spacing w:after="0"/>
            </w:pPr>
            <w:r>
              <w:rPr>
                <w:b/>
                <w:color w:val="FFFFFF"/>
                <w:sz w:val="18"/>
              </w:rPr>
              <w:t>Question</w:t>
            </w:r>
          </w:p>
        </w:tc>
        <w:tc>
          <w:tcPr>
            <w:tcW w:type="dxa" w:w="2520"/>
            <w:shd w:fill="17365D"/>
            <w:tcMar>
              <w:top w:w="100" w:type="dxa"/>
              <w:start w:w="120" w:type="dxa"/>
              <w:bottom w:w="100" w:type="dxa"/>
              <w:end w:w="120" w:type="dxa"/>
            </w:tcMar>
          </w:tcPr>
          <w:p>
            <w:pPr>
              <w:spacing w:after="0"/>
            </w:pPr>
            <w:r>
              <w:rPr>
                <w:b/>
                <w:color w:val="FFFFFF"/>
                <w:sz w:val="18"/>
              </w:rPr>
              <w:t>Your Answer</w:t>
            </w:r>
          </w:p>
        </w:tc>
        <w:tc>
          <w:tcPr>
            <w:tcW w:type="dxa" w:w="2520"/>
            <w:shd w:fill="17365D"/>
            <w:tcMar>
              <w:top w:w="100" w:type="dxa"/>
              <w:start w:w="120" w:type="dxa"/>
              <w:bottom w:w="100" w:type="dxa"/>
              <w:end w:w="120" w:type="dxa"/>
            </w:tcMar>
          </w:tcPr>
          <w:p>
            <w:pPr>
              <w:spacing w:after="0"/>
            </w:pPr>
            <w:r>
              <w:rPr>
                <w:b/>
                <w:color w:val="FFFFFF"/>
                <w:sz w:val="18"/>
              </w:rPr>
              <w:t>Confidence (1-3)</w:t>
            </w:r>
          </w:p>
        </w:tc>
        <w:tc>
          <w:tcPr>
            <w:tcW w:type="dxa" w:w="2520"/>
            <w:shd w:fill="17365D"/>
            <w:tcMar>
              <w:top w:w="100" w:type="dxa"/>
              <w:start w:w="120" w:type="dxa"/>
              <w:bottom w:w="100" w:type="dxa"/>
              <w:end w:w="120" w:type="dxa"/>
            </w:tcMar>
          </w:tcPr>
          <w:p>
            <w:pPr>
              <w:spacing w:after="0"/>
            </w:pPr>
            <w:r>
              <w:rPr>
                <w:b/>
                <w:color w:val="FFFFFF"/>
                <w:sz w:val="18"/>
              </w:rPr>
              <w:t>Review?</w:t>
            </w:r>
          </w:p>
        </w:tc>
      </w:tr>
      <w:tr>
        <w:trPr>
          <w:cantSplit/>
        </w:trPr>
        <w:tc>
          <w:tcPr>
            <w:tcW w:type="dxa" w:w="1728"/>
            <w:tcMar>
              <w:top w:w="100" w:type="dxa"/>
              <w:start w:w="120" w:type="dxa"/>
              <w:bottom w:w="100" w:type="dxa"/>
              <w:end w:w="120" w:type="dxa"/>
            </w:tcMar>
          </w:tcPr>
          <w:p>
            <w:pPr>
              <w:spacing w:after="0"/>
            </w:pPr>
            <w:r>
              <w:rPr>
                <w:sz w:val="18"/>
              </w:rPr>
              <w:t>1</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2</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3</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4</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5</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6</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7</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8</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9</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10</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bl>
    <w:p>
      <w:pPr>
        <w:spacing w:after="0"/>
      </w:pPr>
    </w:p>
    <w:p>
      <w:pPr>
        <w:keepNext/>
        <w:spacing w:before="120" w:after="40" w:line="240" w:lineRule="auto"/>
      </w:pPr>
      <w:r>
        <w:t>LMFT-WB10-Q001 | Application | Moderate | Primary concept: Developmentally appropriate intervention</w:t>
      </w:r>
    </w:p>
    <w:p>
      <w:pPr>
        <w:keepNext/>
        <w:keepLines/>
        <w:spacing w:before="60"/>
      </w:pPr>
      <w:r>
        <w:rPr>
          <w:b/>
          <w:i w:val="0"/>
        </w:rPr>
        <w:t>1. A therapist is adapting an intervention for an eight-year-old client. Which change BEST reflects developmental fit?</w:t>
      </w:r>
    </w:p>
    <w:p>
      <w:pPr>
        <w:keepNext/>
        <w:keepLines/>
        <w:spacing w:after="20"/>
        <w:ind w:left="259"/>
      </w:pPr>
      <w:r>
        <w:t>A. Use abstract insight questions to increase independence from caregivers.</w:t>
      </w:r>
    </w:p>
    <w:p>
      <w:pPr>
        <w:keepNext/>
        <w:keepLines/>
        <w:spacing w:after="20"/>
        <w:ind w:left="259"/>
      </w:pPr>
      <w:r>
        <w:t>B. Avoid discussing feelings because children cannot report internal states reliably.</w:t>
      </w:r>
    </w:p>
    <w:p>
      <w:pPr>
        <w:keepNext/>
        <w:keepLines/>
        <w:spacing w:after="20"/>
        <w:ind w:left="259"/>
      </w:pPr>
      <w:r>
        <w:t>C. Use the same intervention format as with adults so the child is not treated differently.</w:t>
      </w:r>
    </w:p>
    <w:p>
      <w:pPr>
        <w:keepNext/>
        <w:keepLines/>
        <w:spacing w:after="20"/>
        <w:ind w:left="259"/>
      </w:pPr>
      <w:r>
        <w:t>D. Use concrete language, brief activities, visual supports, and appropriate caregiver participation.</w:t>
      </w:r>
    </w:p>
    <w:p>
      <w:pPr>
        <w:keepNext w:val="0"/>
        <w:spacing w:before="0" w:after="120" w:line="240" w:lineRule="auto"/>
      </w:pPr>
      <w:r>
        <w:t>My answer: ______  Confidence: 1  2  3</w:t>
      </w:r>
    </w:p>
    <w:p>
      <w:pPr>
        <w:keepNext/>
        <w:spacing w:before="120" w:after="40" w:line="240" w:lineRule="auto"/>
      </w:pPr>
      <w:r>
        <w:t>LMFT-WB10-Q002 | Recall | Easy | Primary concept: Cultural humility and collaborative adaptation</w:t>
      </w:r>
    </w:p>
    <w:p>
      <w:pPr>
        <w:keepNext/>
        <w:keepLines/>
        <w:spacing w:before="60"/>
      </w:pPr>
      <w:r>
        <w:rPr>
          <w:b/>
          <w:i w:val="0"/>
        </w:rPr>
        <w:t>2. Which therapist response BEST demonstrates cultural humility?</w:t>
      </w:r>
    </w:p>
    <w:p>
      <w:pPr>
        <w:keepNext/>
        <w:keepLines/>
        <w:spacing w:after="20"/>
        <w:ind w:left="259"/>
      </w:pPr>
      <w:r>
        <w:t>A. Ask the client how cultural identities and experiences shape the problem and what adaptations would make treatment useful.</w:t>
      </w:r>
    </w:p>
    <w:p>
      <w:pPr>
        <w:keepNext/>
        <w:keepLines/>
        <w:spacing w:after="20"/>
        <w:ind w:left="259"/>
      </w:pPr>
      <w:r>
        <w:t>B. Apply a standard cultural profile for the client’s ethnic group.</w:t>
      </w:r>
    </w:p>
    <w:p>
      <w:pPr>
        <w:keepNext/>
        <w:keepLines/>
        <w:spacing w:after="20"/>
        <w:ind w:left="259"/>
      </w:pPr>
      <w:r>
        <w:t>C. Avoid asking about culture unless the client raises discrimination first.</w:t>
      </w:r>
    </w:p>
    <w:p>
      <w:pPr>
        <w:keepNext/>
        <w:keepLines/>
        <w:spacing w:after="20"/>
        <w:ind w:left="259"/>
      </w:pPr>
      <w:r>
        <w:t>D. Select the intervention used most often with the client’s demographic group.</w:t>
      </w:r>
    </w:p>
    <w:p>
      <w:pPr>
        <w:keepNext w:val="0"/>
        <w:spacing w:before="0" w:after="120" w:line="240" w:lineRule="auto"/>
      </w:pPr>
      <w:r>
        <w:t>My answer: ______  Confidence: 1  2  3</w:t>
      </w:r>
    </w:p>
    <w:p>
      <w:pPr>
        <w:keepNext/>
        <w:spacing w:before="120" w:after="40" w:line="240" w:lineRule="auto"/>
      </w:pPr>
      <w:r>
        <w:t>LMFT-WB10-Q003 | Scenario | Moderate | Primary concept: Accessibility and neurodiversity</w:t>
      </w:r>
    </w:p>
    <w:p>
      <w:pPr>
        <w:keepNext/>
        <w:keepLines/>
        <w:spacing w:before="60"/>
      </w:pPr>
      <w:r>
        <w:rPr>
          <w:b/>
          <w:i w:val="0"/>
        </w:rPr>
        <w:t>3. A client with sensory sensitivity repeatedly leaves a brightly lit therapy room. What should the therapist do FIRST?</w:t>
      </w:r>
    </w:p>
    <w:p>
      <w:pPr>
        <w:keepNext/>
        <w:keepLines/>
        <w:spacing w:after="20"/>
        <w:ind w:left="259"/>
      </w:pPr>
      <w:r>
        <w:t>A. Interpret leaving as avoidance and confront the behavior.</w:t>
      </w:r>
    </w:p>
    <w:p>
      <w:pPr>
        <w:keepNext/>
        <w:keepLines/>
        <w:spacing w:after="20"/>
        <w:ind w:left="259"/>
      </w:pPr>
      <w:r>
        <w:t>B. Require the client to remain in the room to build distress tolerance.</w:t>
      </w:r>
    </w:p>
    <w:p>
      <w:pPr>
        <w:keepNext/>
        <w:keepLines/>
        <w:spacing w:after="20"/>
        <w:ind w:left="259"/>
      </w:pPr>
      <w:r>
        <w:t>C. Ask about sensory needs and collaboratively modify the environment or format.</w:t>
      </w:r>
    </w:p>
    <w:p>
      <w:pPr>
        <w:keepNext/>
        <w:keepLines/>
        <w:spacing w:after="20"/>
        <w:ind w:left="259"/>
      </w:pPr>
      <w:r>
        <w:t>D. Refer the client out because the office cannot be changed.</w:t>
      </w:r>
    </w:p>
    <w:p>
      <w:pPr>
        <w:keepNext w:val="0"/>
        <w:spacing w:before="0" w:after="120" w:line="240" w:lineRule="auto"/>
      </w:pPr>
      <w:r>
        <w:t>My answer: ______  Confidence: 1  2  3</w:t>
      </w:r>
    </w:p>
    <w:p>
      <w:pPr>
        <w:keepNext/>
        <w:spacing w:before="120" w:after="40" w:line="240" w:lineRule="auto"/>
      </w:pPr>
      <w:r>
        <w:t>LMFT-WB10-Q004 | Scenario | Moderate | Primary concept: Family life-cycle transition</w:t>
      </w:r>
    </w:p>
    <w:p>
      <w:pPr>
        <w:keepNext/>
        <w:keepLines/>
        <w:spacing w:before="60"/>
      </w:pPr>
      <w:r>
        <w:rPr>
          <w:b/>
          <w:i w:val="0"/>
        </w:rPr>
        <w:t>4. A couple reports escalating conflict after their oldest child leaves for college. Both describe sadness, uncertainty, and arguments about how to spend time together. What is the BEST initial intervention focus?</w:t>
      </w:r>
    </w:p>
    <w:p>
      <w:pPr>
        <w:keepNext/>
        <w:keepLines/>
        <w:spacing w:after="20"/>
        <w:ind w:left="259"/>
      </w:pPr>
      <w:r>
        <w:t>A. Determine which partner is experiencing a depressive disorder.</w:t>
      </w:r>
    </w:p>
    <w:p>
      <w:pPr>
        <w:keepNext/>
        <w:keepLines/>
        <w:spacing w:after="20"/>
        <w:ind w:left="259"/>
      </w:pPr>
      <w:r>
        <w:t>B. Explore the transition’s meaning, role changes, losses, expectations, and the couple’s interactional cycle.</w:t>
      </w:r>
    </w:p>
    <w:p>
      <w:pPr>
        <w:keepNext/>
        <w:keepLines/>
        <w:spacing w:after="20"/>
        <w:ind w:left="259"/>
      </w:pPr>
      <w:r>
        <w:t>C. Teach conflict-resolution skills without discussing the transition.</w:t>
      </w:r>
    </w:p>
    <w:p>
      <w:pPr>
        <w:keepNext/>
        <w:keepLines/>
        <w:spacing w:after="20"/>
        <w:ind w:left="259"/>
      </w:pPr>
      <w:r>
        <w:t>D. Recommend that the child return home temporarily.</w:t>
      </w:r>
    </w:p>
    <w:p>
      <w:pPr>
        <w:keepNext w:val="0"/>
        <w:spacing w:before="0" w:after="120" w:line="240" w:lineRule="auto"/>
      </w:pPr>
      <w:r>
        <w:t>My answer: ______  Confidence: 1  2  3</w:t>
      </w:r>
    </w:p>
    <w:p>
      <w:pPr>
        <w:keepNext/>
        <w:spacing w:before="120" w:after="40" w:line="240" w:lineRule="auto"/>
      </w:pPr>
      <w:r>
        <w:t>LMFT-WB10-Q005 | Application | Moderate | Primary concept: Spirituality and client-defined meaning</w:t>
      </w:r>
    </w:p>
    <w:p>
      <w:pPr>
        <w:keepNext/>
        <w:keepLines/>
        <w:spacing w:before="60"/>
      </w:pPr>
      <w:r>
        <w:rPr>
          <w:b/>
          <w:i w:val="0"/>
        </w:rPr>
        <w:t>5. A client says prayer and a faith community have been important during grief but worries the therapist will dismiss religion. What is the therapist’s BEST response?</w:t>
      </w:r>
    </w:p>
    <w:p>
      <w:pPr>
        <w:keepNext/>
        <w:keepLines/>
        <w:spacing w:after="20"/>
        <w:ind w:left="259"/>
      </w:pPr>
      <w:r>
        <w:t>A. Explain that psychotherapy should remain separate from spirituality.</w:t>
      </w:r>
    </w:p>
    <w:p>
      <w:pPr>
        <w:keepNext/>
        <w:keepLines/>
        <w:spacing w:after="20"/>
        <w:ind w:left="259"/>
      </w:pPr>
      <w:r>
        <w:t>B. Recommend a specific religious practice that has helped other clients.</w:t>
      </w:r>
    </w:p>
    <w:p>
      <w:pPr>
        <w:keepNext/>
        <w:keepLines/>
        <w:spacing w:after="20"/>
        <w:ind w:left="259"/>
      </w:pPr>
      <w:r>
        <w:t>C. Transfer the client immediately to a clergy member.</w:t>
      </w:r>
    </w:p>
    <w:p>
      <w:pPr>
        <w:keepNext/>
        <w:keepLines/>
        <w:spacing w:after="20"/>
        <w:ind w:left="259"/>
      </w:pPr>
      <w:r>
        <w:t>D. Invite the client to describe the role of faith, assess whether these resources support the client’s goals, and integrate them within competence.</w:t>
      </w:r>
    </w:p>
    <w:p>
      <w:pPr>
        <w:keepNext w:val="0"/>
        <w:spacing w:before="0" w:after="120" w:line="240" w:lineRule="auto"/>
      </w:pPr>
      <w:r>
        <w:t>My answer: ______  Confidence: 1  2  3</w:t>
      </w:r>
    </w:p>
    <w:p>
      <w:pPr>
        <w:keepNext/>
        <w:spacing w:before="120" w:after="40" w:line="240" w:lineRule="auto"/>
      </w:pPr>
      <w:r>
        <w:t>LMFT-WB10-Q006 | Scenario | Moderate | Primary concept: Socioeconomic and structural stress</w:t>
      </w:r>
    </w:p>
    <w:p>
      <w:pPr>
        <w:keepNext/>
        <w:keepLines/>
        <w:spacing w:before="60"/>
      </w:pPr>
      <w:r>
        <w:rPr>
          <w:b/>
          <w:i w:val="0"/>
        </w:rPr>
        <w:t>6. A family has become increasingly irritable and disconnected after a parent’s work hours were reduced and the family fell behind on rent. Which response is BEST?</w:t>
      </w:r>
    </w:p>
    <w:p>
      <w:pPr>
        <w:keepNext/>
        <w:keepLines/>
        <w:spacing w:after="20"/>
        <w:ind w:left="259"/>
      </w:pPr>
      <w:r>
        <w:t>A. Focus only on communication because resource needs are outside psychotherapy.</w:t>
      </w:r>
    </w:p>
    <w:p>
      <w:pPr>
        <w:keepNext/>
        <w:keepLines/>
        <w:spacing w:after="20"/>
        <w:ind w:left="259"/>
      </w:pPr>
      <w:r>
        <w:t>B. Diagnose the family’s conflict before discussing finances.</w:t>
      </w:r>
    </w:p>
    <w:p>
      <w:pPr>
        <w:keepNext/>
        <w:keepLines/>
        <w:spacing w:after="20"/>
        <w:ind w:left="259"/>
      </w:pPr>
      <w:r>
        <w:t>C. Assess urgent housing and financial stress, connect appropriate resources, and address how strain is affecting roles and communication.</w:t>
      </w:r>
    </w:p>
    <w:p>
      <w:pPr>
        <w:keepNext/>
        <w:keepLines/>
        <w:spacing w:after="20"/>
        <w:ind w:left="259"/>
      </w:pPr>
      <w:r>
        <w:t>D. Encourage the family to avoid discussing money at home.</w:t>
      </w:r>
    </w:p>
    <w:p>
      <w:pPr>
        <w:keepNext w:val="0"/>
        <w:spacing w:before="0" w:after="120" w:line="240" w:lineRule="auto"/>
      </w:pPr>
      <w:r>
        <w:t>My answer: ______  Confidence: 1  2  3</w:t>
      </w:r>
    </w:p>
    <w:p>
      <w:pPr>
        <w:keepNext/>
        <w:spacing w:before="120" w:after="40" w:line="240" w:lineRule="auto"/>
      </w:pPr>
      <w:r>
        <w:t>LMFT-WB10-Q007 | Scenario | Moderate | Primary concept: Language access and interpreter roles</w:t>
      </w:r>
    </w:p>
    <w:p>
      <w:pPr>
        <w:keepNext/>
        <w:keepLines/>
        <w:spacing w:before="60"/>
      </w:pPr>
      <w:r>
        <w:rPr>
          <w:b/>
          <w:i w:val="0"/>
        </w:rPr>
        <w:t>7. A couple with limited English proficiency brings their 15-year-old daughter to interpret during the first session. The couple expects to discuss intimacy, conflict, and immigration-related fears. What should the therapist do FIRST?</w:t>
      </w:r>
    </w:p>
    <w:p>
      <w:pPr>
        <w:keepNext/>
        <w:keepLines/>
        <w:spacing w:after="20"/>
        <w:ind w:left="259"/>
      </w:pPr>
      <w:r>
        <w:t>A. Explain the need for a qualified interpreter, arrange appropriate language access, and clarify confidentiality and roles.</w:t>
      </w:r>
    </w:p>
    <w:p>
      <w:pPr>
        <w:keepNext/>
        <w:keepLines/>
        <w:spacing w:after="20"/>
        <w:ind w:left="259"/>
      </w:pPr>
      <w:r>
        <w:t>B. Proceed because the daughter already knows the family’s situation.</w:t>
      </w:r>
    </w:p>
    <w:p>
      <w:pPr>
        <w:keepNext/>
        <w:keepLines/>
        <w:spacing w:after="20"/>
        <w:ind w:left="259"/>
      </w:pPr>
      <w:r>
        <w:t>C. Ask the daughter to interpret only the most important questions.</w:t>
      </w:r>
    </w:p>
    <w:p>
      <w:pPr>
        <w:keepNext/>
        <w:keepLines/>
        <w:spacing w:after="20"/>
        <w:ind w:left="259"/>
      </w:pPr>
      <w:r>
        <w:t>D. Conduct separate sessions so no interpretation is needed.</w:t>
      </w:r>
    </w:p>
    <w:p>
      <w:pPr>
        <w:keepNext w:val="0"/>
        <w:spacing w:before="0" w:after="120" w:line="240" w:lineRule="auto"/>
      </w:pPr>
      <w:r>
        <w:t>My answer: ______  Confidence: 1  2  3</w:t>
      </w:r>
    </w:p>
    <w:p>
      <w:pPr>
        <w:keepNext/>
        <w:spacing w:before="120" w:after="40" w:line="240" w:lineRule="auto"/>
      </w:pPr>
      <w:r>
        <w:t>LMFT-WB10-Q008 | Scenario | Moderate | Primary concept: Military reintegration and family roles</w:t>
      </w:r>
    </w:p>
    <w:p>
      <w:pPr>
        <w:keepNext/>
        <w:keepLines/>
        <w:spacing w:before="60"/>
      </w:pPr>
      <w:r>
        <w:rPr>
          <w:b/>
          <w:i w:val="0"/>
        </w:rPr>
        <w:t>8. After a military deployment, a service member reports feeling displaced in the household. The partner has managed all parenting decisions and now experiences the service member’s suggestions as criticism. What is the BEST initial intervention?</w:t>
      </w:r>
    </w:p>
    <w:p>
      <w:pPr>
        <w:keepNext/>
        <w:keepLines/>
        <w:spacing w:after="20"/>
        <w:ind w:left="259"/>
      </w:pPr>
      <w:r>
        <w:t>A. Instruct the partner to return decision-making authority immediately.</w:t>
      </w:r>
    </w:p>
    <w:p>
      <w:pPr>
        <w:keepNext/>
        <w:keepLines/>
        <w:spacing w:after="20"/>
        <w:ind w:left="259"/>
      </w:pPr>
      <w:r>
        <w:t>B. Explore reintegration expectations, role changes, losses, strengths, and the conflict cycle, then develop gradual collaborative role adjustments.</w:t>
      </w:r>
    </w:p>
    <w:p>
      <w:pPr>
        <w:keepNext/>
        <w:keepLines/>
        <w:spacing w:after="20"/>
        <w:ind w:left="259"/>
      </w:pPr>
      <w:r>
        <w:t>C. Focus exclusively on the service member’s trauma symptoms.</w:t>
      </w:r>
    </w:p>
    <w:p>
      <w:pPr>
        <w:keepNext/>
        <w:keepLines/>
        <w:spacing w:after="20"/>
        <w:ind w:left="259"/>
      </w:pPr>
      <w:r>
        <w:t>D. Recommend a temporary separation while the family adjusts.</w:t>
      </w:r>
    </w:p>
    <w:p>
      <w:pPr>
        <w:keepNext w:val="0"/>
        <w:spacing w:before="0" w:after="120" w:line="240" w:lineRule="auto"/>
      </w:pPr>
      <w:r>
        <w:t>My answer: ______  Confidence: 1  2  3</w:t>
      </w:r>
    </w:p>
    <w:p>
      <w:pPr>
        <w:keepNext/>
        <w:spacing w:before="120" w:after="40" w:line="240" w:lineRule="auto"/>
      </w:pPr>
      <w:r>
        <w:t>LMFT-WB10-Q009 | Scenario | Moderate | Primary concept: Gender minority stress and affirming care</w:t>
      </w:r>
    </w:p>
    <w:p>
      <w:pPr>
        <w:keepNext/>
        <w:keepLines/>
        <w:spacing w:before="60"/>
      </w:pPr>
      <w:r>
        <w:rPr>
          <w:b/>
          <w:i w:val="0"/>
        </w:rPr>
        <w:t>9. A transgender young adult seeks therapy for anxiety after repeated misgendering at home. The parents request that therapy help the client become “less sensitive.” What should the therapist do FIRST?</w:t>
      </w:r>
    </w:p>
    <w:p>
      <w:pPr>
        <w:keepNext/>
        <w:keepLines/>
        <w:spacing w:after="20"/>
        <w:ind w:left="259"/>
      </w:pPr>
      <w:r>
        <w:t>A. Ask the client to tolerate the family’s language while the parents adjust.</w:t>
      </w:r>
    </w:p>
    <w:p>
      <w:pPr>
        <w:keepNext/>
        <w:keepLines/>
        <w:spacing w:after="20"/>
        <w:ind w:left="259"/>
      </w:pPr>
      <w:r>
        <w:t>B. Begin conjoint confrontation so the parents understand the harm they are causing.</w:t>
      </w:r>
    </w:p>
    <w:p>
      <w:pPr>
        <w:keepNext/>
        <w:keepLines/>
        <w:spacing w:after="20"/>
        <w:ind w:left="259"/>
      </w:pPr>
      <w:r>
        <w:t>C. Affirm the client’s identity, assess safety and minority stress, clarify treatment goals and participants, and avoid adopting the parents’ change agenda.</w:t>
      </w:r>
    </w:p>
    <w:p>
      <w:pPr>
        <w:keepNext/>
        <w:keepLines/>
        <w:spacing w:after="20"/>
        <w:ind w:left="259"/>
      </w:pPr>
      <w:r>
        <w:t>D. Refuse all family involvement because the parents are not affirming.</w:t>
      </w:r>
    </w:p>
    <w:p>
      <w:pPr>
        <w:keepNext w:val="0"/>
        <w:spacing w:before="0" w:after="120" w:line="240" w:lineRule="auto"/>
      </w:pPr>
      <w:r>
        <w:t>My answer: ______  Confidence: 1  2  3</w:t>
      </w:r>
    </w:p>
    <w:p>
      <w:pPr>
        <w:keepNext/>
        <w:spacing w:before="120" w:after="40" w:line="240" w:lineRule="auto"/>
      </w:pPr>
      <w:r>
        <w:t>LMFT-WB10-Q010 | Integrated | Challenge | Primary concept: Caregiving, aging, access, and coordinated support</w:t>
      </w:r>
    </w:p>
    <w:p>
      <w:pPr>
        <w:keepNext/>
        <w:keepLines/>
        <w:spacing w:before="60"/>
      </w:pPr>
      <w:r>
        <w:rPr>
          <w:b/>
          <w:i w:val="0"/>
        </w:rPr>
        <w:t>10. A 68-year-old client caring for a spouse with dementia reports exhaustion, guilt, missed medical appointments, and conflict with adult children who live far away. The client values independence, has limited transportation, and says video sessions are difficult to use. What is the BEST initial plan?</w:t>
      </w:r>
    </w:p>
    <w:p>
      <w:pPr>
        <w:keepNext/>
        <w:keepLines/>
        <w:spacing w:after="20"/>
        <w:ind w:left="259"/>
      </w:pPr>
      <w:r>
        <w:t>A. Assess caregiver burden and safety, identify accessible medical and respite resources, clarify family roles and support options, adapt the therapy format, and establish measurable follow-up.</w:t>
      </w:r>
    </w:p>
    <w:p>
      <w:pPr>
        <w:keepNext/>
        <w:keepLines/>
        <w:spacing w:after="20"/>
        <w:ind w:left="259"/>
      </w:pPr>
      <w:r>
        <w:t>B. Begin cognitive restructuring focused on the client’s guilt before discussing practical needs.</w:t>
      </w:r>
    </w:p>
    <w:p>
      <w:pPr>
        <w:keepNext/>
        <w:keepLines/>
        <w:spacing w:after="20"/>
        <w:ind w:left="259"/>
      </w:pPr>
      <w:r>
        <w:t>C. Require family therapy by video so all adult children participate.</w:t>
      </w:r>
    </w:p>
    <w:p>
      <w:pPr>
        <w:keepNext/>
        <w:keepLines/>
        <w:spacing w:after="20"/>
        <w:ind w:left="259"/>
      </w:pPr>
      <w:r>
        <w:t>D. Recommend residential placement for the spouse because the client is overwhelmed.</w:t>
      </w:r>
    </w:p>
    <w:p>
      <w:pPr>
        <w:keepNext w:val="0"/>
        <w:spacing w:before="0" w:after="120" w:line="240" w:lineRule="auto"/>
      </w:pPr>
      <w:r>
        <w:t>My answer: ______  Confidence: 1  2  3</w:t>
      </w:r>
    </w:p>
    <w:p>
      <w:r>
        <w:br w:type="page"/>
      </w:r>
    </w:p>
    <w:p>
      <w:pPr>
        <w:pStyle w:val="Heading1"/>
      </w:pPr>
      <w:r>
        <w:t>Answer Key and Detailed Rationales</w:t>
      </w: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7F5F4"/>
            <w:tcMar>
              <w:top w:w="150" w:type="dxa"/>
              <w:start w:w="180" w:type="dxa"/>
              <w:bottom w:w="150" w:type="dxa"/>
              <w:end w:w="180" w:type="dxa"/>
            </w:tcMar>
          </w:tcPr>
          <w:p>
            <w:pPr>
              <w:spacing w:after="80"/>
            </w:pPr>
            <w:r>
              <w:rPr>
                <w:b/>
                <w:i w:val="0"/>
                <w:color w:val="0F7C82"/>
              </w:rPr>
              <w:t>How to Review</w:t>
            </w:r>
          </w:p>
          <w:p>
            <w:pPr>
              <w:spacing w:after="0"/>
            </w:pPr>
            <w:r>
              <w:t>For each missed item, identify whether the error involved developmental fit, cultural assumptions, access, systemic meaning, intervention timing, or failure to evaluate response. Write one sentence explaining why the correct response is better timed and better matched than the strongest distractor.</w:t>
            </w:r>
          </w:p>
        </w:tc>
      </w:tr>
    </w:tbl>
    <w:p>
      <w:pPr>
        <w:spacing w:after="0"/>
      </w:pPr>
    </w:p>
    <w:p>
      <w:pPr>
        <w:pStyle w:val="Heading2"/>
        <w:keepNext/>
        <w:keepLines/>
        <w:spacing w:before="100" w:after="40"/>
      </w:pPr>
      <w:r>
        <w:rPr>
          <w:b/>
          <w:i w:val="0"/>
          <w:sz w:val="20"/>
        </w:rPr>
        <w:t>Question 1 (LMFT-WB10-Q001)</w:t>
      </w:r>
    </w:p>
    <w:p>
      <w:pPr>
        <w:keepNext/>
        <w:keepLines/>
      </w:pPr>
      <w:r>
        <w:rPr>
          <w:b/>
          <w:i w:val="0"/>
          <w:color w:val="0F7C82"/>
        </w:rPr>
        <w:t>Correct Answer: D</w:t>
      </w:r>
    </w:p>
    <w:p>
      <w:pPr>
        <w:keepNext/>
        <w:keepLines/>
        <w:spacing w:after="40"/>
        <w:ind w:left="173"/>
      </w:pPr>
      <w:r>
        <w:rPr>
          <w:b/>
          <w:i w:val="0"/>
        </w:rPr>
        <w:t>A. Abstract insight may exceed the child’s developmental capacity and unnecessarily excludes helpful caregiver involvement.</w:t>
      </w:r>
    </w:p>
    <w:p>
      <w:pPr>
        <w:keepNext/>
        <w:keepLines/>
        <w:spacing w:after="40"/>
        <w:ind w:left="173"/>
      </w:pPr>
      <w:r>
        <w:rPr>
          <w:b/>
          <w:i w:val="0"/>
        </w:rPr>
        <w:t>B. Children can communicate internal experience when the method is developmentally appropriate.</w:t>
      </w:r>
    </w:p>
    <w:p>
      <w:pPr>
        <w:keepNext/>
        <w:keepLines/>
        <w:spacing w:after="40"/>
        <w:ind w:left="173"/>
      </w:pPr>
      <w:r>
        <w:rPr>
          <w:b/>
          <w:i w:val="0"/>
        </w:rPr>
        <w:t>C. Equal respect does not require identical methods; effective care often requires adaptation.</w:t>
      </w:r>
    </w:p>
    <w:p>
      <w:pPr>
        <w:keepNext/>
        <w:keepLines/>
        <w:spacing w:after="40"/>
        <w:ind w:left="173"/>
      </w:pPr>
      <w:r>
        <w:rPr>
          <w:b/>
          <w:i w:val="0"/>
        </w:rPr>
        <w:t>D. Correct. Concrete, brief, experiential, and supported methods are more likely to match an eight-year-old’s learning and regulation needs.</w:t>
      </w:r>
    </w:p>
    <w:p>
      <w:pPr>
        <w:keepLines/>
        <w:spacing w:after="120"/>
        <w:ind w:left="173"/>
      </w:pPr>
      <w:r>
        <w:rPr>
          <w:b/>
          <w:i w:val="0"/>
          <w:color w:val="1F4E78"/>
        </w:rPr>
        <w:t xml:space="preserve">Exam Strategy: </w:t>
      </w:r>
      <w:r>
        <w:rPr>
          <w:b w:val="0"/>
          <w:i/>
        </w:rPr>
        <w:t>Match the intervention language, pacing, expectations, and participants to developmental capacity before selecting a more complex technique.</w:t>
      </w:r>
    </w:p>
    <w:p>
      <w:pPr>
        <w:pStyle w:val="Heading2"/>
        <w:keepNext/>
        <w:keepLines/>
        <w:spacing w:before="100" w:after="40"/>
      </w:pPr>
      <w:r>
        <w:rPr>
          <w:b/>
          <w:i w:val="0"/>
          <w:sz w:val="20"/>
        </w:rPr>
        <w:t>Question 2 (LMFT-WB10-Q002)</w:t>
      </w:r>
    </w:p>
    <w:p>
      <w:pPr>
        <w:keepNext/>
        <w:keepLines/>
      </w:pPr>
      <w:r>
        <w:rPr>
          <w:b/>
          <w:i w:val="0"/>
          <w:color w:val="0F7C82"/>
        </w:rPr>
        <w:t>Correct Answer: A</w:t>
      </w:r>
    </w:p>
    <w:p>
      <w:pPr>
        <w:keepNext/>
        <w:keepLines/>
        <w:spacing w:after="40"/>
        <w:ind w:left="173"/>
      </w:pPr>
      <w:r>
        <w:rPr>
          <w:b/>
          <w:i w:val="0"/>
        </w:rPr>
        <w:t>A. Correct. Cultural humility requires curiosity, self-reflection, collaboration, and attention to the client’s own meanings rather than assumptions.</w:t>
      </w:r>
    </w:p>
    <w:p>
      <w:pPr>
        <w:keepNext/>
        <w:keepLines/>
        <w:spacing w:after="40"/>
        <w:ind w:left="173"/>
      </w:pPr>
      <w:r>
        <w:rPr>
          <w:b/>
          <w:i w:val="0"/>
        </w:rPr>
        <w:t>B. Group-based profiles can become stereotypes and cannot substitute for individualized assessment.</w:t>
      </w:r>
    </w:p>
    <w:p>
      <w:pPr>
        <w:keepNext/>
        <w:keepLines/>
        <w:spacing w:after="40"/>
        <w:ind w:left="173"/>
      </w:pPr>
      <w:r>
        <w:rPr>
          <w:b/>
          <w:i w:val="0"/>
        </w:rPr>
        <w:t>C. Avoidance can communicate that culture and discrimination are unsafe or irrelevant topics.</w:t>
      </w:r>
    </w:p>
    <w:p>
      <w:pPr>
        <w:keepNext/>
        <w:keepLines/>
        <w:spacing w:after="40"/>
        <w:ind w:left="173"/>
      </w:pPr>
      <w:r>
        <w:rPr>
          <w:b/>
          <w:i w:val="0"/>
        </w:rPr>
        <w:t>D. Demographic matching alone does not establish fit; the client’s goals, meanings, context, and preferences matter.</w:t>
      </w:r>
    </w:p>
    <w:p>
      <w:pPr>
        <w:keepLines/>
        <w:spacing w:after="120"/>
        <w:ind w:left="173"/>
      </w:pPr>
      <w:r>
        <w:rPr>
          <w:b/>
          <w:i w:val="0"/>
          <w:color w:val="1F4E78"/>
        </w:rPr>
        <w:t xml:space="preserve">Exam Strategy: </w:t>
      </w:r>
      <w:r>
        <w:rPr>
          <w:b w:val="0"/>
          <w:i/>
        </w:rPr>
        <w:t>Ask, collaborate, and adapt; do not assume that group membership tells you the client’s meaning or preferred intervention.</w:t>
      </w:r>
    </w:p>
    <w:p>
      <w:pPr>
        <w:pStyle w:val="Heading2"/>
        <w:keepNext/>
        <w:keepLines/>
        <w:spacing w:before="100" w:after="40"/>
      </w:pPr>
      <w:r>
        <w:rPr>
          <w:b/>
          <w:i w:val="0"/>
          <w:sz w:val="20"/>
        </w:rPr>
        <w:t>Question 3 (LMFT-WB10-Q003)</w:t>
      </w:r>
    </w:p>
    <w:p>
      <w:pPr>
        <w:keepNext/>
        <w:keepLines/>
      </w:pPr>
      <w:r>
        <w:rPr>
          <w:b/>
          <w:i w:val="0"/>
          <w:color w:val="0F7C82"/>
        </w:rPr>
        <w:t>Correct Answer: C</w:t>
      </w:r>
    </w:p>
    <w:p>
      <w:pPr>
        <w:keepNext/>
        <w:keepLines/>
        <w:spacing w:after="40"/>
        <w:ind w:left="173"/>
      </w:pPr>
      <w:r>
        <w:rPr>
          <w:b/>
          <w:i w:val="0"/>
        </w:rPr>
        <w:t>A. The behavior may reflect an access barrier rather than psychological avoidance.</w:t>
      </w:r>
    </w:p>
    <w:p>
      <w:pPr>
        <w:keepNext/>
        <w:keepLines/>
        <w:spacing w:after="40"/>
        <w:ind w:left="173"/>
      </w:pPr>
      <w:r>
        <w:rPr>
          <w:b/>
          <w:i w:val="0"/>
        </w:rPr>
        <w:t>B. Forced exposure without assessment, consent, or a treatment rationale is poorly timed and may undermine safety.</w:t>
      </w:r>
    </w:p>
    <w:p>
      <w:pPr>
        <w:keepNext/>
        <w:keepLines/>
        <w:spacing w:after="40"/>
        <w:ind w:left="173"/>
      </w:pPr>
      <w:r>
        <w:rPr>
          <w:b/>
          <w:i w:val="0"/>
        </w:rPr>
        <w:t>C. Correct. Assessing the access need and modifying the environment preserves participation and provides better clinical data.</w:t>
      </w:r>
    </w:p>
    <w:p>
      <w:pPr>
        <w:keepNext/>
        <w:keepLines/>
        <w:spacing w:after="40"/>
        <w:ind w:left="173"/>
      </w:pPr>
      <w:r>
        <w:rPr>
          <w:b/>
          <w:i w:val="0"/>
        </w:rPr>
        <w:t>D. Referral is premature when reasonable adaptations may make the service accessible.</w:t>
      </w:r>
    </w:p>
    <w:p>
      <w:pPr>
        <w:keepLines/>
        <w:spacing w:after="120"/>
        <w:ind w:left="173"/>
      </w:pPr>
      <w:r>
        <w:rPr>
          <w:b/>
          <w:i w:val="0"/>
          <w:color w:val="1F4E78"/>
        </w:rPr>
        <w:t xml:space="preserve">Exam Strategy: </w:t>
      </w:r>
      <w:r>
        <w:rPr>
          <w:b w:val="0"/>
          <w:i/>
        </w:rPr>
        <w:t>Modify the environment, communication, and task demands before interpreting access difficulties as poor motivation.</w:t>
      </w:r>
    </w:p>
    <w:p>
      <w:pPr>
        <w:pStyle w:val="Heading2"/>
        <w:keepNext/>
        <w:keepLines/>
        <w:spacing w:before="100" w:after="40"/>
      </w:pPr>
      <w:r>
        <w:rPr>
          <w:b/>
          <w:i w:val="0"/>
          <w:sz w:val="20"/>
        </w:rPr>
        <w:t>Question 4 (LMFT-WB10-Q004)</w:t>
      </w:r>
    </w:p>
    <w:p>
      <w:pPr>
        <w:keepNext/>
        <w:keepLines/>
      </w:pPr>
      <w:r>
        <w:rPr>
          <w:b/>
          <w:i w:val="0"/>
          <w:color w:val="0F7C82"/>
        </w:rPr>
        <w:t>Correct Answer: B</w:t>
      </w:r>
    </w:p>
    <w:p>
      <w:pPr>
        <w:keepNext/>
        <w:keepLines/>
        <w:spacing w:after="40"/>
        <w:ind w:left="173"/>
      </w:pPr>
      <w:r>
        <w:rPr>
          <w:b/>
          <w:i w:val="0"/>
        </w:rPr>
        <w:t>A. Diagnostic assessment may be relevant, but the vignette strongly supports a family life-cycle transition that should be explored first.</w:t>
      </w:r>
    </w:p>
    <w:p>
      <w:pPr>
        <w:keepNext/>
        <w:keepLines/>
        <w:spacing w:after="40"/>
        <w:ind w:left="173"/>
      </w:pPr>
      <w:r>
        <w:rPr>
          <w:b/>
          <w:i w:val="0"/>
        </w:rPr>
        <w:t>B. Correct. This integrates developmental transition, relational pattern, loss, and expectations without assuming pathology.</w:t>
      </w:r>
    </w:p>
    <w:p>
      <w:pPr>
        <w:keepNext/>
        <w:keepLines/>
        <w:spacing w:after="40"/>
        <w:ind w:left="173"/>
      </w:pPr>
      <w:r>
        <w:rPr>
          <w:b/>
          <w:i w:val="0"/>
        </w:rPr>
        <w:t>C. Skills may help later, but using them without understanding the transition can miss the maintaining meaning and role changes.</w:t>
      </w:r>
    </w:p>
    <w:p>
      <w:pPr>
        <w:keepNext/>
        <w:keepLines/>
        <w:spacing w:after="40"/>
        <w:ind w:left="173"/>
      </w:pPr>
      <w:r>
        <w:rPr>
          <w:b/>
          <w:i w:val="0"/>
        </w:rPr>
        <w:t>D. The therapist should not attempt to reverse a normative transition or prescribe a family decision prematurely.</w:t>
      </w:r>
    </w:p>
    <w:p>
      <w:pPr>
        <w:keepLines/>
        <w:spacing w:after="120"/>
        <w:ind w:left="173"/>
      </w:pPr>
      <w:r>
        <w:rPr>
          <w:b/>
          <w:i w:val="0"/>
          <w:color w:val="1F4E78"/>
        </w:rPr>
        <w:t xml:space="preserve">Exam Strategy: </w:t>
      </w:r>
      <w:r>
        <w:rPr>
          <w:b w:val="0"/>
          <w:i/>
        </w:rPr>
        <w:t>Connect the symptom pattern to transition demands, roles, boundaries, losses, and developmental timing without reducing everything to the transition.</w:t>
      </w:r>
    </w:p>
    <w:p>
      <w:pPr>
        <w:pStyle w:val="Heading2"/>
        <w:keepNext/>
        <w:keepLines/>
        <w:spacing w:before="100" w:after="40"/>
      </w:pPr>
      <w:r>
        <w:rPr>
          <w:b/>
          <w:i w:val="0"/>
          <w:sz w:val="20"/>
        </w:rPr>
        <w:t>Question 5 (LMFT-WB10-Q005)</w:t>
      </w:r>
    </w:p>
    <w:p>
      <w:pPr>
        <w:keepNext/>
        <w:keepLines/>
      </w:pPr>
      <w:r>
        <w:rPr>
          <w:b/>
          <w:i w:val="0"/>
          <w:color w:val="0F7C82"/>
        </w:rPr>
        <w:t>Correct Answer: D</w:t>
      </w:r>
    </w:p>
    <w:p>
      <w:pPr>
        <w:keepNext/>
        <w:keepLines/>
        <w:spacing w:after="40"/>
        <w:ind w:left="173"/>
      </w:pPr>
      <w:r>
        <w:rPr>
          <w:b/>
          <w:i w:val="0"/>
        </w:rPr>
        <w:t>A. Automatically separating spirituality may invalidate an important source of meaning and support.</w:t>
      </w:r>
    </w:p>
    <w:p>
      <w:pPr>
        <w:keepNext/>
        <w:keepLines/>
        <w:spacing w:after="40"/>
        <w:ind w:left="173"/>
      </w:pPr>
      <w:r>
        <w:rPr>
          <w:b/>
          <w:i w:val="0"/>
        </w:rPr>
        <w:t>B. Recommending the therapist’s preferred practice risks imposing values and exceeding competence.</w:t>
      </w:r>
    </w:p>
    <w:p>
      <w:pPr>
        <w:keepNext/>
        <w:keepLines/>
        <w:spacing w:after="40"/>
        <w:ind w:left="173"/>
      </w:pPr>
      <w:r>
        <w:rPr>
          <w:b/>
          <w:i w:val="0"/>
        </w:rPr>
        <w:t>C. Clergy collaboration or referral may be useful if desired, but immediate transfer is not supported.</w:t>
      </w:r>
    </w:p>
    <w:p>
      <w:pPr>
        <w:keepNext/>
        <w:keepLines/>
        <w:spacing w:after="40"/>
        <w:ind w:left="173"/>
      </w:pPr>
      <w:r>
        <w:rPr>
          <w:b/>
          <w:i w:val="0"/>
        </w:rPr>
        <w:t>D. Correct. The therapist follows the client’s meaning, assesses clinical relevance, and remains within competence.</w:t>
      </w:r>
    </w:p>
    <w:p>
      <w:pPr>
        <w:keepLines/>
        <w:spacing w:after="120"/>
        <w:ind w:left="173"/>
      </w:pPr>
      <w:r>
        <w:rPr>
          <w:b/>
          <w:i w:val="0"/>
          <w:color w:val="1F4E78"/>
        </w:rPr>
        <w:t xml:space="preserve">Exam Strategy: </w:t>
      </w:r>
      <w:r>
        <w:rPr>
          <w:b w:val="0"/>
          <w:i/>
        </w:rPr>
        <w:t>Follow the client’s meaning and preferences; integrate spiritual resources only when clinically relevant and within competence.</w:t>
      </w:r>
    </w:p>
    <w:p>
      <w:pPr>
        <w:pStyle w:val="Heading2"/>
        <w:keepNext/>
        <w:keepLines/>
        <w:spacing w:before="100" w:after="40"/>
      </w:pPr>
      <w:r>
        <w:rPr>
          <w:b/>
          <w:i w:val="0"/>
          <w:sz w:val="20"/>
        </w:rPr>
        <w:t>Question 6 (LMFT-WB10-Q006)</w:t>
      </w:r>
    </w:p>
    <w:p>
      <w:pPr>
        <w:keepNext/>
        <w:keepLines/>
      </w:pPr>
      <w:r>
        <w:rPr>
          <w:b/>
          <w:i w:val="0"/>
          <w:color w:val="0F7C82"/>
        </w:rPr>
        <w:t>Correct Answer: C</w:t>
      </w:r>
    </w:p>
    <w:p>
      <w:pPr>
        <w:keepNext/>
        <w:keepLines/>
        <w:spacing w:after="40"/>
        <w:ind w:left="173"/>
      </w:pPr>
      <w:r>
        <w:rPr>
          <w:b/>
          <w:i w:val="0"/>
        </w:rPr>
        <w:t>A. Ignoring urgent contextual needs creates an incomplete formulation and may make communication work ineffective.</w:t>
      </w:r>
    </w:p>
    <w:p>
      <w:pPr>
        <w:keepNext/>
        <w:keepLines/>
        <w:spacing w:after="40"/>
        <w:ind w:left="173"/>
      </w:pPr>
      <w:r>
        <w:rPr>
          <w:b/>
          <w:i w:val="0"/>
        </w:rPr>
        <w:t>B. Diagnosis should not replace assessment of a clear environmental stressor and its impact.</w:t>
      </w:r>
    </w:p>
    <w:p>
      <w:pPr>
        <w:keepNext/>
        <w:keepLines/>
        <w:spacing w:after="40"/>
        <w:ind w:left="173"/>
      </w:pPr>
      <w:r>
        <w:rPr>
          <w:b/>
          <w:i w:val="0"/>
        </w:rPr>
        <w:t>C. Correct. The therapist integrates concrete stress, access to resources, and the relational consequences of the stressor.</w:t>
      </w:r>
    </w:p>
    <w:p>
      <w:pPr>
        <w:keepNext/>
        <w:keepLines/>
        <w:spacing w:after="40"/>
        <w:ind w:left="173"/>
      </w:pPr>
      <w:r>
        <w:rPr>
          <w:b/>
          <w:i w:val="0"/>
        </w:rPr>
        <w:t>D. Avoidance may increase secrecy and conflict; the family may need safer, structured communication and practical support.</w:t>
      </w:r>
    </w:p>
    <w:p>
      <w:pPr>
        <w:keepLines/>
        <w:spacing w:after="120"/>
        <w:ind w:left="173"/>
      </w:pPr>
      <w:r>
        <w:rPr>
          <w:b/>
          <w:i w:val="0"/>
          <w:color w:val="1F4E78"/>
        </w:rPr>
        <w:t xml:space="preserve">Exam Strategy: </w:t>
      </w:r>
      <w:r>
        <w:rPr>
          <w:b w:val="0"/>
          <w:i/>
        </w:rPr>
        <w:t>Address concrete barriers and relational effects together rather than treating structural strain as an individual coping failure.</w:t>
      </w:r>
    </w:p>
    <w:p>
      <w:pPr>
        <w:pStyle w:val="Heading2"/>
        <w:keepNext/>
        <w:keepLines/>
        <w:spacing w:before="100" w:after="40"/>
      </w:pPr>
      <w:r>
        <w:rPr>
          <w:b/>
          <w:i w:val="0"/>
          <w:sz w:val="20"/>
        </w:rPr>
        <w:t>Question 7 (LMFT-WB10-Q007)</w:t>
      </w:r>
    </w:p>
    <w:p>
      <w:pPr>
        <w:keepNext/>
        <w:keepLines/>
      </w:pPr>
      <w:r>
        <w:rPr>
          <w:b/>
          <w:i w:val="0"/>
          <w:color w:val="0F7C82"/>
        </w:rPr>
        <w:t>Correct Answer: A</w:t>
      </w:r>
    </w:p>
    <w:p>
      <w:pPr>
        <w:keepNext/>
        <w:keepLines/>
        <w:spacing w:after="40"/>
        <w:ind w:left="173"/>
      </w:pPr>
      <w:r>
        <w:rPr>
          <w:b/>
          <w:i w:val="0"/>
        </w:rPr>
        <w:t>A. Correct. A qualified interpreter and clear roles protect accuracy, privacy, participation, and family boundaries.</w:t>
      </w:r>
    </w:p>
    <w:p>
      <w:pPr>
        <w:keepNext/>
        <w:keepLines/>
        <w:spacing w:after="40"/>
        <w:ind w:left="173"/>
      </w:pPr>
      <w:r>
        <w:rPr>
          <w:b/>
          <w:i w:val="0"/>
        </w:rPr>
        <w:t>B. Using a child to interpret sensitive couple material creates role, accuracy, privacy, and family-boundary concerns.</w:t>
      </w:r>
    </w:p>
    <w:p>
      <w:pPr>
        <w:keepNext/>
        <w:keepLines/>
        <w:spacing w:after="40"/>
        <w:ind w:left="173"/>
      </w:pPr>
      <w:r>
        <w:rPr>
          <w:b/>
          <w:i w:val="0"/>
        </w:rPr>
        <w:t>C. Limiting the topics does not resolve the core interpretation and role problems.</w:t>
      </w:r>
    </w:p>
    <w:p>
      <w:pPr>
        <w:keepNext/>
        <w:keepLines/>
        <w:spacing w:after="40"/>
        <w:ind w:left="173"/>
      </w:pPr>
      <w:r>
        <w:rPr>
          <w:b/>
          <w:i w:val="0"/>
        </w:rPr>
        <w:t>D. Separate sessions do not eliminate the need for accurate language access and may change the treatment structure unnecessarily.</w:t>
      </w:r>
    </w:p>
    <w:p>
      <w:pPr>
        <w:keepLines/>
        <w:spacing w:after="120"/>
        <w:ind w:left="173"/>
      </w:pPr>
      <w:r>
        <w:rPr>
          <w:b/>
          <w:i w:val="0"/>
          <w:color w:val="1F4E78"/>
        </w:rPr>
        <w:t xml:space="preserve">Exam Strategy: </w:t>
      </w:r>
      <w:r>
        <w:rPr>
          <w:b w:val="0"/>
          <w:i/>
        </w:rPr>
        <w:t>Use a qualified interpreter and speak directly to the client; do not use a family member for routine interpretation of sensitive clinical material.</w:t>
      </w:r>
    </w:p>
    <w:p>
      <w:pPr>
        <w:pStyle w:val="Heading2"/>
        <w:keepNext/>
        <w:keepLines/>
        <w:spacing w:before="100" w:after="40"/>
      </w:pPr>
      <w:r>
        <w:rPr>
          <w:b/>
          <w:i w:val="0"/>
          <w:sz w:val="20"/>
        </w:rPr>
        <w:t>Question 8 (LMFT-WB10-Q008)</w:t>
      </w:r>
    </w:p>
    <w:p>
      <w:pPr>
        <w:keepNext/>
        <w:keepLines/>
      </w:pPr>
      <w:r>
        <w:rPr>
          <w:b/>
          <w:i w:val="0"/>
          <w:color w:val="0F7C82"/>
        </w:rPr>
        <w:t>Correct Answer: B</w:t>
      </w:r>
    </w:p>
    <w:p>
      <w:pPr>
        <w:keepNext/>
        <w:keepLines/>
        <w:spacing w:after="40"/>
        <w:ind w:left="173"/>
      </w:pPr>
      <w:r>
        <w:rPr>
          <w:b/>
          <w:i w:val="0"/>
        </w:rPr>
        <w:t>A. Immediate authority transfer ignores the partner’s adaptation and may intensify conflict.</w:t>
      </w:r>
    </w:p>
    <w:p>
      <w:pPr>
        <w:keepNext/>
        <w:keepLines/>
        <w:spacing w:after="40"/>
        <w:ind w:left="173"/>
      </w:pPr>
      <w:r>
        <w:rPr>
          <w:b/>
          <w:i w:val="0"/>
        </w:rPr>
        <w:t>B. Correct. This intervention respects both adaptations, clarifies the cycle, and supports gradual, collaborative reorganization.</w:t>
      </w:r>
    </w:p>
    <w:p>
      <w:pPr>
        <w:keepNext/>
        <w:keepLines/>
        <w:spacing w:after="40"/>
        <w:ind w:left="173"/>
      </w:pPr>
      <w:r>
        <w:rPr>
          <w:b/>
          <w:i w:val="0"/>
        </w:rPr>
        <w:t>C. Individual symptoms matter, but the vignette specifically describes a family reintegration pattern.</w:t>
      </w:r>
    </w:p>
    <w:p>
      <w:pPr>
        <w:keepNext/>
        <w:keepLines/>
        <w:spacing w:after="40"/>
        <w:ind w:left="173"/>
      </w:pPr>
      <w:r>
        <w:rPr>
          <w:b/>
          <w:i w:val="0"/>
        </w:rPr>
        <w:t>D. Separation is not indicated without additional safety or clinical evidence.</w:t>
      </w:r>
    </w:p>
    <w:p>
      <w:pPr>
        <w:keepLines/>
        <w:spacing w:after="120"/>
        <w:ind w:left="173"/>
      </w:pPr>
      <w:r>
        <w:rPr>
          <w:b/>
          <w:i w:val="0"/>
          <w:color w:val="1F4E78"/>
        </w:rPr>
        <w:t xml:space="preserve">Exam Strategy: </w:t>
      </w:r>
      <w:r>
        <w:rPr>
          <w:b w:val="0"/>
          <w:i/>
        </w:rPr>
        <w:t>Assess individual symptoms and the family’s reintegration cycle, expectations, roles, and communication before prescribing closeness.</w:t>
      </w:r>
    </w:p>
    <w:p>
      <w:pPr>
        <w:pStyle w:val="Heading2"/>
        <w:keepNext/>
        <w:keepLines/>
        <w:spacing w:before="100" w:after="40"/>
      </w:pPr>
      <w:r>
        <w:rPr>
          <w:b/>
          <w:i w:val="0"/>
          <w:sz w:val="20"/>
        </w:rPr>
        <w:t>Question 9 (LMFT-WB10-Q009)</w:t>
      </w:r>
    </w:p>
    <w:p>
      <w:pPr>
        <w:keepNext/>
        <w:keepLines/>
      </w:pPr>
      <w:r>
        <w:rPr>
          <w:b/>
          <w:i w:val="0"/>
          <w:color w:val="0F7C82"/>
        </w:rPr>
        <w:t>Correct Answer: C</w:t>
      </w:r>
    </w:p>
    <w:p>
      <w:pPr>
        <w:keepNext/>
        <w:keepLines/>
        <w:spacing w:after="40"/>
        <w:ind w:left="173"/>
      </w:pPr>
      <w:r>
        <w:rPr>
          <w:b/>
          <w:i w:val="0"/>
        </w:rPr>
        <w:t>A. This places the burden of adaptation on the client and minimizes the reported stressor.</w:t>
      </w:r>
    </w:p>
    <w:p>
      <w:pPr>
        <w:keepNext/>
        <w:keepLines/>
        <w:spacing w:after="40"/>
        <w:ind w:left="173"/>
      </w:pPr>
      <w:r>
        <w:rPr>
          <w:b/>
          <w:i w:val="0"/>
        </w:rPr>
        <w:t>B. Conjoint work may be useful only after assessing safety, readiness, and the client’s preferences; immediate confrontation may increase risk.</w:t>
      </w:r>
    </w:p>
    <w:p>
      <w:pPr>
        <w:keepNext/>
        <w:keepLines/>
        <w:spacing w:after="40"/>
        <w:ind w:left="173"/>
      </w:pPr>
      <w:r>
        <w:rPr>
          <w:b/>
          <w:i w:val="0"/>
        </w:rPr>
        <w:t>C. Correct. The therapist preserves the client’s dignity and safety, clarifies the treatment frame, and avoids colluding with a harmful agenda.</w:t>
      </w:r>
    </w:p>
    <w:p>
      <w:pPr>
        <w:keepNext/>
        <w:keepLines/>
        <w:spacing w:after="40"/>
        <w:ind w:left="173"/>
      </w:pPr>
      <w:r>
        <w:rPr>
          <w:b/>
          <w:i w:val="0"/>
        </w:rPr>
        <w:t>D. Family involvement should be based on safety, consent, goals, and clinical fit rather than an automatic exclusion.</w:t>
      </w:r>
    </w:p>
    <w:p>
      <w:pPr>
        <w:keepLines/>
        <w:spacing w:after="120"/>
        <w:ind w:left="173"/>
      </w:pPr>
      <w:r>
        <w:rPr>
          <w:b/>
          <w:i w:val="0"/>
          <w:color w:val="1F4E78"/>
        </w:rPr>
        <w:t xml:space="preserve">Exam Strategy: </w:t>
      </w:r>
      <w:r>
        <w:rPr>
          <w:b w:val="0"/>
          <w:i/>
        </w:rPr>
        <w:t>Affirm identity, assess minority stress and safety, and avoid making family acceptance a prerequisite for the client’s care.</w:t>
      </w:r>
    </w:p>
    <w:p>
      <w:pPr>
        <w:pStyle w:val="Heading2"/>
        <w:keepNext/>
        <w:keepLines/>
        <w:spacing w:before="100" w:after="40"/>
      </w:pPr>
      <w:r>
        <w:rPr>
          <w:b/>
          <w:i w:val="0"/>
          <w:sz w:val="20"/>
        </w:rPr>
        <w:t>Question 10 (LMFT-WB10-Q010)</w:t>
      </w:r>
    </w:p>
    <w:p>
      <w:pPr>
        <w:keepNext/>
        <w:keepLines/>
      </w:pPr>
      <w:r>
        <w:rPr>
          <w:b/>
          <w:i w:val="0"/>
          <w:color w:val="0F7C82"/>
        </w:rPr>
        <w:t>Correct Answer: A</w:t>
      </w:r>
    </w:p>
    <w:p>
      <w:pPr>
        <w:keepNext/>
        <w:keepLines/>
        <w:spacing w:after="40"/>
        <w:ind w:left="173"/>
      </w:pPr>
      <w:r>
        <w:rPr>
          <w:b/>
          <w:i w:val="0"/>
        </w:rPr>
        <w:t>A. Correct. This plan integrates aging, caregiving, health, access, family roles, technology barriers, client values, and outcome monitoring.</w:t>
      </w:r>
    </w:p>
    <w:p>
      <w:pPr>
        <w:keepNext/>
        <w:keepLines/>
        <w:spacing w:after="40"/>
        <w:ind w:left="173"/>
      </w:pPr>
      <w:r>
        <w:rPr>
          <w:b/>
          <w:i w:val="0"/>
        </w:rPr>
        <w:t>B. Cognitive work may later help, but it is insufficient before urgent burden, health, and access needs are assessed.</w:t>
      </w:r>
    </w:p>
    <w:p>
      <w:pPr>
        <w:keepNext/>
        <w:keepLines/>
        <w:spacing w:after="40"/>
        <w:ind w:left="173"/>
      </w:pPr>
      <w:r>
        <w:rPr>
          <w:b/>
          <w:i w:val="0"/>
        </w:rPr>
        <w:t>C. Required video family therapy ignores the client’s technology difficulty, consent, and the need to determine the most feasible treatment unit.</w:t>
      </w:r>
    </w:p>
    <w:p>
      <w:pPr>
        <w:keepNext/>
        <w:keepLines/>
        <w:spacing w:after="40"/>
        <w:ind w:left="173"/>
      </w:pPr>
      <w:r>
        <w:rPr>
          <w:b/>
          <w:i w:val="0"/>
        </w:rPr>
        <w:t>D. Placement is a major decision outside the available data and should not be prescribed before collaborative assessment and support planning.</w:t>
      </w:r>
    </w:p>
    <w:p>
      <w:pPr>
        <w:keepLines/>
        <w:spacing w:after="120"/>
        <w:ind w:left="173"/>
      </w:pPr>
      <w:r>
        <w:rPr>
          <w:b/>
          <w:i w:val="0"/>
          <w:color w:val="1F4E78"/>
        </w:rPr>
        <w:t xml:space="preserve">Exam Strategy: </w:t>
      </w:r>
      <w:r>
        <w:rPr>
          <w:b w:val="0"/>
          <w:i/>
        </w:rPr>
        <w:t>Choose the response that combines developmental fit, cultural humility, access, systemic formulation, and measurable follow-up.</w:t>
      </w:r>
    </w:p>
    <w:p>
      <w:pPr>
        <w:pStyle w:val="Heading1"/>
      </w:pPr>
      <w:r>
        <w:t>Score and Study Plan</w:t>
      </w:r>
    </w:p>
    <w:tbl>
      <w:tblPr>
        <w:tblStyle w:val="TableGrid"/>
        <w:tblW w:type="auto" w:w="0"/>
        <w:jc w:val="center"/>
        <w:tblLayout w:type="fixed"/>
        <w:tblLook w:firstColumn="1" w:firstRow="1" w:lastColumn="0" w:lastRow="0" w:noHBand="0" w:noVBand="1" w:val="04A0"/>
      </w:tblPr>
      <w:tblGrid>
        <w:gridCol w:w="1728"/>
        <w:gridCol w:w="2880"/>
        <w:gridCol w:w="5328"/>
      </w:tblGrid>
      <w:tr>
        <w:trPr>
          <w:tblHeader w:val="true"/>
          <w:cantSplit/>
        </w:trPr>
        <w:tc>
          <w:tcPr>
            <w:tcW w:type="dxa" w:w="3360"/>
            <w:shd w:fill="17365D"/>
            <w:tcMar>
              <w:top w:w="100" w:type="dxa"/>
              <w:start w:w="120" w:type="dxa"/>
              <w:bottom w:w="100" w:type="dxa"/>
              <w:end w:w="120" w:type="dxa"/>
            </w:tcMar>
          </w:tcPr>
          <w:p>
            <w:pPr>
              <w:spacing w:after="0"/>
            </w:pPr>
            <w:r>
              <w:rPr>
                <w:b/>
                <w:color w:val="FFFFFF"/>
                <w:sz w:val="18"/>
              </w:rPr>
              <w:t>Score Range</w:t>
            </w:r>
          </w:p>
        </w:tc>
        <w:tc>
          <w:tcPr>
            <w:tcW w:type="dxa" w:w="3360"/>
            <w:shd w:fill="17365D"/>
            <w:tcMar>
              <w:top w:w="100" w:type="dxa"/>
              <w:start w:w="120" w:type="dxa"/>
              <w:bottom w:w="100" w:type="dxa"/>
              <w:end w:w="120" w:type="dxa"/>
            </w:tcMar>
          </w:tcPr>
          <w:p>
            <w:pPr>
              <w:spacing w:after="0"/>
            </w:pPr>
            <w:r>
              <w:rPr>
                <w:b/>
                <w:color w:val="FFFFFF"/>
                <w:sz w:val="18"/>
              </w:rPr>
              <w:t>Meaning</w:t>
            </w:r>
          </w:p>
        </w:tc>
        <w:tc>
          <w:tcPr>
            <w:tcW w:type="dxa" w:w="3360"/>
            <w:shd w:fill="17365D"/>
            <w:tcMar>
              <w:top w:w="100" w:type="dxa"/>
              <w:start w:w="120" w:type="dxa"/>
              <w:bottom w:w="100" w:type="dxa"/>
              <w:end w:w="120" w:type="dxa"/>
            </w:tcMar>
          </w:tcPr>
          <w:p>
            <w:pPr>
              <w:spacing w:after="0"/>
            </w:pPr>
            <w:r>
              <w:rPr>
                <w:b/>
                <w:color w:val="FFFFFF"/>
                <w:sz w:val="18"/>
              </w:rPr>
              <w:t>Recommended Next Step</w:t>
            </w:r>
          </w:p>
        </w:tc>
      </w:tr>
      <w:tr>
        <w:trPr>
          <w:cantSplit/>
        </w:trPr>
        <w:tc>
          <w:tcPr>
            <w:tcW w:type="dxa" w:w="1728"/>
            <w:tcMar>
              <w:top w:w="100" w:type="dxa"/>
              <w:start w:w="120" w:type="dxa"/>
              <w:bottom w:w="100" w:type="dxa"/>
              <w:end w:w="120" w:type="dxa"/>
            </w:tcMar>
          </w:tcPr>
          <w:p>
            <w:pPr>
              <w:spacing w:after="0"/>
            </w:pPr>
            <w:r>
              <w:rPr>
                <w:sz w:val="18"/>
              </w:rPr>
              <w:t>9-10</w:t>
            </w:r>
          </w:p>
        </w:tc>
        <w:tc>
          <w:tcPr>
            <w:tcW w:type="dxa" w:w="2880"/>
            <w:tcMar>
              <w:top w:w="100" w:type="dxa"/>
              <w:start w:w="120" w:type="dxa"/>
              <w:bottom w:w="100" w:type="dxa"/>
              <w:end w:w="120" w:type="dxa"/>
            </w:tcMar>
          </w:tcPr>
          <w:p>
            <w:pPr>
              <w:spacing w:after="0"/>
            </w:pPr>
            <w:r>
              <w:rPr>
                <w:sz w:val="18"/>
              </w:rPr>
              <w:t>Strong applied reasoning</w:t>
            </w:r>
          </w:p>
        </w:tc>
        <w:tc>
          <w:tcPr>
            <w:tcW w:type="dxa" w:w="5328"/>
            <w:tcMar>
              <w:top w:w="100" w:type="dxa"/>
              <w:start w:w="120" w:type="dxa"/>
              <w:bottom w:w="100" w:type="dxa"/>
              <w:end w:w="120" w:type="dxa"/>
            </w:tcMar>
          </w:tcPr>
          <w:p>
            <w:pPr>
              <w:spacing w:after="0"/>
            </w:pPr>
            <w:r>
              <w:rPr>
                <w:sz w:val="18"/>
              </w:rPr>
              <w:t>Review low-confidence items and complete mixed vignettes that combine context, access, participation, and evaluation.</w:t>
            </w:r>
          </w:p>
        </w:tc>
      </w:tr>
      <w:tr>
        <w:trPr>
          <w:cantSplit/>
        </w:trPr>
        <w:tc>
          <w:tcPr>
            <w:tcW w:type="dxa" w:w="1728"/>
            <w:tcMar>
              <w:top w:w="100" w:type="dxa"/>
              <w:start w:w="120" w:type="dxa"/>
              <w:bottom w:w="100" w:type="dxa"/>
              <w:end w:w="120" w:type="dxa"/>
            </w:tcMar>
            <w:shd w:fill="F7F8FA"/>
          </w:tcPr>
          <w:p>
            <w:pPr>
              <w:spacing w:after="0"/>
            </w:pPr>
            <w:r>
              <w:rPr>
                <w:sz w:val="18"/>
              </w:rPr>
              <w:t>7-8</w:t>
            </w:r>
          </w:p>
        </w:tc>
        <w:tc>
          <w:tcPr>
            <w:tcW w:type="dxa" w:w="2880"/>
            <w:tcMar>
              <w:top w:w="100" w:type="dxa"/>
              <w:start w:w="120" w:type="dxa"/>
              <w:bottom w:w="100" w:type="dxa"/>
              <w:end w:w="120" w:type="dxa"/>
            </w:tcMar>
            <w:shd w:fill="F7F8FA"/>
          </w:tcPr>
          <w:p>
            <w:pPr>
              <w:spacing w:after="0"/>
            </w:pPr>
            <w:r>
              <w:rPr>
                <w:sz w:val="18"/>
              </w:rPr>
              <w:t>Developing consistency</w:t>
            </w:r>
          </w:p>
        </w:tc>
        <w:tc>
          <w:tcPr>
            <w:tcW w:type="dxa" w:w="5328"/>
            <w:tcMar>
              <w:top w:w="100" w:type="dxa"/>
              <w:start w:w="120" w:type="dxa"/>
              <w:bottom w:w="100" w:type="dxa"/>
              <w:end w:w="120" w:type="dxa"/>
            </w:tcMar>
            <w:shd w:fill="F7F8FA"/>
          </w:tcPr>
          <w:p>
            <w:pPr>
              <w:spacing w:after="0"/>
            </w:pPr>
            <w:r>
              <w:rPr>
                <w:sz w:val="18"/>
              </w:rPr>
              <w:t>Revisit the decision sequence and practice explaining why the best response fits the client system and setting.</w:t>
            </w:r>
          </w:p>
        </w:tc>
      </w:tr>
      <w:tr>
        <w:trPr>
          <w:cantSplit/>
        </w:trPr>
        <w:tc>
          <w:tcPr>
            <w:tcW w:type="dxa" w:w="1728"/>
            <w:tcMar>
              <w:top w:w="100" w:type="dxa"/>
              <w:start w:w="120" w:type="dxa"/>
              <w:bottom w:w="100" w:type="dxa"/>
              <w:end w:w="120" w:type="dxa"/>
            </w:tcMar>
          </w:tcPr>
          <w:p>
            <w:pPr>
              <w:spacing w:after="0"/>
            </w:pPr>
            <w:r>
              <w:rPr>
                <w:sz w:val="18"/>
              </w:rPr>
              <w:t>5-6</w:t>
            </w:r>
          </w:p>
        </w:tc>
        <w:tc>
          <w:tcPr>
            <w:tcW w:type="dxa" w:w="2880"/>
            <w:tcMar>
              <w:top w:w="100" w:type="dxa"/>
              <w:start w:w="120" w:type="dxa"/>
              <w:bottom w:w="100" w:type="dxa"/>
              <w:end w:w="120" w:type="dxa"/>
            </w:tcMar>
          </w:tcPr>
          <w:p>
            <w:pPr>
              <w:spacing w:after="0"/>
            </w:pPr>
            <w:r>
              <w:rPr>
                <w:sz w:val="18"/>
              </w:rPr>
              <w:t>Important reasoning gaps</w:t>
            </w:r>
          </w:p>
        </w:tc>
        <w:tc>
          <w:tcPr>
            <w:tcW w:type="dxa" w:w="5328"/>
            <w:tcMar>
              <w:top w:w="100" w:type="dxa"/>
              <w:start w:w="120" w:type="dxa"/>
              <w:bottom w:w="100" w:type="dxa"/>
              <w:end w:w="120" w:type="dxa"/>
            </w:tcMar>
          </w:tcPr>
          <w:p>
            <w:pPr>
              <w:spacing w:after="0"/>
            </w:pPr>
            <w:r>
              <w:rPr>
                <w:sz w:val="18"/>
              </w:rPr>
              <w:t>Practice separating the presenting problem from the contextual factors that change intervention fit.</w:t>
            </w:r>
          </w:p>
        </w:tc>
      </w:tr>
      <w:tr>
        <w:trPr>
          <w:cantSplit/>
        </w:trPr>
        <w:tc>
          <w:tcPr>
            <w:tcW w:type="dxa" w:w="1728"/>
            <w:tcMar>
              <w:top w:w="100" w:type="dxa"/>
              <w:start w:w="120" w:type="dxa"/>
              <w:bottom w:w="100" w:type="dxa"/>
              <w:end w:w="120" w:type="dxa"/>
            </w:tcMar>
            <w:shd w:fill="F7F8FA"/>
          </w:tcPr>
          <w:p>
            <w:pPr>
              <w:spacing w:after="0"/>
            </w:pPr>
            <w:r>
              <w:rPr>
                <w:sz w:val="18"/>
              </w:rPr>
              <w:t>0-4</w:t>
            </w:r>
          </w:p>
        </w:tc>
        <w:tc>
          <w:tcPr>
            <w:tcW w:type="dxa" w:w="2880"/>
            <w:tcMar>
              <w:top w:w="100" w:type="dxa"/>
              <w:start w:w="120" w:type="dxa"/>
              <w:bottom w:w="100" w:type="dxa"/>
              <w:end w:w="120" w:type="dxa"/>
            </w:tcMar>
            <w:shd w:fill="F7F8FA"/>
          </w:tcPr>
          <w:p>
            <w:pPr>
              <w:spacing w:after="0"/>
            </w:pPr>
            <w:r>
              <w:rPr>
                <w:sz w:val="18"/>
              </w:rPr>
              <w:t>Foundation needs reinforcement</w:t>
            </w:r>
          </w:p>
        </w:tc>
        <w:tc>
          <w:tcPr>
            <w:tcW w:type="dxa" w:w="5328"/>
            <w:tcMar>
              <w:top w:w="100" w:type="dxa"/>
              <w:start w:w="120" w:type="dxa"/>
              <w:bottom w:w="100" w:type="dxa"/>
              <w:end w:w="120" w:type="dxa"/>
            </w:tcMar>
            <w:shd w:fill="F7F8FA"/>
          </w:tcPr>
          <w:p>
            <w:pPr>
              <w:spacing w:after="0"/>
            </w:pPr>
            <w:r>
              <w:rPr>
                <w:sz w:val="18"/>
              </w:rPr>
              <w:t>Study one domain at a time, complete the worksheet, and retake the questions without the answer key.</w:t>
            </w:r>
          </w:p>
        </w:tc>
      </w:tr>
    </w:tbl>
    <w:p>
      <w:pPr>
        <w:spacing w:after="0"/>
      </w:pPr>
    </w:p>
    <w:p>
      <w:pPr>
        <w:pStyle w:val="Heading2"/>
      </w:pPr>
      <w:r>
        <w:t>My Error Patterns</w:t>
      </w:r>
    </w:p>
    <w:tbl>
      <w:tblPr>
        <w:tblStyle w:val="TableGrid"/>
        <w:tblW w:type="auto" w:w="0"/>
        <w:jc w:val="center"/>
        <w:tblLayout w:type="fixed"/>
        <w:tblLook w:firstColumn="1" w:firstRow="1" w:lastColumn="0" w:lastRow="0" w:noHBand="0" w:noVBand="1" w:val="04A0"/>
      </w:tblPr>
      <w:tblGrid>
        <w:gridCol w:w="2016"/>
        <w:gridCol w:w="3024"/>
        <w:gridCol w:w="4896"/>
      </w:tblGrid>
      <w:tr>
        <w:trPr>
          <w:tblHeader w:val="true"/>
          <w:cantSplit/>
        </w:trPr>
        <w:tc>
          <w:tcPr>
            <w:tcW w:type="dxa" w:w="3360"/>
            <w:shd w:fill="17365D"/>
            <w:tcMar>
              <w:top w:w="100" w:type="dxa"/>
              <w:start w:w="120" w:type="dxa"/>
              <w:bottom w:w="100" w:type="dxa"/>
              <w:end w:w="120" w:type="dxa"/>
            </w:tcMar>
          </w:tcPr>
          <w:p>
            <w:pPr>
              <w:spacing w:after="0"/>
            </w:pPr>
            <w:r>
              <w:rPr>
                <w:b/>
                <w:color w:val="FFFFFF"/>
                <w:sz w:val="18"/>
              </w:rPr>
              <w:t>Question(s)</w:t>
            </w:r>
          </w:p>
        </w:tc>
        <w:tc>
          <w:tcPr>
            <w:tcW w:type="dxa" w:w="3360"/>
            <w:shd w:fill="17365D"/>
            <w:tcMar>
              <w:top w:w="100" w:type="dxa"/>
              <w:start w:w="120" w:type="dxa"/>
              <w:bottom w:w="100" w:type="dxa"/>
              <w:end w:w="120" w:type="dxa"/>
            </w:tcMar>
          </w:tcPr>
          <w:p>
            <w:pPr>
              <w:spacing w:after="0"/>
            </w:pPr>
            <w:r>
              <w:rPr>
                <w:b/>
                <w:color w:val="FFFFFF"/>
                <w:sz w:val="18"/>
              </w:rPr>
              <w:t>Error Type</w:t>
            </w:r>
          </w:p>
        </w:tc>
        <w:tc>
          <w:tcPr>
            <w:tcW w:type="dxa" w:w="3360"/>
            <w:shd w:fill="17365D"/>
            <w:tcMar>
              <w:top w:w="100" w:type="dxa"/>
              <w:start w:w="120" w:type="dxa"/>
              <w:bottom w:w="100" w:type="dxa"/>
              <w:end w:w="120" w:type="dxa"/>
            </w:tcMar>
          </w:tcPr>
          <w:p>
            <w:pPr>
              <w:spacing w:after="0"/>
            </w:pPr>
            <w:r>
              <w:rPr>
                <w:b/>
                <w:color w:val="FFFFFF"/>
                <w:sz w:val="18"/>
              </w:rPr>
              <w:t>Rule I Will Use Next Time</w:t>
            </w:r>
          </w:p>
        </w:tc>
      </w:tr>
      <w:tr>
        <w:trPr>
          <w:cantSplit/>
        </w:trPr>
        <w:tc>
          <w:tcPr>
            <w:tcW w:type="dxa" w:w="2016"/>
            <w:tcMar>
              <w:top w:w="100" w:type="dxa"/>
              <w:start w:w="120" w:type="dxa"/>
              <w:bottom w:w="100" w:type="dxa"/>
              <w:end w:w="120" w:type="dxa"/>
            </w:tcMar>
          </w:tcPr>
          <w:p>
            <w:pPr>
              <w:spacing w:after="0"/>
            </w:pPr>
            <w:r>
              <w:rPr>
                <w:sz w:val="18"/>
              </w:rPr>
            </w:r>
          </w:p>
        </w:tc>
        <w:tc>
          <w:tcPr>
            <w:tcW w:type="dxa" w:w="3024"/>
            <w:tcMar>
              <w:top w:w="100" w:type="dxa"/>
              <w:start w:w="120" w:type="dxa"/>
              <w:bottom w:w="100" w:type="dxa"/>
              <w:end w:w="120" w:type="dxa"/>
            </w:tcMar>
          </w:tcPr>
          <w:p>
            <w:pPr>
              <w:spacing w:after="0"/>
            </w:pPr>
            <w:r>
              <w:rPr>
                <w:sz w:val="18"/>
              </w:rPr>
            </w:r>
          </w:p>
        </w:tc>
        <w:tc>
          <w:tcPr>
            <w:tcW w:type="dxa" w:w="4896"/>
            <w:tcMar>
              <w:top w:w="100" w:type="dxa"/>
              <w:start w:w="120" w:type="dxa"/>
              <w:bottom w:w="100" w:type="dxa"/>
              <w:end w:w="120" w:type="dxa"/>
            </w:tcMar>
          </w:tcPr>
          <w:p>
            <w:pPr>
              <w:spacing w:after="0"/>
            </w:pPr>
            <w:r>
              <w:rPr>
                <w:sz w:val="18"/>
              </w:rPr>
            </w:r>
          </w:p>
        </w:tc>
      </w:tr>
      <w:tr>
        <w:trPr>
          <w:cantSplit/>
        </w:trPr>
        <w:tc>
          <w:tcPr>
            <w:tcW w:type="dxa" w:w="2016"/>
            <w:tcMar>
              <w:top w:w="100" w:type="dxa"/>
              <w:start w:w="120" w:type="dxa"/>
              <w:bottom w:w="100" w:type="dxa"/>
              <w:end w:w="120" w:type="dxa"/>
            </w:tcMar>
            <w:shd w:fill="F7F8FA"/>
          </w:tcPr>
          <w:p>
            <w:pPr>
              <w:spacing w:after="0"/>
            </w:pPr>
            <w:r>
              <w:rPr>
                <w:sz w:val="18"/>
              </w:rPr>
            </w:r>
          </w:p>
        </w:tc>
        <w:tc>
          <w:tcPr>
            <w:tcW w:type="dxa" w:w="3024"/>
            <w:tcMar>
              <w:top w:w="100" w:type="dxa"/>
              <w:start w:w="120" w:type="dxa"/>
              <w:bottom w:w="100" w:type="dxa"/>
              <w:end w:w="120" w:type="dxa"/>
            </w:tcMar>
            <w:shd w:fill="F7F8FA"/>
          </w:tcPr>
          <w:p>
            <w:pPr>
              <w:spacing w:after="0"/>
            </w:pPr>
            <w:r>
              <w:rPr>
                <w:sz w:val="18"/>
              </w:rPr>
            </w:r>
          </w:p>
        </w:tc>
        <w:tc>
          <w:tcPr>
            <w:tcW w:type="dxa" w:w="4896"/>
            <w:tcMar>
              <w:top w:w="100" w:type="dxa"/>
              <w:start w:w="120" w:type="dxa"/>
              <w:bottom w:w="100" w:type="dxa"/>
              <w:end w:w="120" w:type="dxa"/>
            </w:tcMar>
            <w:shd w:fill="F7F8FA"/>
          </w:tcPr>
          <w:p>
            <w:pPr>
              <w:spacing w:after="0"/>
            </w:pPr>
            <w:r>
              <w:rPr>
                <w:sz w:val="18"/>
              </w:rPr>
            </w:r>
          </w:p>
        </w:tc>
      </w:tr>
    </w:tbl>
    <w:p>
      <w:pPr>
        <w:spacing w:after="0"/>
      </w:pPr>
    </w:p>
    <w:p>
      <w:pPr>
        <w:pStyle w:val="Heading2"/>
      </w:pPr>
      <w:r>
        <w:t>Final Review Checklist</w:t>
      </w:r>
    </w:p>
    <w:p>
      <w:pPr>
        <w:pStyle w:val="ListBullet"/>
      </w:pPr>
      <w:r>
        <w:t>Did I match the intervention to developmental capacity and family life-cycle demands?</w:t>
      </w:r>
    </w:p>
    <w:p>
      <w:pPr>
        <w:pStyle w:val="ListBullet"/>
      </w:pPr>
      <w:r>
        <w:t>Did I ask about the client’s cultural, spiritual, and identity meanings instead of assuming them?</w:t>
      </w:r>
    </w:p>
    <w:p>
      <w:pPr>
        <w:pStyle w:val="ListBullet"/>
      </w:pPr>
      <w:r>
        <w:t>Did I assess language, disability, neurodiversity, technology, financial, and transportation access?</w:t>
      </w:r>
    </w:p>
    <w:p>
      <w:pPr>
        <w:pStyle w:val="ListBullet"/>
      </w:pPr>
      <w:r>
        <w:t>Did I connect contextual stress with relational patterns without blaming the client or family?</w:t>
      </w:r>
    </w:p>
    <w:p>
      <w:pPr>
        <w:pStyle w:val="ListBullet"/>
      </w:pPr>
      <w:r>
        <w:t>Did I preserve safety, dignity, and client choice while adapting the intervention?</w:t>
      </w:r>
    </w:p>
    <w:p>
      <w:pPr>
        <w:pStyle w:val="ListBullet"/>
      </w:pPr>
      <w:r>
        <w:t>Did I identify how I will evaluate whether the adaptation improves engagement and outcomes?</w:t>
      </w:r>
    </w:p>
    <w:p>
      <w:pPr>
        <w:pStyle w:val="Heading1"/>
      </w:pPr>
      <w:r>
        <w:t>Sources and Currency Note</w:t>
      </w:r>
    </w:p>
    <w:p>
      <w:pPr>
        <w:pStyle w:val="ListBullet"/>
      </w:pPr>
      <w:r>
        <w:t>California Board of Behavioral Sciences. Licensed Marriage and Family Therapist Written Clinical Examination Outline (current official outline accessed July 24, 2026).</w:t>
      </w:r>
    </w:p>
    <w:p>
      <w:pPr>
        <w:pStyle w:val="ListBullet"/>
      </w:pPr>
      <w:r>
        <w:t>California Board of Behavioral Sciences. LMFT Clinical Examination resources and Clinical Exam Candidate Handbook (current official resources accessed July 24, 2026).</w:t>
      </w:r>
    </w:p>
    <w:p>
      <w:pPr>
        <w:pStyle w:val="ListBullet"/>
      </w:pPr>
      <w:r>
        <w:t>Pearson VUE. California Board of Behavioral Sciences examination resources, including the LMFT Written Clinical Examination Outline (updated June 8, 2026; accessed July 24, 2026).</w:t>
      </w:r>
    </w:p>
    <w:p>
      <w:pPr>
        <w:pStyle w:val="ListBullet"/>
      </w:pPr>
      <w:r>
        <w:t>Substance Abuse and Mental Health Services Administration. Trauma-Informed Approaches and Programs and Trauma-Informed Care resources (current federal resources accessed July 24, 2026).</w:t>
      </w:r>
    </w:p>
    <w:p>
      <w:pPr>
        <w:pStyle w:val="ListBullet"/>
      </w:pPr>
      <w:r>
        <w:t>Developmental, cultural, disability, language, immigration, military, spiritual, and contextual interventions require individualized assessment, accessibility, informed participation, and competence. Laws, exam specifications, and professional guidance may change.</w:t>
      </w:r>
    </w:p>
    <w:sectPr w:rsidR="00FC693F" w:rsidRPr="0006063C" w:rsidSect="00034616">
      <w:headerReference w:type="first" r:id="rId10"/>
      <w:footerReference w:type="first" r:id="rId11"/>
      <w:headerReference w:type="default" r:id="rId12"/>
      <w:footerReference w:type="default" r:id="rId13"/>
      <w:headerReference w:type="even" r:id="rId14"/>
      <w:footerReference w:type="even" r:id="rId15"/>
      <w:pgSz w:w="12240" w:h="15840"/>
      <w:pgMar w:top="936" w:right="1080" w:bottom="936" w:left="1080"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rPr>
        <w:tblHeader w:val="true"/>
      </w:trPr>
      <w:tc>
        <w:tcPr>
          <w:tcW w:type="dxa" w:w="5040"/>
        </w:tcPr>
        <w:p>
          <w:r>
            <w:rPr>
              <w:rFonts w:ascii="Aptos" w:hAnsi="Aptos"/>
              <w:color w:val="6B7280"/>
              <w:sz w:val="16"/>
            </w:rPr>
            <w:t>Clinical Training Academy • Student Workbook</w:t>
          </w:r>
        </w:p>
      </w:tc>
      <w:tc>
        <w:tcPr>
          <w:tcW w:type="dxa" w:w="5040"/>
        </w:tcPr>
        <w:p>
          <w:pPr>
            <w:jc w:val="right"/>
          </w:pPr>
          <w:r>
            <w:t xml:space="preserve">Page </w:t>
          </w:r>
          <w:r>
            <w:fldChar w:fldCharType="begin"/>
            <w:instrText xml:space="preserve"> PAGE </w:instrText>
            <w:fldChar w:fldCharType="separate"/>
            <w:t>1</w: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667085"/>
        <w:sz w:val="18"/>
      </w:rPr>
      <w:t xml:space="preserve">   LMFT Workbook 10  |  Developmental, Cultural, and Contextual Interventions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Caps">
    <w:name w:val="CTA Small Caps"/>
    <w:pPr>
      <w:spacing w:after="40"/>
    </w:pPr>
    <w:rPr>
      <w:rFonts w:ascii="Aptos" w:hAnsi="Aptos"/>
      <w:b/>
      <w:color w:val="0E749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Workbook 10: Developmental, Cultural, and Contextual Interventions</dc:title>
  <dc:subject>LMFT Exam Preparation Program Student Workbook</dc:subject>
  <dc:creator>Clinical Training Academy</dc:creator>
  <cp:keywords>CTA, LMFT, exam preparation, Workbook 10</cp:keywords>
  <dc:description>Student-facing examination preparation workbook.</dc:description>
  <cp:lastModifiedBy>Clinical Training Academy</cp:lastModifiedBy>
  <cp:revision>1</cp:revision>
  <dcterms:created xsi:type="dcterms:W3CDTF">2013-12-23T23:15:00Z</dcterms:created>
  <dcterms:modified xsi:type="dcterms:W3CDTF">2013-12-23T23:15:00Z</dcterms:modified>
  <cp:category/>
</cp:coreProperties>
</file>