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1234440" cy="892311"/>
            <wp:docPr id="1" name="Picture 1" descr="Clinical Training Academy logo" title="Clinical Training Academy logo"/>
            <wp:cNvGraphicFramePr>
              <a:graphicFrameLocks noChangeAspect="1"/>
            </wp:cNvGraphicFramePr>
            <a:graphic>
              <a:graphicData uri="http://schemas.openxmlformats.org/drawingml/2006/picture">
                <pic:pic>
                  <pic:nvPicPr>
                    <pic:cNvPr id="0" name="image.png" descr="Clinical Training Academy logo"/>
                    <pic:cNvPicPr/>
                  </pic:nvPicPr>
                  <pic:blipFill>
                    <a:blip r:embed="rId9"/>
                    <a:stretch>
                      <a:fillRect/>
                    </a:stretch>
                  </pic:blipFill>
                  <pic:spPr>
                    <a:xfrm>
                      <a:off x="0" y="0"/>
                      <a:ext cx="1234440" cy="892311"/>
                    </a:xfrm>
                    <a:prstGeom prst="rect"/>
                  </pic:spPr>
                </pic:pic>
              </a:graphicData>
            </a:graphic>
          </wp:inline>
        </w:drawing>
      </w:r>
    </w:p>
    <w:p>
      <w:pPr>
        <w:spacing w:after="60"/>
        <w:jc w:val="center"/>
      </w:pPr>
      <w:r>
        <w:rPr>
          <w:b/>
          <w:i w:val="0"/>
          <w:color w:val="0F7C82"/>
          <w:sz w:val="23"/>
        </w:rPr>
        <w:t>LMFT EXAM PREPARATION PROGRAM</w:t>
      </w:r>
    </w:p>
    <w:p>
      <w:pPr>
        <w:spacing w:after="240"/>
        <w:jc w:val="center"/>
      </w:pPr>
      <w:r>
        <w:rPr>
          <w:b/>
          <w:i w:val="0"/>
          <w:color w:val="C17C00"/>
          <w:sz w:val="30"/>
        </w:rPr>
        <w:t>Student Workbook</w:t>
      </w:r>
    </w:p>
    <w:p>
      <w:pPr>
        <w:pStyle w:val="Title"/>
        <w:spacing w:after="160"/>
        <w:jc w:val="center"/>
      </w:pPr>
      <w:r>
        <w:t>CTA LMFT Workbook 11: Theory, Groups, Referral, and Interdisciplinary Collaboration</w:t>
      </w:r>
    </w:p>
    <w:p>
      <w:pPr>
        <w:spacing w:after="240"/>
        <w:jc w:val="center"/>
      </w:pPr>
      <w:r>
        <w:rPr>
          <w:b w:val="0"/>
          <w:i/>
          <w:color w:val="5B6573"/>
          <w:sz w:val="24"/>
        </w:rPr>
        <w:t>How to translate theory into targeted intervention, manage group fit and process, use consultation and specialty referral, and collaborate without losing clinical responsibility</w:t>
      </w:r>
    </w:p>
    <w:p>
      <w:pPr>
        <w:spacing w:after="360"/>
        <w:jc w:val="center"/>
      </w:pPr>
      <w:r>
        <w:rPr>
          <w:b w:val="0"/>
          <w:i w:val="0"/>
          <w:color w:val="667085"/>
          <w:sz w:val="21"/>
        </w:rPr>
        <w:t>Version 1.0 - July 2026</w:t>
      </w:r>
    </w:p>
    <w:p>
      <w:pPr>
        <w:spacing w:before="240"/>
        <w:jc w:val="center"/>
      </w:pPr>
      <w:r>
        <w:rPr>
          <w:b/>
          <w:i w:val="0"/>
          <w:color w:val="17365D"/>
          <w:sz w:val="22"/>
        </w:rPr>
        <w:t>Clinical Training Academy</w:t>
      </w:r>
    </w:p>
    <w:p>
      <w:r>
        <w:br w:type="page"/>
      </w:r>
    </w:p>
    <w:tbl>
      <w:tblPr>
        <w:tblW w:type="auto" w:w="0"/>
        <w:jc w:val="center"/>
        <w:tblLayout w:type="fixed"/>
        <w:tblLook w:firstColumn="1" w:firstRow="1" w:lastColumn="0" w:lastRow="0" w:noHBand="0" w:noVBand="1" w:val="04A0"/>
      </w:tblPr>
      <w:tblGrid>
        <w:gridCol w:w="8208"/>
      </w:tblGrid>
      <w:tr>
        <w:trPr>
          <w:cantSplit/>
          <w:tblHeader w:val="true"/>
        </w:trPr>
        <w:tc>
          <w:tcPr>
            <w:tcW w:type="dxa" w:w="10080"/>
            <w:shd w:fill="EEF6F8"/>
            <w:tcMar>
              <w:top w:w="120" w:type="dxa"/>
              <w:start w:w="140" w:type="dxa"/>
              <w:bottom w:w="120" w:type="dxa"/>
              <w:end w:w="140" w:type="dxa"/>
            </w:tcMar>
            <w:vAlign w:val="center"/>
          </w:tcPr>
          <w:p>
            <w:pPr>
              <w:spacing w:after="0" w:before="0" w:line="252" w:lineRule="auto"/>
              <w:jc w:val="center"/>
            </w:pPr>
            <w:r>
              <w:rPr>
                <w:b/>
              </w:rPr>
              <w:t>Educational and Non-Affiliation Notice</w:t>
            </w:r>
            <w:r>
              <w:br/>
              <w:t>This workbook is an independent educational resource developed by Clinical Training and Supervision Academy. CTA is not affiliated with, endorsed by, or sponsored by the California Board of Behavioral Sciences, Pearson VUE, the Association of Social Work Boards, or any other licensing or testing organization. Examination specifications, laws, regulations, and professional standards may change. Candidates are responsible for consulting current official sources. Completion of this program does not guarantee examination passage.</w:t>
            </w:r>
          </w:p>
        </w:tc>
      </w:tr>
    </w:tbl>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EEF6F8"/>
            <w:tcMar>
              <w:top w:w="120" w:type="dxa"/>
              <w:start w:w="140" w:type="dxa"/>
              <w:bottom w:w="120" w:type="dxa"/>
              <w:end w:w="140" w:type="dxa"/>
            </w:tcMar>
            <w:vAlign w:val="center"/>
          </w:tcPr>
          <w:p>
            <w:pPr>
              <w:spacing w:after="0" w:before="0" w:line="252" w:lineRule="auto"/>
            </w:pPr>
            <w:r>
              <w:rPr>
                <w:b/>
              </w:rPr>
              <w:t>Clinical and Legal Scope Notice</w:t>
            </w:r>
            <w:r>
              <w:br/>
              <w:t>The material is provided for examination preparation and professional education. It is not legal advice, clinical supervision, diagnosis, treatment, or a substitute for consultation with qualified legal, clinical, regulatory, or professional experts. California examination and professional-practice references were reviewed against current official sources on July 24, 2026. Candidates should verify current Board requirements and setting-specific procedures.</w:t>
            </w:r>
          </w:p>
        </w:tc>
      </w:tr>
    </w:tbl>
    <w:p>
      <w:pPr>
        <w:pStyle w:val="Heading1"/>
      </w:pPr>
      <w:r>
        <w:t>How to Use This Workbook</w:t>
      </w:r>
    </w:p>
    <w:p>
      <w:r>
        <w:rPr>
          <w:i w:val="0"/>
        </w:rPr>
        <w:t>Read the theory sections as decision tools rather than lists of definitions. For each vignette, identify the treatment target and maintaining process, select the theory that best explains the process, choose a matching intervention, and define how response will be evaluated. Then apply the GROUP and TEAM sequences to group, referral, consultation, and interdisciplinary questions. Complete the worksheet and all 10 questions before reviewing the rationales.</w:t>
      </w:r>
    </w:p>
    <w:tbl>
      <w:tblPr>
        <w:tblW w:type="auto" w:w="0"/>
        <w:jc w:val="center"/>
        <w:tblLayout w:type="fixed"/>
        <w:tblLook w:firstColumn="1" w:firstRow="1" w:lastColumn="0" w:lastRow="0" w:noHBand="0" w:noVBand="1" w:val="04A0"/>
      </w:tblPr>
      <w:tblGrid>
        <w:gridCol w:w="9936"/>
      </w:tblGrid>
      <w:tr>
        <w:trPr>
          <w:cantSplit/>
          <w:tblHeader/>
        </w:trPr>
        <w:tc>
          <w:tcPr>
            <w:tcW w:type="dxa" w:w="10080"/>
            <w:shd w:fill="E7F5F4"/>
            <w:tcMar>
              <w:top w:w="150" w:type="dxa"/>
              <w:start w:w="180" w:type="dxa"/>
              <w:bottom w:w="150" w:type="dxa"/>
              <w:end w:w="180" w:type="dxa"/>
            </w:tcMar>
          </w:tcPr>
          <w:p>
            <w:pPr>
              <w:spacing w:after="80"/>
            </w:pPr>
            <w:r>
              <w:rPr>
                <w:b/>
                <w:i w:val="0"/>
                <w:color w:val="0F7C82"/>
              </w:rPr>
              <w:t>Core Exam Principle</w:t>
            </w:r>
          </w:p>
          <w:p>
            <w:pPr>
              <w:spacing w:after="0"/>
            </w:pPr>
            <w:r>
              <w:t>Theory earns points only when it improves formulation, intervention fit, sequencing, and evaluation. A named technique without a matching clinical target is not theory-informed practice.</w:t>
            </w:r>
          </w:p>
        </w:tc>
      </w:tr>
    </w:tbl>
    <w:p>
      <w:pPr>
        <w:spacing w:after="0"/>
      </w:pPr>
    </w:p>
    <w:p>
      <w:pPr>
        <w:pStyle w:val="Heading1"/>
      </w:pPr>
      <w:r>
        <w:t>Learning Objectives</w:t>
      </w:r>
    </w:p>
    <w:p>
      <w:pPr>
        <w:pStyle w:val="ListBullet"/>
      </w:pPr>
      <w:r>
        <w:t>Use clinical theory to organize assessment findings, explain a maintaining process, select a treatment target, choose a coherent intervention, and evaluate whether the formulation is supported by response data.</w:t>
      </w:r>
    </w:p>
    <w:p>
      <w:pPr>
        <w:pStyle w:val="ListBullet"/>
      </w:pPr>
      <w:r>
        <w:t>Differentiate the exam-level focus and intervention direction of structural, strategic, Bowen, experiential, attachment-focused, psychodynamic, cognitive-behavioral, humanistic, narrative, and solution-focused approaches.</w:t>
      </w:r>
    </w:p>
    <w:p>
      <w:pPr>
        <w:pStyle w:val="ListBullet"/>
      </w:pPr>
      <w:r>
        <w:t>Assess group purpose, composition, readiness, accessibility, confidentiality limits, developmental stage, cohesion, safety, and member fit before and during group treatment.</w:t>
      </w:r>
    </w:p>
    <w:p>
      <w:pPr>
        <w:pStyle w:val="ListBullet"/>
      </w:pPr>
      <w:r>
        <w:t>Distinguish consultation, adjunctive service, specialty referral, higher level of care, transfer, and termination and protect continuity when another professional or service is needed.</w:t>
      </w:r>
    </w:p>
    <w:p>
      <w:pPr>
        <w:pStyle w:val="ListBullet"/>
      </w:pPr>
      <w:r>
        <w:t>Collaborate with medical, school, community, and mental-health professionals using informed participation, role clarity, minimum relevant information, assigned responsibility, independent judgment, and outcome review.</w:t>
      </w:r>
    </w:p>
    <w:p>
      <w:pPr>
        <w:pStyle w:val="Heading1"/>
      </w:pPr>
      <w:r>
        <w:t>Why This Topic Matters</w:t>
      </w:r>
    </w:p>
    <w:p>
      <w:r>
        <w:rPr>
          <w:i w:val="0"/>
        </w:rPr>
        <w:t>Theory questions often tempt candidates to match one vocabulary word to one theory. Strong exam reasoning goes further: it identifies what keeps the problem going, what change process the theory predicts, and what intervention would test that formulation. Group, referral, and collaboration questions add another layer because the candidate must also choose the correct treatment system and preserve safety, continuity, and professional responsibility.</w:t>
      </w:r>
    </w:p>
    <w:p>
      <w:pPr>
        <w:pStyle w:val="Heading1"/>
      </w:pPr>
      <w:r>
        <w:t>1. Theory as a Clinical Decision Map</w:t>
      </w:r>
    </w:p>
    <w:tbl>
      <w:tblPr>
        <w:tblStyle w:val="TableGrid"/>
        <w:tblW w:type="auto" w:w="0"/>
        <w:jc w:val="center"/>
        <w:tblLayout w:type="fixed"/>
        <w:tblLook w:firstColumn="1" w:firstRow="1" w:lastColumn="0" w:lastRow="0" w:noHBand="0" w:noVBand="1" w:val="04A0"/>
      </w:tblPr>
      <w:tblGrid>
        <w:gridCol w:w="2232"/>
        <w:gridCol w:w="5256"/>
        <w:gridCol w:w="2448"/>
      </w:tblGrid>
      <w:tr>
        <w:trPr>
          <w:tblHeader w:val="true"/>
          <w:cantSplit/>
        </w:trPr>
        <w:tc>
          <w:tcPr>
            <w:tcW w:type="dxa" w:w="3360"/>
            <w:shd w:fill="17365D"/>
            <w:tcMar>
              <w:top w:w="100" w:type="dxa"/>
              <w:start w:w="120" w:type="dxa"/>
              <w:bottom w:w="100" w:type="dxa"/>
              <w:end w:w="120" w:type="dxa"/>
            </w:tcMar>
          </w:tcPr>
          <w:p>
            <w:pPr>
              <w:spacing w:after="0"/>
            </w:pPr>
            <w:r>
              <w:rPr>
                <w:b/>
                <w:color w:val="FFFFFF"/>
                <w:sz w:val="16"/>
              </w:rPr>
              <w:t>Theory Task</w:t>
            </w:r>
          </w:p>
        </w:tc>
        <w:tc>
          <w:tcPr>
            <w:tcW w:type="dxa" w:w="3360"/>
            <w:shd w:fill="17365D"/>
            <w:tcMar>
              <w:top w:w="100" w:type="dxa"/>
              <w:start w:w="120" w:type="dxa"/>
              <w:bottom w:w="100" w:type="dxa"/>
              <w:end w:w="120" w:type="dxa"/>
            </w:tcMar>
          </w:tcPr>
          <w:p>
            <w:pPr>
              <w:spacing w:after="0"/>
            </w:pPr>
            <w:r>
              <w:rPr>
                <w:b/>
                <w:color w:val="FFFFFF"/>
                <w:sz w:val="16"/>
              </w:rPr>
              <w:t>Clinical Question</w:t>
            </w:r>
          </w:p>
        </w:tc>
        <w:tc>
          <w:tcPr>
            <w:tcW w:type="dxa" w:w="3360"/>
            <w:shd w:fill="17365D"/>
            <w:tcMar>
              <w:top w:w="100" w:type="dxa"/>
              <w:start w:w="120" w:type="dxa"/>
              <w:bottom w:w="100" w:type="dxa"/>
              <w:end w:w="120" w:type="dxa"/>
            </w:tcMar>
          </w:tcPr>
          <w:p>
            <w:pPr>
              <w:spacing w:after="0"/>
            </w:pPr>
            <w:r>
              <w:rPr>
                <w:b/>
                <w:color w:val="FFFFFF"/>
                <w:sz w:val="16"/>
              </w:rPr>
              <w:t>Weak Approach</w:t>
            </w:r>
          </w:p>
        </w:tc>
      </w:tr>
      <w:tr>
        <w:trPr>
          <w:cantSplit/>
        </w:trPr>
        <w:tc>
          <w:tcPr>
            <w:tcW w:type="dxa" w:w="2232"/>
            <w:tcMar>
              <w:top w:w="100" w:type="dxa"/>
              <w:start w:w="120" w:type="dxa"/>
              <w:bottom w:w="100" w:type="dxa"/>
              <w:end w:w="120" w:type="dxa"/>
            </w:tcMar>
          </w:tcPr>
          <w:p>
            <w:pPr>
              <w:spacing w:after="0"/>
            </w:pPr>
            <w:r>
              <w:rPr>
                <w:sz w:val="16"/>
              </w:rPr>
              <w:t>Organize observations</w:t>
            </w:r>
          </w:p>
        </w:tc>
        <w:tc>
          <w:tcPr>
            <w:tcW w:type="dxa" w:w="5256"/>
            <w:tcMar>
              <w:top w:w="100" w:type="dxa"/>
              <w:start w:w="120" w:type="dxa"/>
              <w:bottom w:w="100" w:type="dxa"/>
              <w:end w:w="120" w:type="dxa"/>
            </w:tcMar>
          </w:tcPr>
          <w:p>
            <w:pPr>
              <w:spacing w:after="0"/>
            </w:pPr>
            <w:r>
              <w:rPr>
                <w:sz w:val="16"/>
              </w:rPr>
              <w:t>Which facts are most relevant, and how do they connect?</w:t>
            </w:r>
          </w:p>
        </w:tc>
        <w:tc>
          <w:tcPr>
            <w:tcW w:type="dxa" w:w="2448"/>
            <w:tcMar>
              <w:top w:w="100" w:type="dxa"/>
              <w:start w:w="120" w:type="dxa"/>
              <w:bottom w:w="100" w:type="dxa"/>
              <w:end w:w="120" w:type="dxa"/>
            </w:tcMar>
          </w:tcPr>
          <w:p>
            <w:pPr>
              <w:spacing w:after="0"/>
            </w:pPr>
            <w:r>
              <w:rPr>
                <w:sz w:val="16"/>
              </w:rPr>
              <w:t>Collecting facts without a working pattern.</w:t>
            </w:r>
          </w:p>
        </w:tc>
      </w:tr>
      <w:tr>
        <w:trPr>
          <w:cantSplit/>
        </w:trPr>
        <w:tc>
          <w:tcPr>
            <w:tcW w:type="dxa" w:w="2232"/>
            <w:tcMar>
              <w:top w:w="100" w:type="dxa"/>
              <w:start w:w="120" w:type="dxa"/>
              <w:bottom w:w="100" w:type="dxa"/>
              <w:end w:w="120" w:type="dxa"/>
            </w:tcMar>
            <w:shd w:fill="F7F8FA"/>
          </w:tcPr>
          <w:p>
            <w:pPr>
              <w:spacing w:after="0"/>
            </w:pPr>
            <w:r>
              <w:rPr>
                <w:sz w:val="16"/>
              </w:rPr>
              <w:t>Explain maintenance</w:t>
            </w:r>
          </w:p>
        </w:tc>
        <w:tc>
          <w:tcPr>
            <w:tcW w:type="dxa" w:w="5256"/>
            <w:tcMar>
              <w:top w:w="100" w:type="dxa"/>
              <w:start w:w="120" w:type="dxa"/>
              <w:bottom w:w="100" w:type="dxa"/>
              <w:end w:w="120" w:type="dxa"/>
            </w:tcMar>
            <w:shd w:fill="F7F8FA"/>
          </w:tcPr>
          <w:p>
            <w:pPr>
              <w:spacing w:after="0"/>
            </w:pPr>
            <w:r>
              <w:rPr>
                <w:sz w:val="16"/>
              </w:rPr>
              <w:t>What cycle, belief, boundary, avoidance pattern, attachment response, or attempted solution keeps the problem going?</w:t>
            </w:r>
          </w:p>
        </w:tc>
        <w:tc>
          <w:tcPr>
            <w:tcW w:type="dxa" w:w="2448"/>
            <w:tcMar>
              <w:top w:w="100" w:type="dxa"/>
              <w:start w:w="120" w:type="dxa"/>
              <w:bottom w:w="100" w:type="dxa"/>
              <w:end w:w="120" w:type="dxa"/>
            </w:tcMar>
            <w:shd w:fill="F7F8FA"/>
          </w:tcPr>
          <w:p>
            <w:pPr>
              <w:spacing w:after="0"/>
            </w:pPr>
            <w:r>
              <w:rPr>
                <w:sz w:val="16"/>
              </w:rPr>
              <w:t>Naming a diagnosis as the entire explanation.</w:t>
            </w:r>
          </w:p>
        </w:tc>
      </w:tr>
      <w:tr>
        <w:trPr>
          <w:cantSplit/>
        </w:trPr>
        <w:tc>
          <w:tcPr>
            <w:tcW w:type="dxa" w:w="2232"/>
            <w:tcMar>
              <w:top w:w="100" w:type="dxa"/>
              <w:start w:w="120" w:type="dxa"/>
              <w:bottom w:w="100" w:type="dxa"/>
              <w:end w:w="120" w:type="dxa"/>
            </w:tcMar>
          </w:tcPr>
          <w:p>
            <w:pPr>
              <w:spacing w:after="0"/>
            </w:pPr>
            <w:r>
              <w:rPr>
                <w:sz w:val="16"/>
              </w:rPr>
              <w:t>Select a target</w:t>
            </w:r>
          </w:p>
        </w:tc>
        <w:tc>
          <w:tcPr>
            <w:tcW w:type="dxa" w:w="5256"/>
            <w:tcMar>
              <w:top w:w="100" w:type="dxa"/>
              <w:start w:w="120" w:type="dxa"/>
              <w:bottom w:w="100" w:type="dxa"/>
              <w:end w:w="120" w:type="dxa"/>
            </w:tcMar>
          </w:tcPr>
          <w:p>
            <w:pPr>
              <w:spacing w:after="0"/>
            </w:pPr>
            <w:r>
              <w:rPr>
                <w:sz w:val="16"/>
              </w:rPr>
              <w:t>What needs to change first for functioning or relationships to improve?</w:t>
            </w:r>
          </w:p>
        </w:tc>
        <w:tc>
          <w:tcPr>
            <w:tcW w:type="dxa" w:w="2448"/>
            <w:tcMar>
              <w:top w:w="100" w:type="dxa"/>
              <w:start w:w="120" w:type="dxa"/>
              <w:bottom w:w="100" w:type="dxa"/>
              <w:end w:w="120" w:type="dxa"/>
            </w:tcMar>
          </w:tcPr>
          <w:p>
            <w:pPr>
              <w:spacing w:after="0"/>
            </w:pPr>
            <w:r>
              <w:rPr>
                <w:sz w:val="16"/>
              </w:rPr>
              <w:t>Trying several unrelated techniques at once.</w:t>
            </w:r>
          </w:p>
        </w:tc>
      </w:tr>
      <w:tr>
        <w:trPr>
          <w:cantSplit/>
        </w:trPr>
        <w:tc>
          <w:tcPr>
            <w:tcW w:type="dxa" w:w="2232"/>
            <w:tcMar>
              <w:top w:w="100" w:type="dxa"/>
              <w:start w:w="120" w:type="dxa"/>
              <w:bottom w:w="100" w:type="dxa"/>
              <w:end w:w="120" w:type="dxa"/>
            </w:tcMar>
            <w:shd w:fill="F7F8FA"/>
          </w:tcPr>
          <w:p>
            <w:pPr>
              <w:spacing w:after="0"/>
            </w:pPr>
            <w:r>
              <w:rPr>
                <w:sz w:val="16"/>
              </w:rPr>
              <w:t>Guide intervention</w:t>
            </w:r>
          </w:p>
        </w:tc>
        <w:tc>
          <w:tcPr>
            <w:tcW w:type="dxa" w:w="5256"/>
            <w:tcMar>
              <w:top w:w="100" w:type="dxa"/>
              <w:start w:w="120" w:type="dxa"/>
              <w:bottom w:w="100" w:type="dxa"/>
              <w:end w:w="120" w:type="dxa"/>
            </w:tcMar>
            <w:shd w:fill="F7F8FA"/>
          </w:tcPr>
          <w:p>
            <w:pPr>
              <w:spacing w:after="0"/>
            </w:pPr>
            <w:r>
              <w:rPr>
                <w:sz w:val="16"/>
              </w:rPr>
              <w:t>Which action should alter the hypothesized maintaining process?</w:t>
            </w:r>
          </w:p>
        </w:tc>
        <w:tc>
          <w:tcPr>
            <w:tcW w:type="dxa" w:w="2448"/>
            <w:tcMar>
              <w:top w:w="100" w:type="dxa"/>
              <w:start w:w="120" w:type="dxa"/>
              <w:bottom w:w="100" w:type="dxa"/>
              <w:end w:w="120" w:type="dxa"/>
            </w:tcMar>
            <w:shd w:fill="F7F8FA"/>
          </w:tcPr>
          <w:p>
            <w:pPr>
              <w:spacing w:after="0"/>
            </w:pPr>
            <w:r>
              <w:rPr>
                <w:sz w:val="16"/>
              </w:rPr>
              <w:t>Using a favorite method regardless of fit.</w:t>
            </w:r>
          </w:p>
        </w:tc>
      </w:tr>
      <w:tr>
        <w:trPr>
          <w:cantSplit/>
        </w:trPr>
        <w:tc>
          <w:tcPr>
            <w:tcW w:type="dxa" w:w="2232"/>
            <w:tcMar>
              <w:top w:w="100" w:type="dxa"/>
              <w:start w:w="120" w:type="dxa"/>
              <w:bottom w:w="100" w:type="dxa"/>
              <w:end w:w="120" w:type="dxa"/>
            </w:tcMar>
          </w:tcPr>
          <w:p>
            <w:pPr>
              <w:spacing w:after="0"/>
            </w:pPr>
            <w:r>
              <w:rPr>
                <w:sz w:val="16"/>
              </w:rPr>
              <w:t>Evaluate response</w:t>
            </w:r>
          </w:p>
        </w:tc>
        <w:tc>
          <w:tcPr>
            <w:tcW w:type="dxa" w:w="5256"/>
            <w:tcMar>
              <w:top w:w="100" w:type="dxa"/>
              <w:start w:w="120" w:type="dxa"/>
              <w:bottom w:w="100" w:type="dxa"/>
              <w:end w:w="120" w:type="dxa"/>
            </w:tcMar>
          </w:tcPr>
          <w:p>
            <w:pPr>
              <w:spacing w:after="0"/>
            </w:pPr>
            <w:r>
              <w:rPr>
                <w:sz w:val="16"/>
              </w:rPr>
              <w:t>What observable change would support or challenge the formulation?</w:t>
            </w:r>
          </w:p>
        </w:tc>
        <w:tc>
          <w:tcPr>
            <w:tcW w:type="dxa" w:w="2448"/>
            <w:tcMar>
              <w:top w:w="100" w:type="dxa"/>
              <w:start w:w="120" w:type="dxa"/>
              <w:bottom w:w="100" w:type="dxa"/>
              <w:end w:w="120" w:type="dxa"/>
            </w:tcMar>
          </w:tcPr>
          <w:p>
            <w:pPr>
              <w:spacing w:after="0"/>
            </w:pPr>
            <w:r>
              <w:rPr>
                <w:sz w:val="16"/>
              </w:rPr>
              <w:t>Continuing unchanged despite nonresponse.</w:t>
            </w:r>
          </w:p>
        </w:tc>
      </w:tr>
    </w:tbl>
    <w:p>
      <w:pPr>
        <w:spacing w:after="0"/>
      </w:pPr>
    </w:p>
    <w:tbl>
      <w:tblPr>
        <w:tblW w:type="auto" w:w="0"/>
        <w:jc w:val="center"/>
        <w:tblLayout w:type="fixed"/>
        <w:tblLook w:firstColumn="1" w:firstRow="1" w:lastColumn="0" w:lastRow="0" w:noHBand="0" w:noVBand="1" w:val="04A0"/>
      </w:tblPr>
      <w:tblGrid>
        <w:gridCol w:w="9936"/>
      </w:tblGrid>
      <w:tr>
        <w:trPr>
          <w:cantSplit/>
          <w:tblHeader/>
        </w:trPr>
        <w:tc>
          <w:tcPr>
            <w:tcW w:type="dxa" w:w="10080"/>
            <w:shd w:fill="FFF4D6"/>
            <w:tcMar>
              <w:top w:w="150" w:type="dxa"/>
              <w:start w:w="180" w:type="dxa"/>
              <w:bottom w:w="150" w:type="dxa"/>
              <w:end w:w="180" w:type="dxa"/>
            </w:tcMar>
          </w:tcPr>
          <w:p>
            <w:pPr>
              <w:spacing w:after="80"/>
            </w:pPr>
            <w:r>
              <w:rPr>
                <w:b/>
                <w:i w:val="0"/>
                <w:color w:val="C17C00"/>
              </w:rPr>
              <w:t>Memory Aid</w:t>
            </w:r>
          </w:p>
          <w:p>
            <w:pPr>
              <w:spacing w:after="0"/>
            </w:pPr>
            <w:r>
              <w:t>THEORY: Target → Hypothesis → Evidence → Orientation fit → Readiness → Yield and review</w:t>
            </w:r>
          </w:p>
        </w:tc>
      </w:tr>
    </w:tbl>
    <w:p>
      <w:pPr>
        <w:spacing w:after="0"/>
      </w:pPr>
    </w:p>
    <w:p>
      <w:pPr>
        <w:pStyle w:val="Heading1"/>
      </w:pPr>
      <w:r>
        <w:t>2. Structural, Strategic, and Bowen Family Systems Approaches</w:t>
      </w:r>
    </w:p>
    <w:tbl>
      <w:tblPr>
        <w:tblStyle w:val="TableGrid"/>
        <w:tblW w:type="auto" w:w="0"/>
        <w:jc w:val="center"/>
        <w:tblLayout w:type="fixed"/>
        <w:tblLook w:firstColumn="1" w:firstRow="1" w:lastColumn="0" w:lastRow="0" w:noHBand="0" w:noVBand="1" w:val="04A0"/>
      </w:tblPr>
      <w:tblGrid>
        <w:gridCol w:w="1512"/>
        <w:gridCol w:w="2880"/>
        <w:gridCol w:w="3240"/>
        <w:gridCol w:w="2304"/>
      </w:tblGrid>
      <w:tr>
        <w:trPr>
          <w:tblHeader w:val="true"/>
          <w:cantSplit/>
        </w:trPr>
        <w:tc>
          <w:tcPr>
            <w:tcW w:type="dxa" w:w="2520"/>
            <w:shd w:fill="17365D"/>
            <w:tcMar>
              <w:top w:w="100" w:type="dxa"/>
              <w:start w:w="120" w:type="dxa"/>
              <w:bottom w:w="100" w:type="dxa"/>
              <w:end w:w="120" w:type="dxa"/>
            </w:tcMar>
          </w:tcPr>
          <w:p>
            <w:pPr>
              <w:spacing w:after="0"/>
            </w:pPr>
            <w:r>
              <w:rPr>
                <w:b/>
                <w:color w:val="FFFFFF"/>
                <w:sz w:val="16"/>
              </w:rPr>
              <w:t>Approach</w:t>
            </w:r>
          </w:p>
        </w:tc>
        <w:tc>
          <w:tcPr>
            <w:tcW w:type="dxa" w:w="2520"/>
            <w:shd w:fill="17365D"/>
            <w:tcMar>
              <w:top w:w="100" w:type="dxa"/>
              <w:start w:w="120" w:type="dxa"/>
              <w:bottom w:w="100" w:type="dxa"/>
              <w:end w:w="120" w:type="dxa"/>
            </w:tcMar>
          </w:tcPr>
          <w:p>
            <w:pPr>
              <w:spacing w:after="0"/>
            </w:pPr>
            <w:r>
              <w:rPr>
                <w:b/>
                <w:color w:val="FFFFFF"/>
                <w:sz w:val="16"/>
              </w:rPr>
              <w:t>Primary Lens</w:t>
            </w:r>
          </w:p>
        </w:tc>
        <w:tc>
          <w:tcPr>
            <w:tcW w:type="dxa" w:w="2520"/>
            <w:shd w:fill="17365D"/>
            <w:tcMar>
              <w:top w:w="100" w:type="dxa"/>
              <w:start w:w="120" w:type="dxa"/>
              <w:bottom w:w="100" w:type="dxa"/>
              <w:end w:w="120" w:type="dxa"/>
            </w:tcMar>
          </w:tcPr>
          <w:p>
            <w:pPr>
              <w:spacing w:after="0"/>
            </w:pPr>
            <w:r>
              <w:rPr>
                <w:b/>
                <w:color w:val="FFFFFF"/>
                <w:sz w:val="16"/>
              </w:rPr>
              <w:t>Typical Interventions</w:t>
            </w:r>
          </w:p>
        </w:tc>
        <w:tc>
          <w:tcPr>
            <w:tcW w:type="dxa" w:w="2520"/>
            <w:shd w:fill="17365D"/>
            <w:tcMar>
              <w:top w:w="100" w:type="dxa"/>
              <w:start w:w="120" w:type="dxa"/>
              <w:bottom w:w="100" w:type="dxa"/>
              <w:end w:w="120" w:type="dxa"/>
            </w:tcMar>
          </w:tcPr>
          <w:p>
            <w:pPr>
              <w:spacing w:after="0"/>
            </w:pPr>
            <w:r>
              <w:rPr>
                <w:b/>
                <w:color w:val="FFFFFF"/>
                <w:sz w:val="16"/>
              </w:rPr>
              <w:t>Exam Clue</w:t>
            </w:r>
          </w:p>
        </w:tc>
      </w:tr>
      <w:tr>
        <w:trPr>
          <w:cantSplit/>
        </w:trPr>
        <w:tc>
          <w:tcPr>
            <w:tcW w:type="dxa" w:w="1512"/>
            <w:tcMar>
              <w:top w:w="100" w:type="dxa"/>
              <w:start w:w="120" w:type="dxa"/>
              <w:bottom w:w="100" w:type="dxa"/>
              <w:end w:w="120" w:type="dxa"/>
            </w:tcMar>
          </w:tcPr>
          <w:p>
            <w:pPr>
              <w:spacing w:after="0"/>
            </w:pPr>
            <w:r>
              <w:rPr>
                <w:sz w:val="16"/>
              </w:rPr>
              <w:t>Structural</w:t>
            </w:r>
          </w:p>
        </w:tc>
        <w:tc>
          <w:tcPr>
            <w:tcW w:type="dxa" w:w="2880"/>
            <w:tcMar>
              <w:top w:w="100" w:type="dxa"/>
              <w:start w:w="120" w:type="dxa"/>
              <w:bottom w:w="100" w:type="dxa"/>
              <w:end w:w="120" w:type="dxa"/>
            </w:tcMar>
          </w:tcPr>
          <w:p>
            <w:pPr>
              <w:spacing w:after="0"/>
            </w:pPr>
            <w:r>
              <w:rPr>
                <w:sz w:val="16"/>
              </w:rPr>
              <w:t>Hierarchy, boundaries, subsystems, coalitions, organization.</w:t>
            </w:r>
          </w:p>
        </w:tc>
        <w:tc>
          <w:tcPr>
            <w:tcW w:type="dxa" w:w="3240"/>
            <w:tcMar>
              <w:top w:w="100" w:type="dxa"/>
              <w:start w:w="120" w:type="dxa"/>
              <w:bottom w:w="100" w:type="dxa"/>
              <w:end w:w="120" w:type="dxa"/>
            </w:tcMar>
          </w:tcPr>
          <w:p>
            <w:pPr>
              <w:spacing w:after="0"/>
            </w:pPr>
            <w:r>
              <w:rPr>
                <w:sz w:val="16"/>
              </w:rPr>
              <w:t>Enactment, boundary making, strengthening subsystems, unbalancing, reframing.</w:t>
            </w:r>
          </w:p>
        </w:tc>
        <w:tc>
          <w:tcPr>
            <w:tcW w:type="dxa" w:w="2304"/>
            <w:tcMar>
              <w:top w:w="100" w:type="dxa"/>
              <w:start w:w="120" w:type="dxa"/>
              <w:bottom w:w="100" w:type="dxa"/>
              <w:end w:w="120" w:type="dxa"/>
            </w:tcMar>
          </w:tcPr>
          <w:p>
            <w:pPr>
              <w:spacing w:after="0"/>
            </w:pPr>
            <w:r>
              <w:rPr>
                <w:sz w:val="16"/>
              </w:rPr>
              <w:t>Who has authority? Are boundaries diffuse or rigid? What interaction should be reorganized?</w:t>
            </w:r>
          </w:p>
        </w:tc>
      </w:tr>
      <w:tr>
        <w:trPr>
          <w:cantSplit/>
        </w:trPr>
        <w:tc>
          <w:tcPr>
            <w:tcW w:type="dxa" w:w="1512"/>
            <w:tcMar>
              <w:top w:w="100" w:type="dxa"/>
              <w:start w:w="120" w:type="dxa"/>
              <w:bottom w:w="100" w:type="dxa"/>
              <w:end w:w="120" w:type="dxa"/>
            </w:tcMar>
            <w:shd w:fill="F7F8FA"/>
          </w:tcPr>
          <w:p>
            <w:pPr>
              <w:spacing w:after="0"/>
            </w:pPr>
            <w:r>
              <w:rPr>
                <w:sz w:val="16"/>
              </w:rPr>
              <w:t>Strategic</w:t>
            </w:r>
          </w:p>
        </w:tc>
        <w:tc>
          <w:tcPr>
            <w:tcW w:type="dxa" w:w="2880"/>
            <w:tcMar>
              <w:top w:w="100" w:type="dxa"/>
              <w:start w:w="120" w:type="dxa"/>
              <w:bottom w:w="100" w:type="dxa"/>
              <w:end w:w="120" w:type="dxa"/>
            </w:tcMar>
            <w:shd w:fill="F7F8FA"/>
          </w:tcPr>
          <w:p>
            <w:pPr>
              <w:spacing w:after="0"/>
            </w:pPr>
            <w:r>
              <w:rPr>
                <w:sz w:val="16"/>
              </w:rPr>
              <w:t>Problem sequence, attempted solutions, rules, feedback loops.</w:t>
            </w:r>
          </w:p>
        </w:tc>
        <w:tc>
          <w:tcPr>
            <w:tcW w:type="dxa" w:w="3240"/>
            <w:tcMar>
              <w:top w:w="100" w:type="dxa"/>
              <w:start w:w="120" w:type="dxa"/>
              <w:bottom w:w="100" w:type="dxa"/>
              <w:end w:w="120" w:type="dxa"/>
            </w:tcMar>
            <w:shd w:fill="F7F8FA"/>
          </w:tcPr>
          <w:p>
            <w:pPr>
              <w:spacing w:after="0"/>
            </w:pPr>
            <w:r>
              <w:rPr>
                <w:sz w:val="16"/>
              </w:rPr>
              <w:t>Focused directives, reframing, interrupting sequences, tasks, sometimes paradoxical methods when appropriate.</w:t>
            </w:r>
          </w:p>
        </w:tc>
        <w:tc>
          <w:tcPr>
            <w:tcW w:type="dxa" w:w="2304"/>
            <w:tcMar>
              <w:top w:w="100" w:type="dxa"/>
              <w:start w:w="120" w:type="dxa"/>
              <w:bottom w:w="100" w:type="dxa"/>
              <w:end w:w="120" w:type="dxa"/>
            </w:tcMar>
            <w:shd w:fill="F7F8FA"/>
          </w:tcPr>
          <w:p>
            <w:pPr>
              <w:spacing w:after="0"/>
            </w:pPr>
            <w:r>
              <w:rPr>
                <w:sz w:val="16"/>
              </w:rPr>
              <w:t>What repeated response is unintentionally maintaining the problem?</w:t>
            </w:r>
          </w:p>
        </w:tc>
      </w:tr>
      <w:tr>
        <w:trPr>
          <w:cantSplit/>
        </w:trPr>
        <w:tc>
          <w:tcPr>
            <w:tcW w:type="dxa" w:w="1512"/>
            <w:tcMar>
              <w:top w:w="100" w:type="dxa"/>
              <w:start w:w="120" w:type="dxa"/>
              <w:bottom w:w="100" w:type="dxa"/>
              <w:end w:w="120" w:type="dxa"/>
            </w:tcMar>
          </w:tcPr>
          <w:p>
            <w:pPr>
              <w:spacing w:after="0"/>
            </w:pPr>
            <w:r>
              <w:rPr>
                <w:sz w:val="16"/>
              </w:rPr>
              <w:t>Bowen</w:t>
            </w:r>
          </w:p>
        </w:tc>
        <w:tc>
          <w:tcPr>
            <w:tcW w:type="dxa" w:w="2880"/>
            <w:tcMar>
              <w:top w:w="100" w:type="dxa"/>
              <w:start w:w="120" w:type="dxa"/>
              <w:bottom w:w="100" w:type="dxa"/>
              <w:end w:w="120" w:type="dxa"/>
            </w:tcMar>
          </w:tcPr>
          <w:p>
            <w:pPr>
              <w:spacing w:after="0"/>
            </w:pPr>
            <w:r>
              <w:rPr>
                <w:sz w:val="16"/>
              </w:rPr>
              <w:t>Differentiation, triangles, emotional process, multigenerational transmission.</w:t>
            </w:r>
          </w:p>
        </w:tc>
        <w:tc>
          <w:tcPr>
            <w:tcW w:type="dxa" w:w="3240"/>
            <w:tcMar>
              <w:top w:w="100" w:type="dxa"/>
              <w:start w:w="120" w:type="dxa"/>
              <w:bottom w:w="100" w:type="dxa"/>
              <w:end w:w="120" w:type="dxa"/>
            </w:tcMar>
          </w:tcPr>
          <w:p>
            <w:pPr>
              <w:spacing w:after="0"/>
            </w:pPr>
            <w:r>
              <w:rPr>
                <w:sz w:val="16"/>
              </w:rPr>
              <w:t>Process questions, genogram, coaching, de-triangling, increasing thoughtful response.</w:t>
            </w:r>
          </w:p>
        </w:tc>
        <w:tc>
          <w:tcPr>
            <w:tcW w:type="dxa" w:w="2304"/>
            <w:tcMar>
              <w:top w:w="100" w:type="dxa"/>
              <w:start w:w="120" w:type="dxa"/>
              <w:bottom w:w="100" w:type="dxa"/>
              <w:end w:w="120" w:type="dxa"/>
            </w:tcMar>
          </w:tcPr>
          <w:p>
            <w:pPr>
              <w:spacing w:after="0"/>
            </w:pPr>
            <w:r>
              <w:rPr>
                <w:sz w:val="16"/>
              </w:rPr>
              <w:t>How does reactivity move through triangles and generations?</w:t>
            </w:r>
          </w:p>
        </w:tc>
      </w:tr>
    </w:tbl>
    <w:p>
      <w:pPr>
        <w:spacing w:after="0"/>
      </w:pPr>
    </w:p>
    <w:tbl>
      <w:tblPr>
        <w:tblW w:type="auto" w:w="0"/>
        <w:jc w:val="center"/>
        <w:tblLayout w:type="fixed"/>
        <w:tblLook w:firstColumn="1" w:firstRow="1" w:lastColumn="0" w:lastRow="0" w:noHBand="0" w:noVBand="1" w:val="04A0"/>
      </w:tblPr>
      <w:tblGrid>
        <w:gridCol w:w="9936"/>
      </w:tblGrid>
      <w:tr>
        <w:trPr>
          <w:cantSplit/>
          <w:tblHeader/>
        </w:trPr>
        <w:tc>
          <w:tcPr>
            <w:tcW w:type="dxa" w:w="10080"/>
            <w:shd w:fill="EAF3F8"/>
            <w:tcMar>
              <w:top w:w="150" w:type="dxa"/>
              <w:start w:w="180" w:type="dxa"/>
              <w:bottom w:w="150" w:type="dxa"/>
              <w:end w:w="180" w:type="dxa"/>
            </w:tcMar>
          </w:tcPr>
          <w:p>
            <w:pPr>
              <w:spacing w:after="80"/>
            </w:pPr>
            <w:r>
              <w:rPr>
                <w:b/>
                <w:i w:val="0"/>
                <w:color w:val="1F4E78"/>
              </w:rPr>
              <w:t>Do Not Confuse</w:t>
            </w:r>
          </w:p>
          <w:p>
            <w:pPr>
              <w:spacing w:after="0"/>
            </w:pPr>
            <w:r>
              <w:t>Structural work often changes interaction in the room; Bowen work often slows reactivity and increases observation; strategic work focuses on changing the problem-maintaining sequence.</w:t>
            </w:r>
          </w:p>
        </w:tc>
      </w:tr>
    </w:tbl>
    <w:p>
      <w:pPr>
        <w:spacing w:after="0"/>
      </w:pPr>
    </w:p>
    <w:p>
      <w:pPr>
        <w:pStyle w:val="Heading1"/>
      </w:pPr>
      <w:r>
        <w:t>3. Experiential, Attachment, and Psychodynamic Relational Approaches</w:t>
      </w:r>
    </w:p>
    <w:tbl>
      <w:tblPr>
        <w:tblStyle w:val="TableGrid"/>
        <w:tblW w:type="auto" w:w="0"/>
        <w:jc w:val="center"/>
        <w:tblLayout w:type="fixed"/>
        <w:tblLook w:firstColumn="1" w:firstRow="1" w:lastColumn="0" w:lastRow="0" w:noHBand="0" w:noVBand="1" w:val="04A0"/>
      </w:tblPr>
      <w:tblGrid>
        <w:gridCol w:w="2520"/>
        <w:gridCol w:w="3744"/>
        <w:gridCol w:w="3672"/>
      </w:tblGrid>
      <w:tr>
        <w:trPr>
          <w:tblHeader w:val="true"/>
          <w:cantSplit/>
        </w:trPr>
        <w:tc>
          <w:tcPr>
            <w:tcW w:type="dxa" w:w="3360"/>
            <w:shd w:fill="17365D"/>
            <w:tcMar>
              <w:top w:w="100" w:type="dxa"/>
              <w:start w:w="120" w:type="dxa"/>
              <w:bottom w:w="100" w:type="dxa"/>
              <w:end w:w="120" w:type="dxa"/>
            </w:tcMar>
          </w:tcPr>
          <w:p>
            <w:pPr>
              <w:spacing w:after="0"/>
            </w:pPr>
            <w:r>
              <w:rPr>
                <w:b/>
                <w:color w:val="FFFFFF"/>
                <w:sz w:val="16"/>
              </w:rPr>
              <w:t>Approach</w:t>
            </w:r>
          </w:p>
        </w:tc>
        <w:tc>
          <w:tcPr>
            <w:tcW w:type="dxa" w:w="3360"/>
            <w:shd w:fill="17365D"/>
            <w:tcMar>
              <w:top w:w="100" w:type="dxa"/>
              <w:start w:w="120" w:type="dxa"/>
              <w:bottom w:w="100" w:type="dxa"/>
              <w:end w:w="120" w:type="dxa"/>
            </w:tcMar>
          </w:tcPr>
          <w:p>
            <w:pPr>
              <w:spacing w:after="0"/>
            </w:pPr>
            <w:r>
              <w:rPr>
                <w:b/>
                <w:color w:val="FFFFFF"/>
                <w:sz w:val="16"/>
              </w:rPr>
              <w:t>Primary Lens</w:t>
            </w:r>
          </w:p>
        </w:tc>
        <w:tc>
          <w:tcPr>
            <w:tcW w:type="dxa" w:w="3360"/>
            <w:shd w:fill="17365D"/>
            <w:tcMar>
              <w:top w:w="100" w:type="dxa"/>
              <w:start w:w="120" w:type="dxa"/>
              <w:bottom w:w="100" w:type="dxa"/>
              <w:end w:w="120" w:type="dxa"/>
            </w:tcMar>
          </w:tcPr>
          <w:p>
            <w:pPr>
              <w:spacing w:after="0"/>
            </w:pPr>
            <w:r>
              <w:rPr>
                <w:b/>
                <w:color w:val="FFFFFF"/>
                <w:sz w:val="16"/>
              </w:rPr>
              <w:t>Intervention Direction</w:t>
            </w:r>
          </w:p>
        </w:tc>
      </w:tr>
      <w:tr>
        <w:trPr>
          <w:cantSplit/>
        </w:trPr>
        <w:tc>
          <w:tcPr>
            <w:tcW w:type="dxa" w:w="2520"/>
            <w:tcMar>
              <w:top w:w="100" w:type="dxa"/>
              <w:start w:w="120" w:type="dxa"/>
              <w:bottom w:w="100" w:type="dxa"/>
              <w:end w:w="120" w:type="dxa"/>
            </w:tcMar>
          </w:tcPr>
          <w:p>
            <w:pPr>
              <w:spacing w:after="0"/>
            </w:pPr>
            <w:r>
              <w:rPr>
                <w:sz w:val="16"/>
              </w:rPr>
              <w:t>Experiential / humanistic family</w:t>
            </w:r>
          </w:p>
        </w:tc>
        <w:tc>
          <w:tcPr>
            <w:tcW w:type="dxa" w:w="3744"/>
            <w:tcMar>
              <w:top w:w="100" w:type="dxa"/>
              <w:start w:w="120" w:type="dxa"/>
              <w:bottom w:w="100" w:type="dxa"/>
              <w:end w:w="120" w:type="dxa"/>
            </w:tcMar>
          </w:tcPr>
          <w:p>
            <w:pPr>
              <w:spacing w:after="0"/>
            </w:pPr>
            <w:r>
              <w:rPr>
                <w:sz w:val="16"/>
              </w:rPr>
              <w:t>Emotional congruence, authenticity, blocked experience, family communication.</w:t>
            </w:r>
          </w:p>
        </w:tc>
        <w:tc>
          <w:tcPr>
            <w:tcW w:type="dxa" w:w="3672"/>
            <w:tcMar>
              <w:top w:w="100" w:type="dxa"/>
              <w:start w:w="120" w:type="dxa"/>
              <w:bottom w:w="100" w:type="dxa"/>
              <w:end w:w="120" w:type="dxa"/>
            </w:tcMar>
          </w:tcPr>
          <w:p>
            <w:pPr>
              <w:spacing w:after="0"/>
            </w:pPr>
            <w:r>
              <w:rPr>
                <w:sz w:val="16"/>
              </w:rPr>
              <w:t>Increase present-moment emotional awareness, direct expression, validation, and new interaction.</w:t>
            </w:r>
          </w:p>
        </w:tc>
      </w:tr>
      <w:tr>
        <w:trPr>
          <w:cantSplit/>
        </w:trPr>
        <w:tc>
          <w:tcPr>
            <w:tcW w:type="dxa" w:w="2520"/>
            <w:tcMar>
              <w:top w:w="100" w:type="dxa"/>
              <w:start w:w="120" w:type="dxa"/>
              <w:bottom w:w="100" w:type="dxa"/>
              <w:end w:w="120" w:type="dxa"/>
            </w:tcMar>
            <w:shd w:fill="F7F8FA"/>
          </w:tcPr>
          <w:p>
            <w:pPr>
              <w:spacing w:after="0"/>
            </w:pPr>
            <w:r>
              <w:rPr>
                <w:sz w:val="16"/>
              </w:rPr>
              <w:t>Attachment / emotionally focused</w:t>
            </w:r>
          </w:p>
        </w:tc>
        <w:tc>
          <w:tcPr>
            <w:tcW w:type="dxa" w:w="3744"/>
            <w:tcMar>
              <w:top w:w="100" w:type="dxa"/>
              <w:start w:w="120" w:type="dxa"/>
              <w:bottom w:w="100" w:type="dxa"/>
              <w:end w:w="120" w:type="dxa"/>
            </w:tcMar>
            <w:shd w:fill="F7F8FA"/>
          </w:tcPr>
          <w:p>
            <w:pPr>
              <w:spacing w:after="0"/>
            </w:pPr>
            <w:r>
              <w:rPr>
                <w:sz w:val="16"/>
              </w:rPr>
              <w:t>Threat to connection, protest-withdraw cycles, accessibility and responsiveness.</w:t>
            </w:r>
          </w:p>
        </w:tc>
        <w:tc>
          <w:tcPr>
            <w:tcW w:type="dxa" w:w="3672"/>
            <w:tcMar>
              <w:top w:w="100" w:type="dxa"/>
              <w:start w:w="120" w:type="dxa"/>
              <w:bottom w:w="100" w:type="dxa"/>
              <w:end w:w="120" w:type="dxa"/>
            </w:tcMar>
            <w:shd w:fill="F7F8FA"/>
          </w:tcPr>
          <w:p>
            <w:pPr>
              <w:spacing w:after="0"/>
            </w:pPr>
            <w:r>
              <w:rPr>
                <w:sz w:val="16"/>
              </w:rPr>
              <w:t>Track the cycle, access primary emotion and attachment needs, create safer responsive interaction.</w:t>
            </w:r>
          </w:p>
        </w:tc>
      </w:tr>
      <w:tr>
        <w:trPr>
          <w:cantSplit/>
        </w:trPr>
        <w:tc>
          <w:tcPr>
            <w:tcW w:type="dxa" w:w="2520"/>
            <w:tcMar>
              <w:top w:w="100" w:type="dxa"/>
              <w:start w:w="120" w:type="dxa"/>
              <w:bottom w:w="100" w:type="dxa"/>
              <w:end w:w="120" w:type="dxa"/>
            </w:tcMar>
          </w:tcPr>
          <w:p>
            <w:pPr>
              <w:spacing w:after="0"/>
            </w:pPr>
            <w:r>
              <w:rPr>
                <w:sz w:val="16"/>
              </w:rPr>
              <w:t>Psychodynamic / object relations / self psychology</w:t>
            </w:r>
          </w:p>
        </w:tc>
        <w:tc>
          <w:tcPr>
            <w:tcW w:type="dxa" w:w="3744"/>
            <w:tcMar>
              <w:top w:w="100" w:type="dxa"/>
              <w:start w:w="120" w:type="dxa"/>
              <w:bottom w:w="100" w:type="dxa"/>
              <w:end w:w="120" w:type="dxa"/>
            </w:tcMar>
          </w:tcPr>
          <w:p>
            <w:pPr>
              <w:spacing w:after="0"/>
            </w:pPr>
            <w:r>
              <w:rPr>
                <w:sz w:val="16"/>
              </w:rPr>
              <w:t>Internalized relationships, defenses, repetition, affect, transference, self-cohesion.</w:t>
            </w:r>
          </w:p>
        </w:tc>
        <w:tc>
          <w:tcPr>
            <w:tcW w:type="dxa" w:w="3672"/>
            <w:tcMar>
              <w:top w:w="100" w:type="dxa"/>
              <w:start w:w="120" w:type="dxa"/>
              <w:bottom w:w="100" w:type="dxa"/>
              <w:end w:w="120" w:type="dxa"/>
            </w:tcMar>
          </w:tcPr>
          <w:p>
            <w:pPr>
              <w:spacing w:after="0"/>
            </w:pPr>
            <w:r>
              <w:rPr>
                <w:sz w:val="16"/>
              </w:rPr>
              <w:t>Interpret patterns carefully, increase insight and affect tolerance, and use the therapeutic relationship as data.</w:t>
            </w:r>
          </w:p>
        </w:tc>
      </w:tr>
    </w:tbl>
    <w:p>
      <w:pPr>
        <w:spacing w:after="0"/>
      </w:pPr>
    </w:p>
    <w:p>
      <w:pPr>
        <w:pStyle w:val="Heading1"/>
      </w:pPr>
      <w:r>
        <w:t>4. Cognitive-Behavioral, Humanistic, Narrative, and Solution-Focused Approaches</w:t>
      </w:r>
    </w:p>
    <w:tbl>
      <w:tblPr>
        <w:tblStyle w:val="TableGrid"/>
        <w:tblW w:type="auto" w:w="0"/>
        <w:jc w:val="center"/>
        <w:tblLayout w:type="fixed"/>
        <w:tblLook w:firstColumn="1" w:firstRow="1" w:lastColumn="0" w:lastRow="0" w:noHBand="0" w:noVBand="1" w:val="04A0"/>
      </w:tblPr>
      <w:tblGrid>
        <w:gridCol w:w="2232"/>
        <w:gridCol w:w="3528"/>
        <w:gridCol w:w="4176"/>
      </w:tblGrid>
      <w:tr>
        <w:trPr>
          <w:tblHeader w:val="true"/>
          <w:cantSplit/>
        </w:trPr>
        <w:tc>
          <w:tcPr>
            <w:tcW w:type="dxa" w:w="3360"/>
            <w:shd w:fill="17365D"/>
            <w:tcMar>
              <w:top w:w="100" w:type="dxa"/>
              <w:start w:w="120" w:type="dxa"/>
              <w:bottom w:w="100" w:type="dxa"/>
              <w:end w:w="120" w:type="dxa"/>
            </w:tcMar>
          </w:tcPr>
          <w:p>
            <w:pPr>
              <w:spacing w:after="0"/>
            </w:pPr>
            <w:r>
              <w:rPr>
                <w:b/>
                <w:color w:val="FFFFFF"/>
                <w:sz w:val="16"/>
              </w:rPr>
              <w:t>Approach</w:t>
            </w:r>
          </w:p>
        </w:tc>
        <w:tc>
          <w:tcPr>
            <w:tcW w:type="dxa" w:w="3360"/>
            <w:shd w:fill="17365D"/>
            <w:tcMar>
              <w:top w:w="100" w:type="dxa"/>
              <w:start w:w="120" w:type="dxa"/>
              <w:bottom w:w="100" w:type="dxa"/>
              <w:end w:w="120" w:type="dxa"/>
            </w:tcMar>
          </w:tcPr>
          <w:p>
            <w:pPr>
              <w:spacing w:after="0"/>
            </w:pPr>
            <w:r>
              <w:rPr>
                <w:b/>
                <w:color w:val="FFFFFF"/>
                <w:sz w:val="16"/>
              </w:rPr>
              <w:t>Maintaining Focus</w:t>
            </w:r>
          </w:p>
        </w:tc>
        <w:tc>
          <w:tcPr>
            <w:tcW w:type="dxa" w:w="3360"/>
            <w:shd w:fill="17365D"/>
            <w:tcMar>
              <w:top w:w="100" w:type="dxa"/>
              <w:start w:w="120" w:type="dxa"/>
              <w:bottom w:w="100" w:type="dxa"/>
              <w:end w:w="120" w:type="dxa"/>
            </w:tcMar>
          </w:tcPr>
          <w:p>
            <w:pPr>
              <w:spacing w:after="0"/>
            </w:pPr>
            <w:r>
              <w:rPr>
                <w:b/>
                <w:color w:val="FFFFFF"/>
                <w:sz w:val="16"/>
              </w:rPr>
              <w:t>Exam-Level Methods</w:t>
            </w:r>
          </w:p>
        </w:tc>
      </w:tr>
      <w:tr>
        <w:trPr>
          <w:cantSplit/>
        </w:trPr>
        <w:tc>
          <w:tcPr>
            <w:tcW w:type="dxa" w:w="2232"/>
            <w:tcMar>
              <w:top w:w="100" w:type="dxa"/>
              <w:start w:w="120" w:type="dxa"/>
              <w:bottom w:w="100" w:type="dxa"/>
              <w:end w:w="120" w:type="dxa"/>
            </w:tcMar>
          </w:tcPr>
          <w:p>
            <w:pPr>
              <w:spacing w:after="0"/>
            </w:pPr>
            <w:r>
              <w:rPr>
                <w:sz w:val="16"/>
              </w:rPr>
              <w:t>Cognitive-behavioral</w:t>
            </w:r>
          </w:p>
        </w:tc>
        <w:tc>
          <w:tcPr>
            <w:tcW w:type="dxa" w:w="3528"/>
            <w:tcMar>
              <w:top w:w="100" w:type="dxa"/>
              <w:start w:w="120" w:type="dxa"/>
              <w:bottom w:w="100" w:type="dxa"/>
              <w:end w:w="120" w:type="dxa"/>
            </w:tcMar>
          </w:tcPr>
          <w:p>
            <w:pPr>
              <w:spacing w:after="0"/>
            </w:pPr>
            <w:r>
              <w:rPr>
                <w:sz w:val="16"/>
              </w:rPr>
              <w:t>Beliefs, appraisals, avoidance, reinforcement, skill deficits, behavior patterns.</w:t>
            </w:r>
          </w:p>
        </w:tc>
        <w:tc>
          <w:tcPr>
            <w:tcW w:type="dxa" w:w="4176"/>
            <w:tcMar>
              <w:top w:w="100" w:type="dxa"/>
              <w:start w:w="120" w:type="dxa"/>
              <w:bottom w:w="100" w:type="dxa"/>
              <w:end w:w="120" w:type="dxa"/>
            </w:tcMar>
          </w:tcPr>
          <w:p>
            <w:pPr>
              <w:spacing w:after="0"/>
            </w:pPr>
            <w:r>
              <w:rPr>
                <w:sz w:val="16"/>
              </w:rPr>
              <w:t>Monitoring, cognitive restructuring, behavioral activation, exposure when appropriate, rehearsal, reinforcement, homework.</w:t>
            </w:r>
          </w:p>
        </w:tc>
      </w:tr>
      <w:tr>
        <w:trPr>
          <w:cantSplit/>
        </w:trPr>
        <w:tc>
          <w:tcPr>
            <w:tcW w:type="dxa" w:w="2232"/>
            <w:tcMar>
              <w:top w:w="100" w:type="dxa"/>
              <w:start w:w="120" w:type="dxa"/>
              <w:bottom w:w="100" w:type="dxa"/>
              <w:end w:w="120" w:type="dxa"/>
            </w:tcMar>
            <w:shd w:fill="F7F8FA"/>
          </w:tcPr>
          <w:p>
            <w:pPr>
              <w:spacing w:after="0"/>
            </w:pPr>
            <w:r>
              <w:rPr>
                <w:sz w:val="16"/>
              </w:rPr>
              <w:t>Humanistic / client-centered</w:t>
            </w:r>
          </w:p>
        </w:tc>
        <w:tc>
          <w:tcPr>
            <w:tcW w:type="dxa" w:w="3528"/>
            <w:tcMar>
              <w:top w:w="100" w:type="dxa"/>
              <w:start w:w="120" w:type="dxa"/>
              <w:bottom w:w="100" w:type="dxa"/>
              <w:end w:w="120" w:type="dxa"/>
            </w:tcMar>
            <w:shd w:fill="F7F8FA"/>
          </w:tcPr>
          <w:p>
            <w:pPr>
              <w:spacing w:after="0"/>
            </w:pPr>
            <w:r>
              <w:rPr>
                <w:sz w:val="16"/>
              </w:rPr>
              <w:t>Conditions that restrict authentic experience, self-trust, and growth.</w:t>
            </w:r>
          </w:p>
        </w:tc>
        <w:tc>
          <w:tcPr>
            <w:tcW w:type="dxa" w:w="4176"/>
            <w:tcMar>
              <w:top w:w="100" w:type="dxa"/>
              <w:start w:w="120" w:type="dxa"/>
              <w:bottom w:w="100" w:type="dxa"/>
              <w:end w:w="120" w:type="dxa"/>
            </w:tcMar>
            <w:shd w:fill="F7F8FA"/>
          </w:tcPr>
          <w:p>
            <w:pPr>
              <w:spacing w:after="0"/>
            </w:pPr>
            <w:r>
              <w:rPr>
                <w:sz w:val="16"/>
              </w:rPr>
              <w:t>Accurate empathy, congruence, unconditional positive regard, client-led exploration.</w:t>
            </w:r>
          </w:p>
        </w:tc>
      </w:tr>
      <w:tr>
        <w:trPr>
          <w:cantSplit/>
        </w:trPr>
        <w:tc>
          <w:tcPr>
            <w:tcW w:type="dxa" w:w="2232"/>
            <w:tcMar>
              <w:top w:w="100" w:type="dxa"/>
              <w:start w:w="120" w:type="dxa"/>
              <w:bottom w:w="100" w:type="dxa"/>
              <w:end w:w="120" w:type="dxa"/>
            </w:tcMar>
          </w:tcPr>
          <w:p>
            <w:pPr>
              <w:spacing w:after="0"/>
            </w:pPr>
            <w:r>
              <w:rPr>
                <w:sz w:val="16"/>
              </w:rPr>
              <w:t>Narrative</w:t>
            </w:r>
          </w:p>
        </w:tc>
        <w:tc>
          <w:tcPr>
            <w:tcW w:type="dxa" w:w="3528"/>
            <w:tcMar>
              <w:top w:w="100" w:type="dxa"/>
              <w:start w:w="120" w:type="dxa"/>
              <w:bottom w:w="100" w:type="dxa"/>
              <w:end w:w="120" w:type="dxa"/>
            </w:tcMar>
          </w:tcPr>
          <w:p>
            <w:pPr>
              <w:spacing w:after="0"/>
            </w:pPr>
            <w:r>
              <w:rPr>
                <w:sz w:val="16"/>
              </w:rPr>
              <w:t>Problem-saturated stories and social meanings that narrow identity and options.</w:t>
            </w:r>
          </w:p>
        </w:tc>
        <w:tc>
          <w:tcPr>
            <w:tcW w:type="dxa" w:w="4176"/>
            <w:tcMar>
              <w:top w:w="100" w:type="dxa"/>
              <w:start w:w="120" w:type="dxa"/>
              <w:bottom w:w="100" w:type="dxa"/>
              <w:end w:w="120" w:type="dxa"/>
            </w:tcMar>
          </w:tcPr>
          <w:p>
            <w:pPr>
              <w:spacing w:after="0"/>
            </w:pPr>
            <w:r>
              <w:rPr>
                <w:sz w:val="16"/>
              </w:rPr>
              <w:t>Externalizing, unique outcomes, re-authoring, examining cultural discourse, documenting preferred identity.</w:t>
            </w:r>
          </w:p>
        </w:tc>
      </w:tr>
      <w:tr>
        <w:trPr>
          <w:cantSplit/>
        </w:trPr>
        <w:tc>
          <w:tcPr>
            <w:tcW w:type="dxa" w:w="2232"/>
            <w:tcMar>
              <w:top w:w="100" w:type="dxa"/>
              <w:start w:w="120" w:type="dxa"/>
              <w:bottom w:w="100" w:type="dxa"/>
              <w:end w:w="120" w:type="dxa"/>
            </w:tcMar>
            <w:shd w:fill="F7F8FA"/>
          </w:tcPr>
          <w:p>
            <w:pPr>
              <w:spacing w:after="0"/>
            </w:pPr>
            <w:r>
              <w:rPr>
                <w:sz w:val="16"/>
              </w:rPr>
              <w:t>Solution-focused</w:t>
            </w:r>
          </w:p>
        </w:tc>
        <w:tc>
          <w:tcPr>
            <w:tcW w:type="dxa" w:w="3528"/>
            <w:tcMar>
              <w:top w:w="100" w:type="dxa"/>
              <w:start w:w="120" w:type="dxa"/>
              <w:bottom w:w="100" w:type="dxa"/>
              <w:end w:w="120" w:type="dxa"/>
            </w:tcMar>
            <w:shd w:fill="F7F8FA"/>
          </w:tcPr>
          <w:p>
            <w:pPr>
              <w:spacing w:after="0"/>
            </w:pPr>
            <w:r>
              <w:rPr>
                <w:sz w:val="16"/>
              </w:rPr>
              <w:t>Underused exceptions, strengths, preferred future, and small achievable change.</w:t>
            </w:r>
          </w:p>
        </w:tc>
        <w:tc>
          <w:tcPr>
            <w:tcW w:type="dxa" w:w="4176"/>
            <w:tcMar>
              <w:top w:w="100" w:type="dxa"/>
              <w:start w:w="120" w:type="dxa"/>
              <w:bottom w:w="100" w:type="dxa"/>
              <w:end w:w="120" w:type="dxa"/>
            </w:tcMar>
            <w:shd w:fill="F7F8FA"/>
          </w:tcPr>
          <w:p>
            <w:pPr>
              <w:spacing w:after="0"/>
            </w:pPr>
            <w:r>
              <w:rPr>
                <w:sz w:val="16"/>
              </w:rPr>
              <w:t>Miracle or preferred-future questions, exceptions, scaling, coping questions, specific next steps.</w:t>
            </w:r>
          </w:p>
        </w:tc>
      </w:tr>
    </w:tbl>
    <w:p>
      <w:pPr>
        <w:spacing w:after="0"/>
      </w:pPr>
    </w:p>
    <w:p>
      <w:pPr>
        <w:pStyle w:val="Heading1"/>
      </w:pPr>
      <w:r>
        <w:t>5. Match Theory to the Maintaining Mechanism</w:t>
      </w:r>
    </w:p>
    <w:tbl>
      <w:tblPr>
        <w:tblStyle w:val="TableGrid"/>
        <w:tblW w:type="auto" w:w="0"/>
        <w:jc w:val="center"/>
        <w:tblLayout w:type="fixed"/>
        <w:tblLook w:firstColumn="1" w:firstRow="1" w:lastColumn="0" w:lastRow="0" w:noHBand="0" w:noVBand="1" w:val="04A0"/>
      </w:tblPr>
      <w:tblGrid>
        <w:gridCol w:w="4320"/>
        <w:gridCol w:w="2376"/>
        <w:gridCol w:w="3240"/>
      </w:tblGrid>
      <w:tr>
        <w:trPr>
          <w:tblHeader w:val="true"/>
          <w:cantSplit/>
        </w:trPr>
        <w:tc>
          <w:tcPr>
            <w:tcW w:type="dxa" w:w="3360"/>
            <w:shd w:fill="17365D"/>
            <w:tcMar>
              <w:top w:w="100" w:type="dxa"/>
              <w:start w:w="120" w:type="dxa"/>
              <w:bottom w:w="100" w:type="dxa"/>
              <w:end w:w="120" w:type="dxa"/>
            </w:tcMar>
          </w:tcPr>
          <w:p>
            <w:pPr>
              <w:spacing w:after="0"/>
            </w:pPr>
            <w:r>
              <w:rPr>
                <w:b/>
                <w:color w:val="FFFFFF"/>
                <w:sz w:val="16"/>
              </w:rPr>
              <w:t>Vignette Pattern</w:t>
            </w:r>
          </w:p>
        </w:tc>
        <w:tc>
          <w:tcPr>
            <w:tcW w:type="dxa" w:w="3360"/>
            <w:shd w:fill="17365D"/>
            <w:tcMar>
              <w:top w:w="100" w:type="dxa"/>
              <w:start w:w="120" w:type="dxa"/>
              <w:bottom w:w="100" w:type="dxa"/>
              <w:end w:w="120" w:type="dxa"/>
            </w:tcMar>
          </w:tcPr>
          <w:p>
            <w:pPr>
              <w:spacing w:after="0"/>
            </w:pPr>
            <w:r>
              <w:rPr>
                <w:b/>
                <w:color w:val="FFFFFF"/>
                <w:sz w:val="16"/>
              </w:rPr>
              <w:t>Likely Theory Direction</w:t>
            </w:r>
          </w:p>
        </w:tc>
        <w:tc>
          <w:tcPr>
            <w:tcW w:type="dxa" w:w="3360"/>
            <w:shd w:fill="17365D"/>
            <w:tcMar>
              <w:top w:w="100" w:type="dxa"/>
              <w:start w:w="120" w:type="dxa"/>
              <w:bottom w:w="100" w:type="dxa"/>
              <w:end w:w="120" w:type="dxa"/>
            </w:tcMar>
          </w:tcPr>
          <w:p>
            <w:pPr>
              <w:spacing w:after="0"/>
            </w:pPr>
            <w:r>
              <w:rPr>
                <w:b/>
                <w:color w:val="FFFFFF"/>
                <w:sz w:val="16"/>
              </w:rPr>
              <w:t>Why</w:t>
            </w:r>
          </w:p>
        </w:tc>
      </w:tr>
      <w:tr>
        <w:trPr>
          <w:cantSplit/>
        </w:trPr>
        <w:tc>
          <w:tcPr>
            <w:tcW w:type="dxa" w:w="4320"/>
            <w:tcMar>
              <w:top w:w="100" w:type="dxa"/>
              <w:start w:w="120" w:type="dxa"/>
              <w:bottom w:w="100" w:type="dxa"/>
              <w:end w:w="120" w:type="dxa"/>
            </w:tcMar>
          </w:tcPr>
          <w:p>
            <w:pPr>
              <w:spacing w:after="0"/>
            </w:pPr>
            <w:r>
              <w:rPr>
                <w:sz w:val="16"/>
              </w:rPr>
              <w:t>Parent coalition undermines the other parent; child becomes decision maker.</w:t>
            </w:r>
          </w:p>
        </w:tc>
        <w:tc>
          <w:tcPr>
            <w:tcW w:type="dxa" w:w="2376"/>
            <w:tcMar>
              <w:top w:w="100" w:type="dxa"/>
              <w:start w:w="120" w:type="dxa"/>
              <w:bottom w:w="100" w:type="dxa"/>
              <w:end w:w="120" w:type="dxa"/>
            </w:tcMar>
          </w:tcPr>
          <w:p>
            <w:pPr>
              <w:spacing w:after="0"/>
            </w:pPr>
            <w:r>
              <w:rPr>
                <w:sz w:val="16"/>
              </w:rPr>
              <w:t>Structural</w:t>
            </w:r>
          </w:p>
        </w:tc>
        <w:tc>
          <w:tcPr>
            <w:tcW w:type="dxa" w:w="3240"/>
            <w:tcMar>
              <w:top w:w="100" w:type="dxa"/>
              <w:start w:w="120" w:type="dxa"/>
              <w:bottom w:w="100" w:type="dxa"/>
              <w:end w:w="120" w:type="dxa"/>
            </w:tcMar>
          </w:tcPr>
          <w:p>
            <w:pPr>
              <w:spacing w:after="0"/>
            </w:pPr>
            <w:r>
              <w:rPr>
                <w:sz w:val="16"/>
              </w:rPr>
              <w:t>Hierarchy and subsystem boundaries are central.</w:t>
            </w:r>
          </w:p>
        </w:tc>
      </w:tr>
      <w:tr>
        <w:trPr>
          <w:cantSplit/>
        </w:trPr>
        <w:tc>
          <w:tcPr>
            <w:tcW w:type="dxa" w:w="4320"/>
            <w:tcMar>
              <w:top w:w="100" w:type="dxa"/>
              <w:start w:w="120" w:type="dxa"/>
              <w:bottom w:w="100" w:type="dxa"/>
              <w:end w:w="120" w:type="dxa"/>
            </w:tcMar>
            <w:shd w:fill="F7F8FA"/>
          </w:tcPr>
          <w:p>
            <w:pPr>
              <w:spacing w:after="0"/>
            </w:pPr>
            <w:r>
              <w:rPr>
                <w:sz w:val="16"/>
              </w:rPr>
              <w:t>Parents repeatedly negotiate after a child escalates; escalation reliably changes the rule.</w:t>
            </w:r>
          </w:p>
        </w:tc>
        <w:tc>
          <w:tcPr>
            <w:tcW w:type="dxa" w:w="2376"/>
            <w:tcMar>
              <w:top w:w="100" w:type="dxa"/>
              <w:start w:w="120" w:type="dxa"/>
              <w:bottom w:w="100" w:type="dxa"/>
              <w:end w:w="120" w:type="dxa"/>
            </w:tcMar>
            <w:shd w:fill="F7F8FA"/>
          </w:tcPr>
          <w:p>
            <w:pPr>
              <w:spacing w:after="0"/>
            </w:pPr>
            <w:r>
              <w:rPr>
                <w:sz w:val="16"/>
              </w:rPr>
              <w:t>Strategic or behavioral/systemic</w:t>
            </w:r>
          </w:p>
        </w:tc>
        <w:tc>
          <w:tcPr>
            <w:tcW w:type="dxa" w:w="3240"/>
            <w:tcMar>
              <w:top w:w="100" w:type="dxa"/>
              <w:start w:w="120" w:type="dxa"/>
              <w:bottom w:w="100" w:type="dxa"/>
              <w:end w:w="120" w:type="dxa"/>
            </w:tcMar>
            <w:shd w:fill="F7F8FA"/>
          </w:tcPr>
          <w:p>
            <w:pPr>
              <w:spacing w:after="0"/>
            </w:pPr>
            <w:r>
              <w:rPr>
                <w:sz w:val="16"/>
              </w:rPr>
              <w:t>The attempted solution and reinforcement sequence maintain the pattern.</w:t>
            </w:r>
          </w:p>
        </w:tc>
      </w:tr>
      <w:tr>
        <w:trPr>
          <w:cantSplit/>
        </w:trPr>
        <w:tc>
          <w:tcPr>
            <w:tcW w:type="dxa" w:w="4320"/>
            <w:tcMar>
              <w:top w:w="100" w:type="dxa"/>
              <w:start w:w="120" w:type="dxa"/>
              <w:bottom w:w="100" w:type="dxa"/>
              <w:end w:w="120" w:type="dxa"/>
            </w:tcMar>
          </w:tcPr>
          <w:p>
            <w:pPr>
              <w:spacing w:after="0"/>
            </w:pPr>
            <w:r>
              <w:rPr>
                <w:sz w:val="16"/>
              </w:rPr>
              <w:t>Partner pursuit intensifies withdrawal; both experience disconnection as threat.</w:t>
            </w:r>
          </w:p>
        </w:tc>
        <w:tc>
          <w:tcPr>
            <w:tcW w:type="dxa" w:w="2376"/>
            <w:tcMar>
              <w:top w:w="100" w:type="dxa"/>
              <w:start w:w="120" w:type="dxa"/>
              <w:bottom w:w="100" w:type="dxa"/>
              <w:end w:w="120" w:type="dxa"/>
            </w:tcMar>
          </w:tcPr>
          <w:p>
            <w:pPr>
              <w:spacing w:after="0"/>
            </w:pPr>
            <w:r>
              <w:rPr>
                <w:sz w:val="16"/>
              </w:rPr>
              <w:t>Attachment / emotionally focused</w:t>
            </w:r>
          </w:p>
        </w:tc>
        <w:tc>
          <w:tcPr>
            <w:tcW w:type="dxa" w:w="3240"/>
            <w:tcMar>
              <w:top w:w="100" w:type="dxa"/>
              <w:start w:w="120" w:type="dxa"/>
              <w:bottom w:w="100" w:type="dxa"/>
              <w:end w:w="120" w:type="dxa"/>
            </w:tcMar>
          </w:tcPr>
          <w:p>
            <w:pPr>
              <w:spacing w:after="0"/>
            </w:pPr>
            <w:r>
              <w:rPr>
                <w:sz w:val="16"/>
              </w:rPr>
              <w:t>The cycle organizes protective responses around connection.</w:t>
            </w:r>
          </w:p>
        </w:tc>
      </w:tr>
      <w:tr>
        <w:trPr>
          <w:cantSplit/>
        </w:trPr>
        <w:tc>
          <w:tcPr>
            <w:tcW w:type="dxa" w:w="4320"/>
            <w:tcMar>
              <w:top w:w="100" w:type="dxa"/>
              <w:start w:w="120" w:type="dxa"/>
              <w:bottom w:w="100" w:type="dxa"/>
              <w:end w:w="120" w:type="dxa"/>
            </w:tcMar>
            <w:shd w:fill="F7F8FA"/>
          </w:tcPr>
          <w:p>
            <w:pPr>
              <w:spacing w:after="0"/>
            </w:pPr>
            <w:r>
              <w:rPr>
                <w:sz w:val="16"/>
              </w:rPr>
              <w:t>Client describes total failure but identifies several recent exceptions.</w:t>
            </w:r>
          </w:p>
        </w:tc>
        <w:tc>
          <w:tcPr>
            <w:tcW w:type="dxa" w:w="2376"/>
            <w:tcMar>
              <w:top w:w="100" w:type="dxa"/>
              <w:start w:w="120" w:type="dxa"/>
              <w:bottom w:w="100" w:type="dxa"/>
              <w:end w:w="120" w:type="dxa"/>
            </w:tcMar>
            <w:shd w:fill="F7F8FA"/>
          </w:tcPr>
          <w:p>
            <w:pPr>
              <w:spacing w:after="0"/>
            </w:pPr>
            <w:r>
              <w:rPr>
                <w:sz w:val="16"/>
              </w:rPr>
              <w:t>Solution-focused</w:t>
            </w:r>
          </w:p>
        </w:tc>
        <w:tc>
          <w:tcPr>
            <w:tcW w:type="dxa" w:w="3240"/>
            <w:tcMar>
              <w:top w:w="100" w:type="dxa"/>
              <w:start w:w="120" w:type="dxa"/>
              <w:bottom w:w="100" w:type="dxa"/>
              <w:end w:w="120" w:type="dxa"/>
            </w:tcMar>
            <w:shd w:fill="F7F8FA"/>
          </w:tcPr>
          <w:p>
            <w:pPr>
              <w:spacing w:after="0"/>
            </w:pPr>
            <w:r>
              <w:rPr>
                <w:sz w:val="16"/>
              </w:rPr>
              <w:t>Exceptions and preferred change are available and can be amplified.</w:t>
            </w:r>
          </w:p>
        </w:tc>
      </w:tr>
      <w:tr>
        <w:trPr>
          <w:cantSplit/>
        </w:trPr>
        <w:tc>
          <w:tcPr>
            <w:tcW w:type="dxa" w:w="4320"/>
            <w:tcMar>
              <w:top w:w="100" w:type="dxa"/>
              <w:start w:w="120" w:type="dxa"/>
              <w:bottom w:w="100" w:type="dxa"/>
              <w:end w:w="120" w:type="dxa"/>
            </w:tcMar>
          </w:tcPr>
          <w:p>
            <w:pPr>
              <w:spacing w:after="0"/>
            </w:pPr>
            <w:r>
              <w:rPr>
                <w:sz w:val="16"/>
              </w:rPr>
              <w:t>Family repeats cutoff and triangulation across generations.</w:t>
            </w:r>
          </w:p>
        </w:tc>
        <w:tc>
          <w:tcPr>
            <w:tcW w:type="dxa" w:w="2376"/>
            <w:tcMar>
              <w:top w:w="100" w:type="dxa"/>
              <w:start w:w="120" w:type="dxa"/>
              <w:bottom w:w="100" w:type="dxa"/>
              <w:end w:w="120" w:type="dxa"/>
            </w:tcMar>
          </w:tcPr>
          <w:p>
            <w:pPr>
              <w:spacing w:after="0"/>
            </w:pPr>
            <w:r>
              <w:rPr>
                <w:sz w:val="16"/>
              </w:rPr>
              <w:t>Bowen</w:t>
            </w:r>
          </w:p>
        </w:tc>
        <w:tc>
          <w:tcPr>
            <w:tcW w:type="dxa" w:w="3240"/>
            <w:tcMar>
              <w:top w:w="100" w:type="dxa"/>
              <w:start w:w="120" w:type="dxa"/>
              <w:bottom w:w="100" w:type="dxa"/>
              <w:end w:w="120" w:type="dxa"/>
            </w:tcMar>
          </w:tcPr>
          <w:p>
            <w:pPr>
              <w:spacing w:after="0"/>
            </w:pPr>
            <w:r>
              <w:rPr>
                <w:sz w:val="16"/>
              </w:rPr>
              <w:t>Differentiation and multigenerational emotional process are central.</w:t>
            </w:r>
          </w:p>
        </w:tc>
      </w:tr>
      <w:tr>
        <w:trPr>
          <w:cantSplit/>
        </w:trPr>
        <w:tc>
          <w:tcPr>
            <w:tcW w:type="dxa" w:w="4320"/>
            <w:tcMar>
              <w:top w:w="100" w:type="dxa"/>
              <w:start w:w="120" w:type="dxa"/>
              <w:bottom w:w="100" w:type="dxa"/>
              <w:end w:w="120" w:type="dxa"/>
            </w:tcMar>
            <w:shd w:fill="F7F8FA"/>
          </w:tcPr>
          <w:p>
            <w:pPr>
              <w:spacing w:after="0"/>
            </w:pPr>
            <w:r>
              <w:rPr>
                <w:sz w:val="16"/>
              </w:rPr>
              <w:t>Client avoids reminders and receives immediate relief that strengthens avoidance.</w:t>
            </w:r>
          </w:p>
        </w:tc>
        <w:tc>
          <w:tcPr>
            <w:tcW w:type="dxa" w:w="2376"/>
            <w:tcMar>
              <w:top w:w="100" w:type="dxa"/>
              <w:start w:w="120" w:type="dxa"/>
              <w:bottom w:w="100" w:type="dxa"/>
              <w:end w:w="120" w:type="dxa"/>
            </w:tcMar>
            <w:shd w:fill="F7F8FA"/>
          </w:tcPr>
          <w:p>
            <w:pPr>
              <w:spacing w:after="0"/>
            </w:pPr>
            <w:r>
              <w:rPr>
                <w:sz w:val="16"/>
              </w:rPr>
              <w:t>Cognitive-behavioral</w:t>
            </w:r>
          </w:p>
        </w:tc>
        <w:tc>
          <w:tcPr>
            <w:tcW w:type="dxa" w:w="3240"/>
            <w:tcMar>
              <w:top w:w="100" w:type="dxa"/>
              <w:start w:w="120" w:type="dxa"/>
              <w:bottom w:w="100" w:type="dxa"/>
              <w:end w:w="120" w:type="dxa"/>
            </w:tcMar>
            <w:shd w:fill="F7F8FA"/>
          </w:tcPr>
          <w:p>
            <w:pPr>
              <w:spacing w:after="0"/>
            </w:pPr>
            <w:r>
              <w:rPr>
                <w:sz w:val="16"/>
              </w:rPr>
              <w:t>Negative reinforcement and threat appraisal maintain the problem.</w:t>
            </w:r>
          </w:p>
        </w:tc>
      </w:tr>
    </w:tbl>
    <w:p>
      <w:pPr>
        <w:spacing w:after="0"/>
      </w:pPr>
    </w:p>
    <w:p>
      <w:pPr>
        <w:pStyle w:val="Heading1"/>
      </w:pPr>
      <w:r>
        <w:t>6. Coherent Integration Rather Than Technique Shopping</w:t>
      </w:r>
    </w:p>
    <w:p>
      <w:r>
        <w:rPr>
          <w:i w:val="0"/>
        </w:rPr>
        <w:t>Integrative treatment may combine approaches, but the combination should remain clinically coherent. The therapist identifies a primary formulation, explains why each intervention targets a relevant mechanism, sequences methods according to safety and readiness, and evaluates whether the expected change occurs. Adding more techniques is not the same as improving treatment.</w:t>
      </w:r>
    </w:p>
    <w:p>
      <w:pPr>
        <w:pStyle w:val="ListNumber"/>
      </w:pPr>
      <w:r>
        <w:t>Name the primary target and maintaining process.</w:t>
      </w:r>
    </w:p>
    <w:p>
      <w:pPr>
        <w:pStyle w:val="ListNumber"/>
      </w:pPr>
      <w:r>
        <w:t>Select the primary theory or integrated formulation.</w:t>
      </w:r>
    </w:p>
    <w:p>
      <w:pPr>
        <w:pStyle w:val="ListNumber"/>
      </w:pPr>
      <w:r>
        <w:t>Choose the smallest intervention that tests the formulation.</w:t>
      </w:r>
    </w:p>
    <w:p>
      <w:pPr>
        <w:pStyle w:val="ListNumber"/>
      </w:pPr>
      <w:r>
        <w:t>Check development, culture, language, access, preference, and competence.</w:t>
      </w:r>
    </w:p>
    <w:p>
      <w:pPr>
        <w:pStyle w:val="ListNumber"/>
      </w:pPr>
      <w:r>
        <w:t>Measure response and alliance.</w:t>
      </w:r>
    </w:p>
    <w:p>
      <w:pPr>
        <w:pStyle w:val="ListNumber"/>
      </w:pPr>
      <w:r>
        <w:t>Revise the formulation, method, treatment unit, or level of care when evidence does not support the plan.</w:t>
      </w:r>
    </w:p>
    <w:p>
      <w:pPr>
        <w:pStyle w:val="Heading1"/>
      </w:pPr>
      <w:r>
        <w:t>7. Group Purpose, Screening, and Composition</w:t>
      </w:r>
    </w:p>
    <w:p>
      <w:r>
        <w:rPr>
          <w:i w:val="0"/>
        </w:rPr>
        <w:t>A group is selected because its purpose and change process fit the client—not because several clients share a diagnosis or because group care is convenient. Screening includes goals, readiness, stability, risk, communication capacity, confidentiality expectations, prior group experience, access, culture, developmental fit, and whether the client can participate without undue risk to self or others.</w:t>
      </w:r>
    </w:p>
    <w:tbl>
      <w:tblPr>
        <w:tblStyle w:val="TableGrid"/>
        <w:tblW w:type="auto" w:w="0"/>
        <w:jc w:val="center"/>
        <w:tblLayout w:type="fixed"/>
        <w:tblLook w:firstColumn="1" w:firstRow="1" w:lastColumn="0" w:lastRow="0" w:noHBand="0" w:noVBand="1" w:val="04A0"/>
      </w:tblPr>
      <w:tblGrid>
        <w:gridCol w:w="2160"/>
        <w:gridCol w:w="7776"/>
      </w:tblGrid>
      <w:tr>
        <w:trPr>
          <w:tblHeader w:val="true"/>
          <w:cantSplit/>
        </w:trPr>
        <w:tc>
          <w:tcPr>
            <w:tcW w:type="dxa" w:w="5040"/>
            <w:shd w:fill="17365D"/>
            <w:tcMar>
              <w:top w:w="100" w:type="dxa"/>
              <w:start w:w="120" w:type="dxa"/>
              <w:bottom w:w="100" w:type="dxa"/>
              <w:end w:w="120" w:type="dxa"/>
            </w:tcMar>
          </w:tcPr>
          <w:p>
            <w:pPr>
              <w:spacing w:after="0"/>
            </w:pPr>
            <w:r>
              <w:rPr>
                <w:b/>
                <w:color w:val="FFFFFF"/>
                <w:sz w:val="16"/>
              </w:rPr>
              <w:t>Group Decision</w:t>
            </w:r>
          </w:p>
        </w:tc>
        <w:tc>
          <w:tcPr>
            <w:tcW w:type="dxa" w:w="5040"/>
            <w:shd w:fill="17365D"/>
            <w:tcMar>
              <w:top w:w="100" w:type="dxa"/>
              <w:start w:w="120" w:type="dxa"/>
              <w:bottom w:w="100" w:type="dxa"/>
              <w:end w:w="120" w:type="dxa"/>
            </w:tcMar>
          </w:tcPr>
          <w:p>
            <w:pPr>
              <w:spacing w:after="0"/>
            </w:pPr>
            <w:r>
              <w:rPr>
                <w:b/>
                <w:color w:val="FFFFFF"/>
                <w:sz w:val="16"/>
              </w:rPr>
              <w:t>Questions</w:t>
            </w:r>
          </w:p>
        </w:tc>
      </w:tr>
      <w:tr>
        <w:trPr>
          <w:cantSplit/>
        </w:trPr>
        <w:tc>
          <w:tcPr>
            <w:tcW w:type="dxa" w:w="2160"/>
            <w:tcMar>
              <w:top w:w="100" w:type="dxa"/>
              <w:start w:w="120" w:type="dxa"/>
              <w:bottom w:w="100" w:type="dxa"/>
              <w:end w:w="120" w:type="dxa"/>
            </w:tcMar>
          </w:tcPr>
          <w:p>
            <w:pPr>
              <w:spacing w:after="0"/>
            </w:pPr>
            <w:r>
              <w:rPr>
                <w:sz w:val="16"/>
              </w:rPr>
              <w:t>Purpose</w:t>
            </w:r>
          </w:p>
        </w:tc>
        <w:tc>
          <w:tcPr>
            <w:tcW w:type="dxa" w:w="7776"/>
            <w:tcMar>
              <w:top w:w="100" w:type="dxa"/>
              <w:start w:w="120" w:type="dxa"/>
              <w:bottom w:w="100" w:type="dxa"/>
              <w:end w:w="120" w:type="dxa"/>
            </w:tcMar>
          </w:tcPr>
          <w:p>
            <w:pPr>
              <w:spacing w:after="0"/>
            </w:pPr>
            <w:r>
              <w:rPr>
                <w:sz w:val="16"/>
              </w:rPr>
              <w:t>Is the group psychotherapy, support, psychoeducation, skills, task, or another format? What change process is expected?</w:t>
            </w:r>
          </w:p>
        </w:tc>
      </w:tr>
      <w:tr>
        <w:trPr>
          <w:cantSplit/>
        </w:trPr>
        <w:tc>
          <w:tcPr>
            <w:tcW w:type="dxa" w:w="2160"/>
            <w:tcMar>
              <w:top w:w="100" w:type="dxa"/>
              <w:start w:w="120" w:type="dxa"/>
              <w:bottom w:w="100" w:type="dxa"/>
              <w:end w:w="120" w:type="dxa"/>
            </w:tcMar>
            <w:shd w:fill="F7F8FA"/>
          </w:tcPr>
          <w:p>
            <w:pPr>
              <w:spacing w:after="0"/>
            </w:pPr>
            <w:r>
              <w:rPr>
                <w:sz w:val="16"/>
              </w:rPr>
              <w:t>Composition</w:t>
            </w:r>
          </w:p>
        </w:tc>
        <w:tc>
          <w:tcPr>
            <w:tcW w:type="dxa" w:w="7776"/>
            <w:tcMar>
              <w:top w:w="100" w:type="dxa"/>
              <w:start w:w="120" w:type="dxa"/>
              <w:bottom w:w="100" w:type="dxa"/>
              <w:end w:w="120" w:type="dxa"/>
            </w:tcMar>
            <w:shd w:fill="F7F8FA"/>
          </w:tcPr>
          <w:p>
            <w:pPr>
              <w:spacing w:after="0"/>
            </w:pPr>
            <w:r>
              <w:rPr>
                <w:sz w:val="16"/>
              </w:rPr>
              <w:t>What level of similarity or diversity supports the purpose? Are age, stage, risk, language, and functioning compatible?</w:t>
            </w:r>
          </w:p>
        </w:tc>
      </w:tr>
      <w:tr>
        <w:trPr>
          <w:cantSplit/>
        </w:trPr>
        <w:tc>
          <w:tcPr>
            <w:tcW w:type="dxa" w:w="2160"/>
            <w:tcMar>
              <w:top w:w="100" w:type="dxa"/>
              <w:start w:w="120" w:type="dxa"/>
              <w:bottom w:w="100" w:type="dxa"/>
              <w:end w:w="120" w:type="dxa"/>
            </w:tcMar>
          </w:tcPr>
          <w:p>
            <w:pPr>
              <w:spacing w:after="0"/>
            </w:pPr>
            <w:r>
              <w:rPr>
                <w:sz w:val="16"/>
              </w:rPr>
              <w:t>Structure</w:t>
            </w:r>
          </w:p>
        </w:tc>
        <w:tc>
          <w:tcPr>
            <w:tcW w:type="dxa" w:w="7776"/>
            <w:tcMar>
              <w:top w:w="100" w:type="dxa"/>
              <w:start w:w="120" w:type="dxa"/>
              <w:bottom w:w="100" w:type="dxa"/>
              <w:end w:w="120" w:type="dxa"/>
            </w:tcMar>
          </w:tcPr>
          <w:p>
            <w:pPr>
              <w:spacing w:after="0"/>
            </w:pPr>
            <w:r>
              <w:rPr>
                <w:sz w:val="16"/>
              </w:rPr>
              <w:t>Open or closed? Time-limited or ongoing? Size, frequency, leadership, emergency plan, and confidentiality explanation?</w:t>
            </w:r>
          </w:p>
        </w:tc>
      </w:tr>
      <w:tr>
        <w:trPr>
          <w:cantSplit/>
        </w:trPr>
        <w:tc>
          <w:tcPr>
            <w:tcW w:type="dxa" w:w="2160"/>
            <w:tcMar>
              <w:top w:w="100" w:type="dxa"/>
              <w:start w:w="120" w:type="dxa"/>
              <w:bottom w:w="100" w:type="dxa"/>
              <w:end w:w="120" w:type="dxa"/>
            </w:tcMar>
            <w:shd w:fill="F7F8FA"/>
          </w:tcPr>
          <w:p>
            <w:pPr>
              <w:spacing w:after="0"/>
            </w:pPr>
            <w:r>
              <w:rPr>
                <w:sz w:val="16"/>
              </w:rPr>
              <w:t>Readiness and access</w:t>
            </w:r>
          </w:p>
        </w:tc>
        <w:tc>
          <w:tcPr>
            <w:tcW w:type="dxa" w:w="7776"/>
            <w:tcMar>
              <w:top w:w="100" w:type="dxa"/>
              <w:start w:w="120" w:type="dxa"/>
              <w:bottom w:w="100" w:type="dxa"/>
              <w:end w:w="120" w:type="dxa"/>
            </w:tcMar>
            <w:shd w:fill="F7F8FA"/>
          </w:tcPr>
          <w:p>
            <w:pPr>
              <w:spacing w:after="0"/>
            </w:pPr>
            <w:r>
              <w:rPr>
                <w:sz w:val="16"/>
              </w:rPr>
              <w:t>Can the client attend, understand, tolerate, communicate, and use the format? What accommodations are needed?</w:t>
            </w:r>
          </w:p>
        </w:tc>
      </w:tr>
      <w:tr>
        <w:trPr>
          <w:cantSplit/>
        </w:trPr>
        <w:tc>
          <w:tcPr>
            <w:tcW w:type="dxa" w:w="2160"/>
            <w:tcMar>
              <w:top w:w="100" w:type="dxa"/>
              <w:start w:w="120" w:type="dxa"/>
              <w:bottom w:w="100" w:type="dxa"/>
              <w:end w:w="120" w:type="dxa"/>
            </w:tcMar>
          </w:tcPr>
          <w:p>
            <w:pPr>
              <w:spacing w:after="0"/>
            </w:pPr>
            <w:r>
              <w:rPr>
                <w:sz w:val="16"/>
              </w:rPr>
              <w:t>Evaluation</w:t>
            </w:r>
          </w:p>
        </w:tc>
        <w:tc>
          <w:tcPr>
            <w:tcW w:type="dxa" w:w="7776"/>
            <w:tcMar>
              <w:top w:w="100" w:type="dxa"/>
              <w:start w:w="120" w:type="dxa"/>
              <w:bottom w:w="100" w:type="dxa"/>
              <w:end w:w="120" w:type="dxa"/>
            </w:tcMar>
          </w:tcPr>
          <w:p>
            <w:pPr>
              <w:spacing w:after="0"/>
            </w:pPr>
            <w:r>
              <w:rPr>
                <w:sz w:val="16"/>
              </w:rPr>
              <w:t>How will attendance, participation, safety, cohesion, skill use, and outcomes be reviewed?</w:t>
            </w:r>
          </w:p>
        </w:tc>
      </w:tr>
    </w:tbl>
    <w:p>
      <w:pPr>
        <w:spacing w:after="0"/>
      </w:pPr>
    </w:p>
    <w:tbl>
      <w:tblPr>
        <w:tblW w:type="auto" w:w="0"/>
        <w:jc w:val="center"/>
        <w:tblLayout w:type="fixed"/>
        <w:tblLook w:firstColumn="1" w:firstRow="1" w:lastColumn="0" w:lastRow="0" w:noHBand="0" w:noVBand="1" w:val="04A0"/>
      </w:tblPr>
      <w:tblGrid>
        <w:gridCol w:w="9936"/>
      </w:tblGrid>
      <w:tr>
        <w:trPr>
          <w:cantSplit/>
          <w:tblHeader/>
        </w:trPr>
        <w:tc>
          <w:tcPr>
            <w:tcW w:type="dxa" w:w="10080"/>
            <w:shd w:fill="FFF4D6"/>
            <w:tcMar>
              <w:top w:w="150" w:type="dxa"/>
              <w:start w:w="180" w:type="dxa"/>
              <w:bottom w:w="150" w:type="dxa"/>
              <w:end w:w="180" w:type="dxa"/>
            </w:tcMar>
          </w:tcPr>
          <w:p>
            <w:pPr>
              <w:spacing w:after="80"/>
            </w:pPr>
            <w:r>
              <w:rPr>
                <w:b/>
                <w:i w:val="0"/>
                <w:color w:val="C17C00"/>
              </w:rPr>
              <w:t>Memory Aid</w:t>
            </w:r>
          </w:p>
          <w:p>
            <w:pPr>
              <w:spacing w:after="0"/>
            </w:pPr>
            <w:r>
              <w:t>GROUP: Goal → Readiness → Organization → Understanding of limits → Process and safety</w:t>
            </w:r>
          </w:p>
        </w:tc>
      </w:tr>
    </w:tbl>
    <w:p>
      <w:pPr>
        <w:spacing w:after="0"/>
      </w:pPr>
    </w:p>
    <w:p>
      <w:pPr>
        <w:pStyle w:val="Heading1"/>
      </w:pPr>
      <w:r>
        <w:t>8. Group Stages and Facilitator Tasks</w:t>
      </w:r>
    </w:p>
    <w:tbl>
      <w:tblPr>
        <w:tblStyle w:val="TableGrid"/>
        <w:tblW w:type="auto" w:w="0"/>
        <w:jc w:val="center"/>
        <w:tblLayout w:type="fixed"/>
        <w:tblLook w:firstColumn="1" w:firstRow="1" w:lastColumn="0" w:lastRow="0" w:noHBand="0" w:noVBand="1" w:val="04A0"/>
      </w:tblPr>
      <w:tblGrid>
        <w:gridCol w:w="2016"/>
        <w:gridCol w:w="4032"/>
        <w:gridCol w:w="3888"/>
      </w:tblGrid>
      <w:tr>
        <w:trPr>
          <w:tblHeader w:val="true"/>
          <w:cantSplit/>
        </w:trPr>
        <w:tc>
          <w:tcPr>
            <w:tcW w:type="dxa" w:w="3360"/>
            <w:shd w:fill="17365D"/>
            <w:tcMar>
              <w:top w:w="100" w:type="dxa"/>
              <w:start w:w="120" w:type="dxa"/>
              <w:bottom w:w="100" w:type="dxa"/>
              <w:end w:w="120" w:type="dxa"/>
            </w:tcMar>
          </w:tcPr>
          <w:p>
            <w:pPr>
              <w:spacing w:after="0"/>
            </w:pPr>
            <w:r>
              <w:rPr>
                <w:b/>
                <w:color w:val="FFFFFF"/>
                <w:sz w:val="16"/>
              </w:rPr>
              <w:t>Stage</w:t>
            </w:r>
          </w:p>
        </w:tc>
        <w:tc>
          <w:tcPr>
            <w:tcW w:type="dxa" w:w="3360"/>
            <w:shd w:fill="17365D"/>
            <w:tcMar>
              <w:top w:w="100" w:type="dxa"/>
              <w:start w:w="120" w:type="dxa"/>
              <w:bottom w:w="100" w:type="dxa"/>
              <w:end w:w="120" w:type="dxa"/>
            </w:tcMar>
          </w:tcPr>
          <w:p>
            <w:pPr>
              <w:spacing w:after="0"/>
            </w:pPr>
            <w:r>
              <w:rPr>
                <w:b/>
                <w:color w:val="FFFFFF"/>
                <w:sz w:val="16"/>
              </w:rPr>
              <w:t>Common Needs</w:t>
            </w:r>
          </w:p>
        </w:tc>
        <w:tc>
          <w:tcPr>
            <w:tcW w:type="dxa" w:w="3360"/>
            <w:shd w:fill="17365D"/>
            <w:tcMar>
              <w:top w:w="100" w:type="dxa"/>
              <w:start w:w="120" w:type="dxa"/>
              <w:bottom w:w="100" w:type="dxa"/>
              <w:end w:w="120" w:type="dxa"/>
            </w:tcMar>
          </w:tcPr>
          <w:p>
            <w:pPr>
              <w:spacing w:after="0"/>
            </w:pPr>
            <w:r>
              <w:rPr>
                <w:b/>
                <w:color w:val="FFFFFF"/>
                <w:sz w:val="16"/>
              </w:rPr>
              <w:t>Facilitator Focus</w:t>
            </w:r>
          </w:p>
        </w:tc>
      </w:tr>
      <w:tr>
        <w:trPr>
          <w:cantSplit/>
        </w:trPr>
        <w:tc>
          <w:tcPr>
            <w:tcW w:type="dxa" w:w="2016"/>
            <w:tcMar>
              <w:top w:w="100" w:type="dxa"/>
              <w:start w:w="120" w:type="dxa"/>
              <w:bottom w:w="100" w:type="dxa"/>
              <w:end w:w="120" w:type="dxa"/>
            </w:tcMar>
          </w:tcPr>
          <w:p>
            <w:pPr>
              <w:spacing w:after="0"/>
            </w:pPr>
            <w:r>
              <w:rPr>
                <w:sz w:val="16"/>
              </w:rPr>
              <w:t>Formation / orientation</w:t>
            </w:r>
          </w:p>
        </w:tc>
        <w:tc>
          <w:tcPr>
            <w:tcW w:type="dxa" w:w="4032"/>
            <w:tcMar>
              <w:top w:w="100" w:type="dxa"/>
              <w:start w:w="120" w:type="dxa"/>
              <w:bottom w:w="100" w:type="dxa"/>
              <w:end w:w="120" w:type="dxa"/>
            </w:tcMar>
          </w:tcPr>
          <w:p>
            <w:pPr>
              <w:spacing w:after="0"/>
            </w:pPr>
            <w:r>
              <w:rPr>
                <w:sz w:val="16"/>
              </w:rPr>
              <w:t>Uncertainty, testing, dependence, questions about safety and purpose.</w:t>
            </w:r>
          </w:p>
        </w:tc>
        <w:tc>
          <w:tcPr>
            <w:tcW w:type="dxa" w:w="3888"/>
            <w:tcMar>
              <w:top w:w="100" w:type="dxa"/>
              <w:start w:w="120" w:type="dxa"/>
              <w:bottom w:w="100" w:type="dxa"/>
              <w:end w:w="120" w:type="dxa"/>
            </w:tcMar>
          </w:tcPr>
          <w:p>
            <w:pPr>
              <w:spacing w:after="0"/>
            </w:pPr>
            <w:r>
              <w:rPr>
                <w:sz w:val="16"/>
              </w:rPr>
              <w:t>Clarify purpose, norms, limits, expectations, inclusion, and participation.</w:t>
            </w:r>
          </w:p>
        </w:tc>
      </w:tr>
      <w:tr>
        <w:trPr>
          <w:cantSplit/>
        </w:trPr>
        <w:tc>
          <w:tcPr>
            <w:tcW w:type="dxa" w:w="2016"/>
            <w:tcMar>
              <w:top w:w="100" w:type="dxa"/>
              <w:start w:w="120" w:type="dxa"/>
              <w:bottom w:w="100" w:type="dxa"/>
              <w:end w:w="120" w:type="dxa"/>
            </w:tcMar>
            <w:shd w:fill="F7F8FA"/>
          </w:tcPr>
          <w:p>
            <w:pPr>
              <w:spacing w:after="0"/>
            </w:pPr>
            <w:r>
              <w:rPr>
                <w:sz w:val="16"/>
              </w:rPr>
              <w:t>Transition / conflict</w:t>
            </w:r>
          </w:p>
        </w:tc>
        <w:tc>
          <w:tcPr>
            <w:tcW w:type="dxa" w:w="4032"/>
            <w:tcMar>
              <w:top w:w="100" w:type="dxa"/>
              <w:start w:w="120" w:type="dxa"/>
              <w:bottom w:w="100" w:type="dxa"/>
              <w:end w:w="120" w:type="dxa"/>
            </w:tcMar>
            <w:shd w:fill="F7F8FA"/>
          </w:tcPr>
          <w:p>
            <w:pPr>
              <w:spacing w:after="0"/>
            </w:pPr>
            <w:r>
              <w:rPr>
                <w:sz w:val="16"/>
              </w:rPr>
              <w:t>Resistance, competition, avoidance, testing authority, subgrouping.</w:t>
            </w:r>
          </w:p>
        </w:tc>
        <w:tc>
          <w:tcPr>
            <w:tcW w:type="dxa" w:w="3888"/>
            <w:tcMar>
              <w:top w:w="100" w:type="dxa"/>
              <w:start w:w="120" w:type="dxa"/>
              <w:bottom w:w="100" w:type="dxa"/>
              <w:end w:w="120" w:type="dxa"/>
            </w:tcMar>
            <w:shd w:fill="F7F8FA"/>
          </w:tcPr>
          <w:p>
            <w:pPr>
              <w:spacing w:after="0"/>
            </w:pPr>
            <w:r>
              <w:rPr>
                <w:sz w:val="16"/>
              </w:rPr>
              <w:t>Name process, protect safety, manage conflict, model accountability, and support direct respectful work.</w:t>
            </w:r>
          </w:p>
        </w:tc>
      </w:tr>
      <w:tr>
        <w:trPr>
          <w:cantSplit/>
        </w:trPr>
        <w:tc>
          <w:tcPr>
            <w:tcW w:type="dxa" w:w="2016"/>
            <w:tcMar>
              <w:top w:w="100" w:type="dxa"/>
              <w:start w:w="120" w:type="dxa"/>
              <w:bottom w:w="100" w:type="dxa"/>
              <w:end w:w="120" w:type="dxa"/>
            </w:tcMar>
          </w:tcPr>
          <w:p>
            <w:pPr>
              <w:spacing w:after="0"/>
            </w:pPr>
            <w:r>
              <w:rPr>
                <w:sz w:val="16"/>
              </w:rPr>
              <w:t>Working</w:t>
            </w:r>
          </w:p>
        </w:tc>
        <w:tc>
          <w:tcPr>
            <w:tcW w:type="dxa" w:w="4032"/>
            <w:tcMar>
              <w:top w:w="100" w:type="dxa"/>
              <w:start w:w="120" w:type="dxa"/>
              <w:bottom w:w="100" w:type="dxa"/>
              <w:end w:w="120" w:type="dxa"/>
            </w:tcMar>
          </w:tcPr>
          <w:p>
            <w:pPr>
              <w:spacing w:after="0"/>
            </w:pPr>
            <w:r>
              <w:rPr>
                <w:sz w:val="16"/>
              </w:rPr>
              <w:t>Greater trust, feedback, experimentation, mutual aid, deeper emotion.</w:t>
            </w:r>
          </w:p>
        </w:tc>
        <w:tc>
          <w:tcPr>
            <w:tcW w:type="dxa" w:w="3888"/>
            <w:tcMar>
              <w:top w:w="100" w:type="dxa"/>
              <w:start w:w="120" w:type="dxa"/>
              <w:bottom w:w="100" w:type="dxa"/>
              <w:end w:w="120" w:type="dxa"/>
            </w:tcMar>
          </w:tcPr>
          <w:p>
            <w:pPr>
              <w:spacing w:after="0"/>
            </w:pPr>
            <w:r>
              <w:rPr>
                <w:sz w:val="16"/>
              </w:rPr>
              <w:t>Balance participation, link members, maintain focus, deepen work, and monitor risk.</w:t>
            </w:r>
          </w:p>
        </w:tc>
      </w:tr>
      <w:tr>
        <w:trPr>
          <w:cantSplit/>
        </w:trPr>
        <w:tc>
          <w:tcPr>
            <w:tcW w:type="dxa" w:w="2016"/>
            <w:tcMar>
              <w:top w:w="100" w:type="dxa"/>
              <w:start w:w="120" w:type="dxa"/>
              <w:bottom w:w="100" w:type="dxa"/>
              <w:end w:w="120" w:type="dxa"/>
            </w:tcMar>
            <w:shd w:fill="F7F8FA"/>
          </w:tcPr>
          <w:p>
            <w:pPr>
              <w:spacing w:after="0"/>
            </w:pPr>
            <w:r>
              <w:rPr>
                <w:sz w:val="16"/>
              </w:rPr>
              <w:t>Termination</w:t>
            </w:r>
          </w:p>
        </w:tc>
        <w:tc>
          <w:tcPr>
            <w:tcW w:type="dxa" w:w="4032"/>
            <w:tcMar>
              <w:top w:w="100" w:type="dxa"/>
              <w:start w:w="120" w:type="dxa"/>
              <w:bottom w:w="100" w:type="dxa"/>
              <w:end w:w="120" w:type="dxa"/>
            </w:tcMar>
            <w:shd w:fill="F7F8FA"/>
          </w:tcPr>
          <w:p>
            <w:pPr>
              <w:spacing w:after="0"/>
            </w:pPr>
            <w:r>
              <w:rPr>
                <w:sz w:val="16"/>
              </w:rPr>
              <w:t>Loss, review, unfinished work, transfer of learning, future support.</w:t>
            </w:r>
          </w:p>
        </w:tc>
        <w:tc>
          <w:tcPr>
            <w:tcW w:type="dxa" w:w="3888"/>
            <w:tcMar>
              <w:top w:w="100" w:type="dxa"/>
              <w:start w:w="120" w:type="dxa"/>
              <w:bottom w:w="100" w:type="dxa"/>
              <w:end w:w="120" w:type="dxa"/>
            </w:tcMar>
            <w:shd w:fill="F7F8FA"/>
          </w:tcPr>
          <w:p>
            <w:pPr>
              <w:spacing w:after="0"/>
            </w:pPr>
            <w:r>
              <w:rPr>
                <w:sz w:val="16"/>
              </w:rPr>
              <w:t>Process endings, consolidate gains, plan continuation, and evaluate outcomes.</w:t>
            </w:r>
          </w:p>
        </w:tc>
      </w:tr>
    </w:tbl>
    <w:p>
      <w:pPr>
        <w:spacing w:after="0"/>
      </w:pPr>
    </w:p>
    <w:p>
      <w:pPr>
        <w:pStyle w:val="Heading1"/>
      </w:pPr>
      <w:r>
        <w:t>9. Consultation, Referral, Adjunctive Care, and Transfer</w:t>
      </w:r>
    </w:p>
    <w:tbl>
      <w:tblPr>
        <w:tblStyle w:val="TableGrid"/>
        <w:tblW w:type="auto" w:w="0"/>
        <w:jc w:val="center"/>
        <w:tblLayout w:type="fixed"/>
        <w:tblLook w:firstColumn="1" w:firstRow="1" w:lastColumn="0" w:lastRow="0" w:noHBand="0" w:noVBand="1" w:val="04A0"/>
      </w:tblPr>
      <w:tblGrid>
        <w:gridCol w:w="1800"/>
        <w:gridCol w:w="4680"/>
        <w:gridCol w:w="3456"/>
      </w:tblGrid>
      <w:tr>
        <w:trPr>
          <w:tblHeader w:val="true"/>
          <w:cantSplit/>
        </w:trPr>
        <w:tc>
          <w:tcPr>
            <w:tcW w:type="dxa" w:w="3360"/>
            <w:shd w:fill="17365D"/>
            <w:tcMar>
              <w:top w:w="100" w:type="dxa"/>
              <w:start w:w="120" w:type="dxa"/>
              <w:bottom w:w="100" w:type="dxa"/>
              <w:end w:w="120" w:type="dxa"/>
            </w:tcMar>
          </w:tcPr>
          <w:p>
            <w:pPr>
              <w:spacing w:after="0"/>
            </w:pPr>
            <w:r>
              <w:rPr>
                <w:b/>
                <w:color w:val="FFFFFF"/>
                <w:sz w:val="16"/>
              </w:rPr>
              <w:t>Action</w:t>
            </w:r>
          </w:p>
        </w:tc>
        <w:tc>
          <w:tcPr>
            <w:tcW w:type="dxa" w:w="3360"/>
            <w:shd w:fill="17365D"/>
            <w:tcMar>
              <w:top w:w="100" w:type="dxa"/>
              <w:start w:w="120" w:type="dxa"/>
              <w:bottom w:w="100" w:type="dxa"/>
              <w:end w:w="120" w:type="dxa"/>
            </w:tcMar>
          </w:tcPr>
          <w:p>
            <w:pPr>
              <w:spacing w:after="0"/>
            </w:pPr>
            <w:r>
              <w:rPr>
                <w:b/>
                <w:color w:val="FFFFFF"/>
                <w:sz w:val="16"/>
              </w:rPr>
              <w:t>Use When</w:t>
            </w:r>
          </w:p>
        </w:tc>
        <w:tc>
          <w:tcPr>
            <w:tcW w:type="dxa" w:w="3360"/>
            <w:shd w:fill="17365D"/>
            <w:tcMar>
              <w:top w:w="100" w:type="dxa"/>
              <w:start w:w="120" w:type="dxa"/>
              <w:bottom w:w="100" w:type="dxa"/>
              <w:end w:w="120" w:type="dxa"/>
            </w:tcMar>
          </w:tcPr>
          <w:p>
            <w:pPr>
              <w:spacing w:after="0"/>
            </w:pPr>
            <w:r>
              <w:rPr>
                <w:b/>
                <w:color w:val="FFFFFF"/>
                <w:sz w:val="16"/>
              </w:rPr>
              <w:t>Continuity Task</w:t>
            </w:r>
          </w:p>
        </w:tc>
      </w:tr>
      <w:tr>
        <w:trPr>
          <w:cantSplit/>
        </w:trPr>
        <w:tc>
          <w:tcPr>
            <w:tcW w:type="dxa" w:w="1800"/>
            <w:tcMar>
              <w:top w:w="100" w:type="dxa"/>
              <w:start w:w="120" w:type="dxa"/>
              <w:bottom w:w="100" w:type="dxa"/>
              <w:end w:w="120" w:type="dxa"/>
            </w:tcMar>
          </w:tcPr>
          <w:p>
            <w:pPr>
              <w:spacing w:after="0"/>
            </w:pPr>
            <w:r>
              <w:rPr>
                <w:sz w:val="16"/>
              </w:rPr>
              <w:t>Consultation</w:t>
            </w:r>
          </w:p>
        </w:tc>
        <w:tc>
          <w:tcPr>
            <w:tcW w:type="dxa" w:w="4680"/>
            <w:tcMar>
              <w:top w:w="100" w:type="dxa"/>
              <w:start w:w="120" w:type="dxa"/>
              <w:bottom w:w="100" w:type="dxa"/>
              <w:end w:w="120" w:type="dxa"/>
            </w:tcMar>
          </w:tcPr>
          <w:p>
            <w:pPr>
              <w:spacing w:after="0"/>
            </w:pPr>
            <w:r>
              <w:rPr>
                <w:sz w:val="16"/>
              </w:rPr>
              <w:t>The therapist needs expertise or perspective but retains the case and responsibility.</w:t>
            </w:r>
          </w:p>
        </w:tc>
        <w:tc>
          <w:tcPr>
            <w:tcW w:type="dxa" w:w="3456"/>
            <w:tcMar>
              <w:top w:w="100" w:type="dxa"/>
              <w:start w:w="120" w:type="dxa"/>
              <w:bottom w:w="100" w:type="dxa"/>
              <w:end w:w="120" w:type="dxa"/>
            </w:tcMar>
          </w:tcPr>
          <w:p>
            <w:pPr>
              <w:spacing w:after="0"/>
            </w:pPr>
            <w:r>
              <w:rPr>
                <w:sz w:val="16"/>
              </w:rPr>
              <w:t>Clarify the question, protect confidentiality, document guidance, and integrate judgment.</w:t>
            </w:r>
          </w:p>
        </w:tc>
      </w:tr>
      <w:tr>
        <w:trPr>
          <w:cantSplit/>
        </w:trPr>
        <w:tc>
          <w:tcPr>
            <w:tcW w:type="dxa" w:w="1800"/>
            <w:tcMar>
              <w:top w:w="100" w:type="dxa"/>
              <w:start w:w="120" w:type="dxa"/>
              <w:bottom w:w="100" w:type="dxa"/>
              <w:end w:w="120" w:type="dxa"/>
            </w:tcMar>
            <w:shd w:fill="F7F8FA"/>
          </w:tcPr>
          <w:p>
            <w:pPr>
              <w:spacing w:after="0"/>
            </w:pPr>
            <w:r>
              <w:rPr>
                <w:sz w:val="16"/>
              </w:rPr>
              <w:t>Adjunctive service</w:t>
            </w:r>
          </w:p>
        </w:tc>
        <w:tc>
          <w:tcPr>
            <w:tcW w:type="dxa" w:w="4680"/>
            <w:tcMar>
              <w:top w:w="100" w:type="dxa"/>
              <w:start w:w="120" w:type="dxa"/>
              <w:bottom w:w="100" w:type="dxa"/>
              <w:end w:w="120" w:type="dxa"/>
            </w:tcMar>
            <w:shd w:fill="F7F8FA"/>
          </w:tcPr>
          <w:p>
            <w:pPr>
              <w:spacing w:after="0"/>
            </w:pPr>
            <w:r>
              <w:rPr>
                <w:sz w:val="16"/>
              </w:rPr>
              <w:t>Another provider supplies a complementary medical, psychiatric, educational, vocational, or specialty service.</w:t>
            </w:r>
          </w:p>
        </w:tc>
        <w:tc>
          <w:tcPr>
            <w:tcW w:type="dxa" w:w="3456"/>
            <w:tcMar>
              <w:top w:w="100" w:type="dxa"/>
              <w:start w:w="120" w:type="dxa"/>
              <w:bottom w:w="100" w:type="dxa"/>
              <w:end w:w="120" w:type="dxa"/>
            </w:tcMar>
            <w:shd w:fill="F7F8FA"/>
          </w:tcPr>
          <w:p>
            <w:pPr>
              <w:spacing w:after="0"/>
            </w:pPr>
            <w:r>
              <w:rPr>
                <w:sz w:val="16"/>
              </w:rPr>
              <w:t>Define roles, obtain authorization, coordinate relevant information, and avoid contradictory plans.</w:t>
            </w:r>
          </w:p>
        </w:tc>
      </w:tr>
      <w:tr>
        <w:trPr>
          <w:cantSplit/>
        </w:trPr>
        <w:tc>
          <w:tcPr>
            <w:tcW w:type="dxa" w:w="1800"/>
            <w:tcMar>
              <w:top w:w="100" w:type="dxa"/>
              <w:start w:w="120" w:type="dxa"/>
              <w:bottom w:w="100" w:type="dxa"/>
              <w:end w:w="120" w:type="dxa"/>
            </w:tcMar>
          </w:tcPr>
          <w:p>
            <w:pPr>
              <w:spacing w:after="0"/>
            </w:pPr>
            <w:r>
              <w:rPr>
                <w:sz w:val="16"/>
              </w:rPr>
              <w:t>Specialty referral</w:t>
            </w:r>
          </w:p>
        </w:tc>
        <w:tc>
          <w:tcPr>
            <w:tcW w:type="dxa" w:w="4680"/>
            <w:tcMar>
              <w:top w:w="100" w:type="dxa"/>
              <w:start w:w="120" w:type="dxa"/>
              <w:bottom w:w="100" w:type="dxa"/>
              <w:end w:w="120" w:type="dxa"/>
            </w:tcMar>
          </w:tcPr>
          <w:p>
            <w:pPr>
              <w:spacing w:after="0"/>
            </w:pPr>
            <w:r>
              <w:rPr>
                <w:sz w:val="16"/>
              </w:rPr>
              <w:t>A specific service or competence is needed beyond the current therapist’s role or skill.</w:t>
            </w:r>
          </w:p>
        </w:tc>
        <w:tc>
          <w:tcPr>
            <w:tcW w:type="dxa" w:w="3456"/>
            <w:tcMar>
              <w:top w:w="100" w:type="dxa"/>
              <w:start w:w="120" w:type="dxa"/>
              <w:bottom w:w="100" w:type="dxa"/>
              <w:end w:w="120" w:type="dxa"/>
            </w:tcMar>
          </w:tcPr>
          <w:p>
            <w:pPr>
              <w:spacing w:after="0"/>
            </w:pPr>
            <w:r>
              <w:rPr>
                <w:sz w:val="16"/>
              </w:rPr>
              <w:t>Explain rationale, identify accessible options, make a warm handoff, and follow through.</w:t>
            </w:r>
          </w:p>
        </w:tc>
      </w:tr>
      <w:tr>
        <w:trPr>
          <w:cantSplit/>
        </w:trPr>
        <w:tc>
          <w:tcPr>
            <w:tcW w:type="dxa" w:w="1800"/>
            <w:tcMar>
              <w:top w:w="100" w:type="dxa"/>
              <w:start w:w="120" w:type="dxa"/>
              <w:bottom w:w="100" w:type="dxa"/>
              <w:end w:w="120" w:type="dxa"/>
            </w:tcMar>
            <w:shd w:fill="F7F8FA"/>
          </w:tcPr>
          <w:p>
            <w:pPr>
              <w:spacing w:after="0"/>
            </w:pPr>
            <w:r>
              <w:rPr>
                <w:sz w:val="16"/>
              </w:rPr>
              <w:t>Higher level of care</w:t>
            </w:r>
          </w:p>
        </w:tc>
        <w:tc>
          <w:tcPr>
            <w:tcW w:type="dxa" w:w="4680"/>
            <w:tcMar>
              <w:top w:w="100" w:type="dxa"/>
              <w:start w:w="120" w:type="dxa"/>
              <w:bottom w:w="100" w:type="dxa"/>
              <w:end w:w="120" w:type="dxa"/>
            </w:tcMar>
            <w:shd w:fill="F7F8FA"/>
          </w:tcPr>
          <w:p>
            <w:pPr>
              <w:spacing w:after="0"/>
            </w:pPr>
            <w:r>
              <w:rPr>
                <w:sz w:val="16"/>
              </w:rPr>
              <w:t>Risk, instability, medical need, or intensity exceeds outpatient capacity.</w:t>
            </w:r>
          </w:p>
        </w:tc>
        <w:tc>
          <w:tcPr>
            <w:tcW w:type="dxa" w:w="3456"/>
            <w:tcMar>
              <w:top w:w="100" w:type="dxa"/>
              <w:start w:w="120" w:type="dxa"/>
              <w:bottom w:w="100" w:type="dxa"/>
              <w:end w:w="120" w:type="dxa"/>
            </w:tcMar>
            <w:shd w:fill="F7F8FA"/>
          </w:tcPr>
          <w:p>
            <w:pPr>
              <w:spacing w:after="0"/>
            </w:pPr>
            <w:r>
              <w:rPr>
                <w:sz w:val="16"/>
              </w:rPr>
              <w:t>Support urgent access, communicate necessary information, and coordinate transition or return.</w:t>
            </w:r>
          </w:p>
        </w:tc>
      </w:tr>
      <w:tr>
        <w:trPr>
          <w:cantSplit/>
        </w:trPr>
        <w:tc>
          <w:tcPr>
            <w:tcW w:type="dxa" w:w="1800"/>
            <w:tcMar>
              <w:top w:w="100" w:type="dxa"/>
              <w:start w:w="120" w:type="dxa"/>
              <w:bottom w:w="100" w:type="dxa"/>
              <w:end w:w="120" w:type="dxa"/>
            </w:tcMar>
          </w:tcPr>
          <w:p>
            <w:pPr>
              <w:spacing w:after="0"/>
            </w:pPr>
            <w:r>
              <w:rPr>
                <w:sz w:val="16"/>
              </w:rPr>
              <w:t>Transfer / termination</w:t>
            </w:r>
          </w:p>
        </w:tc>
        <w:tc>
          <w:tcPr>
            <w:tcW w:type="dxa" w:w="4680"/>
            <w:tcMar>
              <w:top w:w="100" w:type="dxa"/>
              <w:start w:w="120" w:type="dxa"/>
              <w:bottom w:w="100" w:type="dxa"/>
              <w:end w:w="120" w:type="dxa"/>
            </w:tcMar>
          </w:tcPr>
          <w:p>
            <w:pPr>
              <w:spacing w:after="0"/>
            </w:pPr>
            <w:r>
              <w:rPr>
                <w:sz w:val="16"/>
              </w:rPr>
              <w:t>Another provider assumes primary treatment or the current treatment ends.</w:t>
            </w:r>
          </w:p>
        </w:tc>
        <w:tc>
          <w:tcPr>
            <w:tcW w:type="dxa" w:w="3456"/>
            <w:tcMar>
              <w:top w:w="100" w:type="dxa"/>
              <w:start w:w="120" w:type="dxa"/>
              <w:bottom w:w="100" w:type="dxa"/>
              <w:end w:w="120" w:type="dxa"/>
            </w:tcMar>
          </w:tcPr>
          <w:p>
            <w:pPr>
              <w:spacing w:after="0"/>
            </w:pPr>
            <w:r>
              <w:rPr>
                <w:sz w:val="16"/>
              </w:rPr>
              <w:t>Provide notice when possible, options, records as authorized, crisis information, and transition planning.</w:t>
            </w:r>
          </w:p>
        </w:tc>
      </w:tr>
    </w:tbl>
    <w:p>
      <w:pPr>
        <w:spacing w:after="0"/>
      </w:pPr>
    </w:p>
    <w:p>
      <w:pPr>
        <w:pStyle w:val="Heading1"/>
      </w:pPr>
      <w:r>
        <w:t>10. Interdisciplinary Collaboration</w:t>
      </w:r>
    </w:p>
    <w:p>
      <w:r>
        <w:rPr>
          <w:i w:val="0"/>
        </w:rPr>
        <w:t>Collaboration may include psychiatrists, physicians, schools, occupational or speech therapists, dietitians, substance-use specialists, child-welfare professionals, attorneys, community agencies, and other mental-health clinicians. The therapist remains responsible for clinical judgment and does not assume that team consensus overrides safety, law, ethics, competence, or the client’s rights.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3360"/>
            <w:shd w:fill="17365D"/>
            <w:tcMar>
              <w:top w:w="100" w:type="dxa"/>
              <w:start w:w="120" w:type="dxa"/>
              <w:bottom w:w="100" w:type="dxa"/>
              <w:end w:w="120" w:type="dxa"/>
            </w:tcMar>
          </w:tcPr>
          <w:p>
            <w:pPr>
              <w:spacing w:after="0"/>
            </w:pPr>
            <w:r>
              <w:rPr>
                <w:b/>
                <w:color w:val="FFFFFF"/>
                <w:sz w:val="16"/>
              </w:rPr>
              <w:t>Before</w:t>
            </w:r>
          </w:p>
        </w:tc>
        <w:tc>
          <w:tcPr>
            <w:tcW w:type="dxa" w:w="3360"/>
            <w:shd w:fill="17365D"/>
            <w:tcMar>
              <w:top w:w="100" w:type="dxa"/>
              <w:start w:w="120" w:type="dxa"/>
              <w:bottom w:w="100" w:type="dxa"/>
              <w:end w:w="120" w:type="dxa"/>
            </w:tcMar>
          </w:tcPr>
          <w:p>
            <w:pPr>
              <w:spacing w:after="0"/>
            </w:pPr>
            <w:r>
              <w:rPr>
                <w:b/>
                <w:color w:val="FFFFFF"/>
                <w:sz w:val="16"/>
              </w:rPr>
              <w:t>During</w:t>
            </w:r>
          </w:p>
        </w:tc>
        <w:tc>
          <w:tcPr>
            <w:tcW w:type="dxa" w:w="3360"/>
            <w:shd w:fill="17365D"/>
            <w:tcMar>
              <w:top w:w="100" w:type="dxa"/>
              <w:start w:w="120" w:type="dxa"/>
              <w:bottom w:w="100" w:type="dxa"/>
              <w:end w:w="120" w:type="dxa"/>
            </w:tcMar>
          </w:tcPr>
          <w:p>
            <w:pPr>
              <w:spacing w:after="0"/>
            </w:pPr>
            <w:r>
              <w:rPr>
                <w:b/>
                <w:color w:val="FFFFFF"/>
                <w:sz w:val="16"/>
              </w:rPr>
              <w:t>After</w:t>
            </w:r>
          </w:p>
        </w:tc>
      </w:tr>
      <w:tr>
        <w:trPr>
          <w:cantSplit/>
        </w:trPr>
        <w:tc>
          <w:tcPr>
            <w:tcW w:type="dxa" w:w="3312"/>
            <w:tcMar>
              <w:top w:w="100" w:type="dxa"/>
              <w:start w:w="120" w:type="dxa"/>
              <w:bottom w:w="100" w:type="dxa"/>
              <w:end w:w="120" w:type="dxa"/>
            </w:tcMar>
          </w:tcPr>
          <w:p>
            <w:pPr>
              <w:spacing w:after="0"/>
            </w:pPr>
            <w:r>
              <w:rPr>
                <w:sz w:val="16"/>
              </w:rPr>
              <w:t>Clarify client goals, consent or authority, purpose, roles, information limits, and the therapist’s question.</w:t>
            </w:r>
          </w:p>
        </w:tc>
        <w:tc>
          <w:tcPr>
            <w:tcW w:type="dxa" w:w="3312"/>
            <w:tcMar>
              <w:top w:w="100" w:type="dxa"/>
              <w:start w:w="120" w:type="dxa"/>
              <w:bottom w:w="100" w:type="dxa"/>
              <w:end w:w="120" w:type="dxa"/>
            </w:tcMar>
          </w:tcPr>
          <w:p>
            <w:pPr>
              <w:spacing w:after="0"/>
            </w:pPr>
            <w:r>
              <w:rPr>
                <w:sz w:val="16"/>
              </w:rPr>
              <w:t>Use clear clinical language, distinguish fact from inference, invite client participation, address disagreement, and assign responsibility.</w:t>
            </w:r>
          </w:p>
        </w:tc>
        <w:tc>
          <w:tcPr>
            <w:tcW w:type="dxa" w:w="3312"/>
            <w:tcMar>
              <w:top w:w="100" w:type="dxa"/>
              <w:start w:w="120" w:type="dxa"/>
              <w:bottom w:w="100" w:type="dxa"/>
              <w:end w:w="120" w:type="dxa"/>
            </w:tcMar>
          </w:tcPr>
          <w:p>
            <w:pPr>
              <w:spacing w:after="0"/>
            </w:pPr>
            <w:r>
              <w:rPr>
                <w:sz w:val="16"/>
              </w:rPr>
              <w:t>Document disclosures, decisions, tasks, deadlines, unresolved issues, and the next review point.</w:t>
            </w:r>
          </w:p>
        </w:tc>
      </w:tr>
    </w:tbl>
    <w:p>
      <w:pPr>
        <w:spacing w:after="0"/>
      </w:pPr>
    </w:p>
    <w:tbl>
      <w:tblPr>
        <w:tblW w:type="auto" w:w="0"/>
        <w:jc w:val="center"/>
        <w:tblLayout w:type="fixed"/>
        <w:tblLook w:firstColumn="1" w:firstRow="1" w:lastColumn="0" w:lastRow="0" w:noHBand="0" w:noVBand="1" w:val="04A0"/>
      </w:tblPr>
      <w:tblGrid>
        <w:gridCol w:w="9936"/>
      </w:tblGrid>
      <w:tr>
        <w:trPr>
          <w:cantSplit/>
          <w:tblHeader/>
        </w:trPr>
        <w:tc>
          <w:tcPr>
            <w:tcW w:type="dxa" w:w="10080"/>
            <w:shd w:fill="FFF4D6"/>
            <w:tcMar>
              <w:top w:w="150" w:type="dxa"/>
              <w:start w:w="180" w:type="dxa"/>
              <w:bottom w:w="150" w:type="dxa"/>
              <w:end w:w="180" w:type="dxa"/>
            </w:tcMar>
          </w:tcPr>
          <w:p>
            <w:pPr>
              <w:spacing w:after="80"/>
            </w:pPr>
            <w:r>
              <w:rPr>
                <w:b/>
                <w:i w:val="0"/>
                <w:color w:val="C17C00"/>
              </w:rPr>
              <w:t>Memory Aid</w:t>
            </w:r>
          </w:p>
          <w:p>
            <w:pPr>
              <w:spacing w:after="0"/>
            </w:pPr>
            <w:r>
              <w:t>TEAM: Target → Explicit authority → Assigned roles → Minimum necessary information and monitoring</w:t>
            </w:r>
          </w:p>
        </w:tc>
      </w:tr>
    </w:tbl>
    <w:p>
      <w:pPr>
        <w:spacing w:after="0"/>
      </w:pPr>
    </w:p>
    <w:p>
      <w:pPr>
        <w:pStyle w:val="Heading1"/>
      </w:pPr>
      <w:r>
        <w:t>11. Common Exam Traps</w:t>
      </w:r>
    </w:p>
    <w:tbl>
      <w:tblPr>
        <w:tblStyle w:val="TableGrid"/>
        <w:tblW w:type="auto" w:w="0"/>
        <w:jc w:val="center"/>
        <w:tblLayout w:type="fixed"/>
        <w:tblLook w:firstColumn="1" w:firstRow="1" w:lastColumn="0" w:lastRow="0" w:noHBand="0" w:noVBand="1" w:val="04A0"/>
      </w:tblPr>
      <w:tblGrid>
        <w:gridCol w:w="3888"/>
        <w:gridCol w:w="6048"/>
      </w:tblGrid>
      <w:tr>
        <w:trPr>
          <w:tblHeader w:val="true"/>
          <w:cantSplit/>
        </w:trPr>
        <w:tc>
          <w:tcPr>
            <w:tcW w:type="dxa" w:w="5040"/>
            <w:shd w:fill="17365D"/>
            <w:tcMar>
              <w:top w:w="100" w:type="dxa"/>
              <w:start w:w="120" w:type="dxa"/>
              <w:bottom w:w="100" w:type="dxa"/>
              <w:end w:w="120" w:type="dxa"/>
            </w:tcMar>
          </w:tcPr>
          <w:p>
            <w:pPr>
              <w:spacing w:after="0"/>
            </w:pPr>
            <w:r>
              <w:rPr>
                <w:b/>
                <w:color w:val="FFFFFF"/>
                <w:sz w:val="16"/>
              </w:rPr>
              <w:t>Trap</w:t>
            </w:r>
          </w:p>
        </w:tc>
        <w:tc>
          <w:tcPr>
            <w:tcW w:type="dxa" w:w="5040"/>
            <w:shd w:fill="17365D"/>
            <w:tcMar>
              <w:top w:w="100" w:type="dxa"/>
              <w:start w:w="120" w:type="dxa"/>
              <w:bottom w:w="100" w:type="dxa"/>
              <w:end w:w="120" w:type="dxa"/>
            </w:tcMar>
          </w:tcPr>
          <w:p>
            <w:pPr>
              <w:spacing w:after="0"/>
            </w:pPr>
            <w:r>
              <w:rPr>
                <w:b/>
                <w:color w:val="FFFFFF"/>
                <w:sz w:val="16"/>
              </w:rPr>
              <w:t>Correction</w:t>
            </w:r>
          </w:p>
        </w:tc>
      </w:tr>
      <w:tr>
        <w:trPr>
          <w:cantSplit/>
        </w:trPr>
        <w:tc>
          <w:tcPr>
            <w:tcW w:type="dxa" w:w="3888"/>
            <w:tcMar>
              <w:top w:w="100" w:type="dxa"/>
              <w:start w:w="120" w:type="dxa"/>
              <w:bottom w:w="100" w:type="dxa"/>
              <w:end w:w="120" w:type="dxa"/>
            </w:tcMar>
          </w:tcPr>
          <w:p>
            <w:pPr>
              <w:spacing w:after="0"/>
            </w:pPr>
            <w:r>
              <w:rPr>
                <w:sz w:val="16"/>
              </w:rPr>
              <w:t>Matching one vocabulary word to one theory</w:t>
            </w:r>
          </w:p>
        </w:tc>
        <w:tc>
          <w:tcPr>
            <w:tcW w:type="dxa" w:w="6048"/>
            <w:tcMar>
              <w:top w:w="100" w:type="dxa"/>
              <w:start w:w="120" w:type="dxa"/>
              <w:bottom w:w="100" w:type="dxa"/>
              <w:end w:w="120" w:type="dxa"/>
            </w:tcMar>
          </w:tcPr>
          <w:p>
            <w:pPr>
              <w:spacing w:after="0"/>
            </w:pPr>
            <w:r>
              <w:rPr>
                <w:sz w:val="16"/>
              </w:rPr>
              <w:t>Identify the maintaining mechanism and the change process the theory predicts.</w:t>
            </w:r>
          </w:p>
        </w:tc>
      </w:tr>
      <w:tr>
        <w:trPr>
          <w:cantSplit/>
        </w:trPr>
        <w:tc>
          <w:tcPr>
            <w:tcW w:type="dxa" w:w="3888"/>
            <w:tcMar>
              <w:top w:w="100" w:type="dxa"/>
              <w:start w:w="120" w:type="dxa"/>
              <w:bottom w:w="100" w:type="dxa"/>
              <w:end w:w="120" w:type="dxa"/>
            </w:tcMar>
            <w:shd w:fill="F7F8FA"/>
          </w:tcPr>
          <w:p>
            <w:pPr>
              <w:spacing w:after="0"/>
            </w:pPr>
            <w:r>
              <w:rPr>
                <w:sz w:val="16"/>
              </w:rPr>
              <w:t>Using several techniques without a formulation</w:t>
            </w:r>
          </w:p>
        </w:tc>
        <w:tc>
          <w:tcPr>
            <w:tcW w:type="dxa" w:w="6048"/>
            <w:tcMar>
              <w:top w:w="100" w:type="dxa"/>
              <w:start w:w="120" w:type="dxa"/>
              <w:bottom w:w="100" w:type="dxa"/>
              <w:end w:w="120" w:type="dxa"/>
            </w:tcMar>
            <w:shd w:fill="F7F8FA"/>
          </w:tcPr>
          <w:p>
            <w:pPr>
              <w:spacing w:after="0"/>
            </w:pPr>
            <w:r>
              <w:rPr>
                <w:sz w:val="16"/>
              </w:rPr>
              <w:t>Choose a coherent target, sequence, and evaluation plan.</w:t>
            </w:r>
          </w:p>
        </w:tc>
      </w:tr>
      <w:tr>
        <w:trPr>
          <w:cantSplit/>
        </w:trPr>
        <w:tc>
          <w:tcPr>
            <w:tcW w:type="dxa" w:w="3888"/>
            <w:tcMar>
              <w:top w:w="100" w:type="dxa"/>
              <w:start w:w="120" w:type="dxa"/>
              <w:bottom w:w="100" w:type="dxa"/>
              <w:end w:w="120" w:type="dxa"/>
            </w:tcMar>
          </w:tcPr>
          <w:p>
            <w:pPr>
              <w:spacing w:after="0"/>
            </w:pPr>
            <w:r>
              <w:rPr>
                <w:sz w:val="16"/>
              </w:rPr>
              <w:t>Selecting group treatment from diagnosis alone</w:t>
            </w:r>
          </w:p>
        </w:tc>
        <w:tc>
          <w:tcPr>
            <w:tcW w:type="dxa" w:w="6048"/>
            <w:tcMar>
              <w:top w:w="100" w:type="dxa"/>
              <w:start w:w="120" w:type="dxa"/>
              <w:bottom w:w="100" w:type="dxa"/>
              <w:end w:w="120" w:type="dxa"/>
            </w:tcMar>
          </w:tcPr>
          <w:p>
            <w:pPr>
              <w:spacing w:after="0"/>
            </w:pPr>
            <w:r>
              <w:rPr>
                <w:sz w:val="16"/>
              </w:rPr>
              <w:t>Assess purpose, readiness, risk, access, composition, and client preference.</w:t>
            </w:r>
          </w:p>
        </w:tc>
      </w:tr>
      <w:tr>
        <w:trPr>
          <w:cantSplit/>
        </w:trPr>
        <w:tc>
          <w:tcPr>
            <w:tcW w:type="dxa" w:w="3888"/>
            <w:tcMar>
              <w:top w:w="100" w:type="dxa"/>
              <w:start w:w="120" w:type="dxa"/>
              <w:bottom w:w="100" w:type="dxa"/>
              <w:end w:w="120" w:type="dxa"/>
            </w:tcMar>
            <w:shd w:fill="F7F8FA"/>
          </w:tcPr>
          <w:p>
            <w:pPr>
              <w:spacing w:after="0"/>
            </w:pPr>
            <w:r>
              <w:rPr>
                <w:sz w:val="16"/>
              </w:rPr>
              <w:t>Ignoring harmful group behavior</w:t>
            </w:r>
          </w:p>
        </w:tc>
        <w:tc>
          <w:tcPr>
            <w:tcW w:type="dxa" w:w="6048"/>
            <w:tcMar>
              <w:top w:w="100" w:type="dxa"/>
              <w:start w:w="120" w:type="dxa"/>
              <w:bottom w:w="100" w:type="dxa"/>
              <w:end w:w="120" w:type="dxa"/>
            </w:tcMar>
            <w:shd w:fill="F7F8FA"/>
          </w:tcPr>
          <w:p>
            <w:pPr>
              <w:spacing w:after="0"/>
            </w:pPr>
            <w:r>
              <w:rPr>
                <w:sz w:val="16"/>
              </w:rPr>
              <w:t>Protect safety, reinforce norms, assess impact, and facilitate accountable repair.</w:t>
            </w:r>
          </w:p>
        </w:tc>
      </w:tr>
      <w:tr>
        <w:trPr>
          <w:cantSplit/>
        </w:trPr>
        <w:tc>
          <w:tcPr>
            <w:tcW w:type="dxa" w:w="3888"/>
            <w:tcMar>
              <w:top w:w="100" w:type="dxa"/>
              <w:start w:w="120" w:type="dxa"/>
              <w:bottom w:w="100" w:type="dxa"/>
              <w:end w:w="120" w:type="dxa"/>
            </w:tcMar>
          </w:tcPr>
          <w:p>
            <w:pPr>
              <w:spacing w:after="0"/>
            </w:pPr>
            <w:r>
              <w:rPr>
                <w:sz w:val="16"/>
              </w:rPr>
              <w:t>Referring to avoid a difficult client</w:t>
            </w:r>
          </w:p>
        </w:tc>
        <w:tc>
          <w:tcPr>
            <w:tcW w:type="dxa" w:w="6048"/>
            <w:tcMar>
              <w:top w:w="100" w:type="dxa"/>
              <w:start w:w="120" w:type="dxa"/>
              <w:bottom w:w="100" w:type="dxa"/>
              <w:end w:w="120" w:type="dxa"/>
            </w:tcMar>
          </w:tcPr>
          <w:p>
            <w:pPr>
              <w:spacing w:after="0"/>
            </w:pPr>
            <w:r>
              <w:rPr>
                <w:sz w:val="16"/>
              </w:rPr>
              <w:t>Use consultation, adaptation, or referral based on competence, need, and continuity.</w:t>
            </w:r>
          </w:p>
        </w:tc>
      </w:tr>
      <w:tr>
        <w:trPr>
          <w:cantSplit/>
        </w:trPr>
        <w:tc>
          <w:tcPr>
            <w:tcW w:type="dxa" w:w="3888"/>
            <w:tcMar>
              <w:top w:w="100" w:type="dxa"/>
              <w:start w:w="120" w:type="dxa"/>
              <w:bottom w:w="100" w:type="dxa"/>
              <w:end w:w="120" w:type="dxa"/>
            </w:tcMar>
            <w:shd w:fill="F7F8FA"/>
          </w:tcPr>
          <w:p>
            <w:pPr>
              <w:spacing w:after="0"/>
            </w:pPr>
            <w:r>
              <w:rPr>
                <w:sz w:val="16"/>
              </w:rPr>
              <w:t>Sending broad records to a team</w:t>
            </w:r>
          </w:p>
        </w:tc>
        <w:tc>
          <w:tcPr>
            <w:tcW w:type="dxa" w:w="6048"/>
            <w:tcMar>
              <w:top w:w="100" w:type="dxa"/>
              <w:start w:w="120" w:type="dxa"/>
              <w:bottom w:w="100" w:type="dxa"/>
              <w:end w:w="120" w:type="dxa"/>
            </w:tcMar>
            <w:shd w:fill="F7F8FA"/>
          </w:tcPr>
          <w:p>
            <w:pPr>
              <w:spacing w:after="0"/>
            </w:pPr>
            <w:r>
              <w:rPr>
                <w:sz w:val="16"/>
              </w:rPr>
              <w:t>Clarify authority and share only relevant information needed for the defined purpose.</w:t>
            </w:r>
          </w:p>
        </w:tc>
      </w:tr>
      <w:tr>
        <w:trPr>
          <w:cantSplit/>
        </w:trPr>
        <w:tc>
          <w:tcPr>
            <w:tcW w:type="dxa" w:w="3888"/>
            <w:tcMar>
              <w:top w:w="100" w:type="dxa"/>
              <w:start w:w="120" w:type="dxa"/>
              <w:bottom w:w="100" w:type="dxa"/>
              <w:end w:w="120" w:type="dxa"/>
            </w:tcMar>
          </w:tcPr>
          <w:p>
            <w:pPr>
              <w:spacing w:after="0"/>
            </w:pPr>
            <w:r>
              <w:rPr>
                <w:sz w:val="16"/>
              </w:rPr>
              <w:t>Following team consensus automatically</w:t>
            </w:r>
          </w:p>
        </w:tc>
        <w:tc>
          <w:tcPr>
            <w:tcW w:type="dxa" w:w="6048"/>
            <w:tcMar>
              <w:top w:w="100" w:type="dxa"/>
              <w:start w:w="120" w:type="dxa"/>
              <w:bottom w:w="100" w:type="dxa"/>
              <w:end w:w="120" w:type="dxa"/>
            </w:tcMar>
          </w:tcPr>
          <w:p>
            <w:pPr>
              <w:spacing w:after="0"/>
            </w:pPr>
            <w:r>
              <w:rPr>
                <w:sz w:val="16"/>
              </w:rPr>
              <w:t>Maintain independent clinical, ethical, and legal judgment.</w:t>
            </w:r>
          </w:p>
        </w:tc>
      </w:tr>
    </w:tbl>
    <w:p>
      <w:pPr>
        <w:spacing w:after="0"/>
      </w:pPr>
    </w:p>
    <w:p>
      <w:pPr>
        <w:pStyle w:val="Heading1"/>
      </w:pPr>
      <w:r>
        <w:t>Worked Example 1: Theory Selection</w:t>
      </w:r>
    </w:p>
    <w:p>
      <w:r>
        <w:rPr>
          <w:i w:val="0"/>
        </w:rPr>
        <w:t>A parent becomes increasingly critical when an adolescent withdraws; the withdrawal increases the parent’s fear and criticism. A theory-informed answer should identify the circular maintaining process before choosing a method. Attachment-oriented work may access fear and need beneath criticism and withdrawal; structural work may be stronger if hierarchy and subsystem boundaries are the primary problem. The vignette determines which formulation is best supported.</w:t>
      </w:r>
    </w:p>
    <w:tbl>
      <w:tblPr>
        <w:tblW w:type="auto" w:w="0"/>
        <w:jc w:val="center"/>
        <w:tblLayout w:type="fixed"/>
        <w:tblLook w:firstColumn="1" w:firstRow="1" w:lastColumn="0" w:lastRow="0" w:noHBand="0" w:noVBand="1" w:val="04A0"/>
      </w:tblPr>
      <w:tblGrid>
        <w:gridCol w:w="9936"/>
      </w:tblGrid>
      <w:tr>
        <w:trPr>
          <w:cantSplit/>
          <w:tblHeader/>
        </w:trPr>
        <w:tc>
          <w:tcPr>
            <w:tcW w:type="dxa" w:w="10080"/>
            <w:shd w:fill="E7F5F4"/>
            <w:tcMar>
              <w:top w:w="150" w:type="dxa"/>
              <w:start w:w="180" w:type="dxa"/>
              <w:bottom w:w="150" w:type="dxa"/>
              <w:end w:w="180" w:type="dxa"/>
            </w:tcMar>
          </w:tcPr>
          <w:p>
            <w:pPr>
              <w:spacing w:after="80"/>
            </w:pPr>
            <w:r>
              <w:rPr>
                <w:b/>
                <w:i w:val="0"/>
                <w:color w:val="0F7C82"/>
              </w:rPr>
              <w:t>Best Reasoning</w:t>
            </w:r>
          </w:p>
          <w:p>
            <w:pPr>
              <w:spacing w:after="0"/>
            </w:pPr>
            <w:r>
              <w:t>Choose the theory that explains the dominant maintaining process—not the theory with the most familiar technique.</w:t>
            </w:r>
          </w:p>
        </w:tc>
      </w:tr>
    </w:tbl>
    <w:p>
      <w:pPr>
        <w:spacing w:after="0"/>
      </w:pPr>
    </w:p>
    <w:p>
      <w:pPr>
        <w:pStyle w:val="Heading1"/>
      </w:pPr>
      <w:r>
        <w:t>Worked Example 2: Referral and Team Coordination</w:t>
      </w:r>
    </w:p>
    <w:p>
      <w:r>
        <w:rPr>
          <w:i w:val="0"/>
        </w:rPr>
        <w:t>A client develops possible medication side effects and asks the LMFT whether to stop the medication. The therapist assesses urgency and safety, stays within scope, encourages prompt contact with the prescriber or medical service, coordinates with authorization, and continues relevant psychotherapy. The therapist neither prescribes nor abandons the clinical role.</w:t>
      </w:r>
    </w:p>
    <w:tbl>
      <w:tblPr>
        <w:tblW w:type="auto" w:w="0"/>
        <w:jc w:val="center"/>
        <w:tblLayout w:type="fixed"/>
        <w:tblLook w:firstColumn="1" w:firstRow="1" w:lastColumn="0" w:lastRow="0" w:noHBand="0" w:noVBand="1" w:val="04A0"/>
      </w:tblPr>
      <w:tblGrid>
        <w:gridCol w:w="9936"/>
      </w:tblGrid>
      <w:tr>
        <w:trPr>
          <w:cantSplit/>
          <w:tblHeader/>
        </w:trPr>
        <w:tc>
          <w:tcPr>
            <w:tcW w:type="dxa" w:w="10080"/>
            <w:shd w:fill="E7F5F4"/>
            <w:tcMar>
              <w:top w:w="150" w:type="dxa"/>
              <w:start w:w="180" w:type="dxa"/>
              <w:bottom w:w="150" w:type="dxa"/>
              <w:end w:w="180" w:type="dxa"/>
            </w:tcMar>
          </w:tcPr>
          <w:p>
            <w:pPr>
              <w:spacing w:after="80"/>
            </w:pPr>
            <w:r>
              <w:rPr>
                <w:b/>
                <w:i w:val="0"/>
                <w:color w:val="0F7C82"/>
              </w:rPr>
              <w:t>Best Reasoning</w:t>
            </w:r>
          </w:p>
          <w:p>
            <w:pPr>
              <w:spacing w:after="0"/>
            </w:pPr>
            <w:r>
              <w:t>Use adjunctive expertise while preserving scope, consent, continuity, and follow-up.</w:t>
            </w:r>
          </w:p>
        </w:tc>
      </w:tr>
    </w:tbl>
    <w:p>
      <w:pPr>
        <w:spacing w:after="0"/>
      </w:pPr>
    </w:p>
    <w:p>
      <w:pPr>
        <w:pStyle w:val="Heading1"/>
        <w:pageBreakBefore/>
      </w:pPr>
      <w:r>
        <w:t>Theory, Group, and Collaboration Worksheet</w:t>
      </w:r>
    </w:p>
    <w:tbl>
      <w:tblPr>
        <w:tblStyle w:val="TableGrid"/>
        <w:tblW w:type="auto" w:w="0"/>
        <w:jc w:val="center"/>
        <w:tblLayout w:type="fixed"/>
        <w:tblLook w:firstColumn="1" w:firstRow="1" w:lastColumn="0" w:lastRow="0" w:noHBand="0" w:noVBand="1" w:val="04A0"/>
      </w:tblPr>
      <w:tblGrid>
        <w:gridCol w:w="5976"/>
        <w:gridCol w:w="3960"/>
      </w:tblGrid>
      <w:tr>
        <w:trPr>
          <w:tblHeader w:val="true"/>
          <w:cantSplit/>
        </w:trPr>
        <w:tc>
          <w:tcPr>
            <w:tcW w:type="dxa" w:w="5040"/>
            <w:shd w:fill="17365D"/>
            <w:tcMar>
              <w:top w:w="100" w:type="dxa"/>
              <w:start w:w="120" w:type="dxa"/>
              <w:bottom w:w="100" w:type="dxa"/>
              <w:end w:w="120" w:type="dxa"/>
            </w:tcMar>
          </w:tcPr>
          <w:p>
            <w:pPr>
              <w:spacing w:after="0"/>
            </w:pPr>
            <w:r>
              <w:rPr>
                <w:b/>
                <w:color w:val="FFFFFF"/>
                <w:sz w:val="16"/>
              </w:rPr>
              <w:t>Prompt</w:t>
            </w:r>
          </w:p>
        </w:tc>
        <w:tc>
          <w:tcPr>
            <w:tcW w:type="dxa" w:w="5040"/>
            <w:shd w:fill="17365D"/>
            <w:tcMar>
              <w:top w:w="100" w:type="dxa"/>
              <w:start w:w="120" w:type="dxa"/>
              <w:bottom w:w="100" w:type="dxa"/>
              <w:end w:w="120" w:type="dxa"/>
            </w:tcMar>
          </w:tcPr>
          <w:p>
            <w:pPr>
              <w:spacing w:after="0"/>
            </w:pPr>
            <w:r>
              <w:rPr>
                <w:b/>
                <w:color w:val="FFFFFF"/>
                <w:sz w:val="16"/>
              </w:rPr>
              <w:t>Notes</w:t>
            </w:r>
          </w:p>
        </w:tc>
      </w:tr>
      <w:tr>
        <w:trPr>
          <w:cantSplit/>
        </w:trPr>
        <w:tc>
          <w:tcPr>
            <w:tcW w:type="dxa" w:w="5976"/>
            <w:tcMar>
              <w:top w:w="100" w:type="dxa"/>
              <w:start w:w="120" w:type="dxa"/>
              <w:bottom w:w="100" w:type="dxa"/>
              <w:end w:w="120" w:type="dxa"/>
            </w:tcMar>
          </w:tcPr>
          <w:p>
            <w:pPr>
              <w:spacing w:after="0"/>
            </w:pPr>
            <w:r>
              <w:rPr>
                <w:sz w:val="16"/>
              </w:rPr>
              <w:t>Presenting target, treatment unit, immediate safety, and client-defined goal</w:t>
            </w:r>
          </w:p>
        </w:tc>
        <w:tc>
          <w:tcPr>
            <w:tcW w:type="dxa" w:w="3960"/>
            <w:tcMar>
              <w:top w:w="100" w:type="dxa"/>
              <w:start w:w="120" w:type="dxa"/>
              <w:bottom w:w="100" w:type="dxa"/>
              <w:end w:w="120" w:type="dxa"/>
            </w:tcMar>
          </w:tcPr>
          <w:p>
            <w:pPr>
              <w:spacing w:after="0"/>
            </w:pPr>
            <w:r>
              <w:rPr>
                <w:sz w:val="16"/>
              </w:rPr>
            </w:r>
          </w:p>
        </w:tc>
      </w:tr>
      <w:tr>
        <w:trPr>
          <w:cantSplit/>
        </w:trPr>
        <w:tc>
          <w:tcPr>
            <w:tcW w:type="dxa" w:w="5976"/>
            <w:tcMar>
              <w:top w:w="100" w:type="dxa"/>
              <w:start w:w="120" w:type="dxa"/>
              <w:bottom w:w="100" w:type="dxa"/>
              <w:end w:w="120" w:type="dxa"/>
            </w:tcMar>
            <w:shd w:fill="F7F8FA"/>
          </w:tcPr>
          <w:p>
            <w:pPr>
              <w:spacing w:after="0"/>
            </w:pPr>
            <w:r>
              <w:rPr>
                <w:sz w:val="16"/>
              </w:rPr>
              <w:t>Observed maintaining cycle, belief, boundary, avoidance, attachment response, or attempted solution</w:t>
            </w:r>
          </w:p>
        </w:tc>
        <w:tc>
          <w:tcPr>
            <w:tcW w:type="dxa" w:w="3960"/>
            <w:tcMar>
              <w:top w:w="100" w:type="dxa"/>
              <w:start w:w="120" w:type="dxa"/>
              <w:bottom w:w="100" w:type="dxa"/>
              <w:end w:w="120" w:type="dxa"/>
            </w:tcMar>
            <w:shd w:fill="F7F8FA"/>
          </w:tcPr>
          <w:p>
            <w:pPr>
              <w:spacing w:after="0"/>
            </w:pPr>
            <w:r>
              <w:rPr>
                <w:sz w:val="16"/>
              </w:rPr>
            </w:r>
          </w:p>
        </w:tc>
      </w:tr>
      <w:tr>
        <w:trPr>
          <w:cantSplit/>
        </w:trPr>
        <w:tc>
          <w:tcPr>
            <w:tcW w:type="dxa" w:w="5976"/>
            <w:tcMar>
              <w:top w:w="100" w:type="dxa"/>
              <w:start w:w="120" w:type="dxa"/>
              <w:bottom w:w="100" w:type="dxa"/>
              <w:end w:w="120" w:type="dxa"/>
            </w:tcMar>
          </w:tcPr>
          <w:p>
            <w:pPr>
              <w:spacing w:after="0"/>
            </w:pPr>
            <w:r>
              <w:rPr>
                <w:sz w:val="16"/>
              </w:rPr>
              <w:t>Primary theory and evidence supporting the formulation</w:t>
            </w:r>
          </w:p>
        </w:tc>
        <w:tc>
          <w:tcPr>
            <w:tcW w:type="dxa" w:w="3960"/>
            <w:tcMar>
              <w:top w:w="100" w:type="dxa"/>
              <w:start w:w="120" w:type="dxa"/>
              <w:bottom w:w="100" w:type="dxa"/>
              <w:end w:w="120" w:type="dxa"/>
            </w:tcMar>
          </w:tcPr>
          <w:p>
            <w:pPr>
              <w:spacing w:after="0"/>
            </w:pPr>
            <w:r>
              <w:rPr>
                <w:sz w:val="16"/>
              </w:rPr>
            </w:r>
          </w:p>
        </w:tc>
      </w:tr>
      <w:tr>
        <w:trPr>
          <w:cantSplit/>
        </w:trPr>
        <w:tc>
          <w:tcPr>
            <w:tcW w:type="dxa" w:w="5976"/>
            <w:tcMar>
              <w:top w:w="100" w:type="dxa"/>
              <w:start w:w="120" w:type="dxa"/>
              <w:bottom w:w="100" w:type="dxa"/>
              <w:end w:w="120" w:type="dxa"/>
            </w:tcMar>
            <w:shd w:fill="F7F8FA"/>
          </w:tcPr>
          <w:p>
            <w:pPr>
              <w:spacing w:after="0"/>
            </w:pPr>
            <w:r>
              <w:rPr>
                <w:sz w:val="16"/>
              </w:rPr>
              <w:t>Theory-informed intervention and predicted observable change</w:t>
            </w:r>
          </w:p>
        </w:tc>
        <w:tc>
          <w:tcPr>
            <w:tcW w:type="dxa" w:w="3960"/>
            <w:tcMar>
              <w:top w:w="100" w:type="dxa"/>
              <w:start w:w="120" w:type="dxa"/>
              <w:bottom w:w="100" w:type="dxa"/>
              <w:end w:w="120" w:type="dxa"/>
            </w:tcMar>
            <w:shd w:fill="F7F8FA"/>
          </w:tcPr>
          <w:p>
            <w:pPr>
              <w:spacing w:after="0"/>
            </w:pPr>
            <w:r>
              <w:rPr>
                <w:sz w:val="16"/>
              </w:rPr>
            </w:r>
          </w:p>
        </w:tc>
      </w:tr>
      <w:tr>
        <w:trPr>
          <w:cantSplit/>
        </w:trPr>
        <w:tc>
          <w:tcPr>
            <w:tcW w:type="dxa" w:w="5976"/>
            <w:tcMar>
              <w:top w:w="100" w:type="dxa"/>
              <w:start w:w="120" w:type="dxa"/>
              <w:bottom w:w="100" w:type="dxa"/>
              <w:end w:w="120" w:type="dxa"/>
            </w:tcMar>
          </w:tcPr>
          <w:p>
            <w:pPr>
              <w:spacing w:after="0"/>
            </w:pPr>
            <w:r>
              <w:rPr>
                <w:sz w:val="16"/>
              </w:rPr>
              <w:t>Developmental, cultural, language, access, preference, and competence considerations</w:t>
            </w:r>
          </w:p>
        </w:tc>
        <w:tc>
          <w:tcPr>
            <w:tcW w:type="dxa" w:w="3960"/>
            <w:tcMar>
              <w:top w:w="100" w:type="dxa"/>
              <w:start w:w="120" w:type="dxa"/>
              <w:bottom w:w="100" w:type="dxa"/>
              <w:end w:w="120" w:type="dxa"/>
            </w:tcMar>
          </w:tcPr>
          <w:p>
            <w:pPr>
              <w:spacing w:after="0"/>
            </w:pPr>
            <w:r>
              <w:rPr>
                <w:sz w:val="16"/>
              </w:rPr>
            </w:r>
          </w:p>
        </w:tc>
      </w:tr>
      <w:tr>
        <w:trPr>
          <w:cantSplit/>
        </w:trPr>
        <w:tc>
          <w:tcPr>
            <w:tcW w:type="dxa" w:w="5976"/>
            <w:tcMar>
              <w:top w:w="100" w:type="dxa"/>
              <w:start w:w="120" w:type="dxa"/>
              <w:bottom w:w="100" w:type="dxa"/>
              <w:end w:w="120" w:type="dxa"/>
            </w:tcMar>
            <w:shd w:fill="F7F8FA"/>
          </w:tcPr>
          <w:p>
            <w:pPr>
              <w:spacing w:after="0"/>
            </w:pPr>
            <w:r>
              <w:rPr>
                <w:sz w:val="16"/>
              </w:rPr>
              <w:t>Group purpose, readiness, composition, stage, and safety if relevant</w:t>
            </w:r>
          </w:p>
        </w:tc>
        <w:tc>
          <w:tcPr>
            <w:tcW w:type="dxa" w:w="3960"/>
            <w:tcMar>
              <w:top w:w="100" w:type="dxa"/>
              <w:start w:w="120" w:type="dxa"/>
              <w:bottom w:w="100" w:type="dxa"/>
              <w:end w:w="120" w:type="dxa"/>
            </w:tcMar>
            <w:shd w:fill="F7F8FA"/>
          </w:tcPr>
          <w:p>
            <w:pPr>
              <w:spacing w:after="0"/>
            </w:pPr>
            <w:r>
              <w:rPr>
                <w:sz w:val="16"/>
              </w:rPr>
            </w:r>
          </w:p>
        </w:tc>
      </w:tr>
      <w:tr>
        <w:trPr>
          <w:cantSplit/>
        </w:trPr>
        <w:tc>
          <w:tcPr>
            <w:tcW w:type="dxa" w:w="5976"/>
            <w:tcMar>
              <w:top w:w="100" w:type="dxa"/>
              <w:start w:w="120" w:type="dxa"/>
              <w:bottom w:w="100" w:type="dxa"/>
              <w:end w:w="120" w:type="dxa"/>
            </w:tcMar>
          </w:tcPr>
          <w:p>
            <w:pPr>
              <w:spacing w:after="0"/>
            </w:pPr>
            <w:r>
              <w:rPr>
                <w:sz w:val="16"/>
              </w:rPr>
              <w:t>Consultation, referral, adjunctive care, or higher level of care needed</w:t>
            </w:r>
          </w:p>
        </w:tc>
        <w:tc>
          <w:tcPr>
            <w:tcW w:type="dxa" w:w="3960"/>
            <w:tcMar>
              <w:top w:w="100" w:type="dxa"/>
              <w:start w:w="120" w:type="dxa"/>
              <w:bottom w:w="100" w:type="dxa"/>
              <w:end w:w="120" w:type="dxa"/>
            </w:tcMar>
          </w:tcPr>
          <w:p>
            <w:pPr>
              <w:spacing w:after="0"/>
            </w:pPr>
            <w:r>
              <w:rPr>
                <w:sz w:val="16"/>
              </w:rPr>
            </w:r>
          </w:p>
        </w:tc>
      </w:tr>
      <w:tr>
        <w:trPr>
          <w:cantSplit/>
        </w:trPr>
        <w:tc>
          <w:tcPr>
            <w:tcW w:type="dxa" w:w="5976"/>
            <w:tcMar>
              <w:top w:w="100" w:type="dxa"/>
              <w:start w:w="120" w:type="dxa"/>
              <w:bottom w:w="100" w:type="dxa"/>
              <w:end w:w="120" w:type="dxa"/>
            </w:tcMar>
            <w:shd w:fill="F7F8FA"/>
          </w:tcPr>
          <w:p>
            <w:pPr>
              <w:spacing w:after="0"/>
            </w:pPr>
            <w:r>
              <w:rPr>
                <w:sz w:val="16"/>
              </w:rPr>
              <w:t>Consent, roles, information limits, responsibilities, and follow-up</w:t>
            </w:r>
          </w:p>
        </w:tc>
        <w:tc>
          <w:tcPr>
            <w:tcW w:type="dxa" w:w="3960"/>
            <w:tcMar>
              <w:top w:w="100" w:type="dxa"/>
              <w:start w:w="120" w:type="dxa"/>
              <w:bottom w:w="100" w:type="dxa"/>
              <w:end w:w="120" w:type="dxa"/>
            </w:tcMar>
            <w:shd w:fill="F7F8FA"/>
          </w:tcPr>
          <w:p>
            <w:pPr>
              <w:spacing w:after="0"/>
            </w:pPr>
            <w:r>
              <w:rPr>
                <w:sz w:val="16"/>
              </w:rPr>
            </w:r>
          </w:p>
        </w:tc>
      </w:tr>
      <w:tr>
        <w:trPr>
          <w:cantSplit/>
        </w:trPr>
        <w:tc>
          <w:tcPr>
            <w:tcW w:type="dxa" w:w="5976"/>
            <w:tcMar>
              <w:top w:w="100" w:type="dxa"/>
              <w:start w:w="120" w:type="dxa"/>
              <w:bottom w:w="100" w:type="dxa"/>
              <w:end w:w="120" w:type="dxa"/>
            </w:tcMar>
          </w:tcPr>
          <w:p>
            <w:pPr>
              <w:spacing w:after="0"/>
            </w:pPr>
            <w:r>
              <w:rPr>
                <w:sz w:val="16"/>
              </w:rPr>
              <w:t>Outcome and alliance indicators; criteria for revision</w:t>
            </w:r>
          </w:p>
        </w:tc>
        <w:tc>
          <w:tcPr>
            <w:tcW w:type="dxa" w:w="3960"/>
            <w:tcMar>
              <w:top w:w="100" w:type="dxa"/>
              <w:start w:w="120" w:type="dxa"/>
              <w:bottom w:w="100" w:type="dxa"/>
              <w:end w:w="120" w:type="dxa"/>
            </w:tcMar>
          </w:tcPr>
          <w:p>
            <w:pPr>
              <w:spacing w:after="0"/>
            </w:pPr>
            <w:r>
              <w:rPr>
                <w:sz w:val="16"/>
              </w:rPr>
            </w:r>
          </w:p>
        </w:tc>
      </w:tr>
    </w:tbl>
    <w:p>
      <w:pPr>
        <w:spacing w:after="0"/>
      </w:pPr>
    </w:p>
    <w:p>
      <w:pPr>
        <w:pStyle w:val="Heading1"/>
      </w:pPr>
      <w:r>
        <w:t>Chapter Summary</w:t>
      </w:r>
    </w:p>
    <w:p>
      <w:pPr>
        <w:pStyle w:val="ListBullet"/>
      </w:pPr>
      <w:r>
        <w:t>Use THEORY: identify the target, state the hypothesis, examine the evidence, match the orientation, assess readiness, and review the yield of the intervention.</w:t>
      </w:r>
    </w:p>
    <w:p>
      <w:pPr>
        <w:pStyle w:val="ListBullet"/>
      </w:pPr>
      <w:r>
        <w:t>Choose a theory because its maintaining mechanism fits the vignette—not because a single vocabulary word appears in the stem.</w:t>
      </w:r>
    </w:p>
    <w:p>
      <w:pPr>
        <w:pStyle w:val="ListBullet"/>
      </w:pPr>
      <w:r>
        <w:t>Use GROUP: clarify the goal, assess readiness, organize the format, explain confidentiality limits, and monitor process and safety.</w:t>
      </w:r>
    </w:p>
    <w:p>
      <w:pPr>
        <w:pStyle w:val="ListBullet"/>
      </w:pPr>
      <w:r>
        <w:t>Consultation supports the therapist while responsibility remains; referral or transfer changes who provides a needed service and requires continuity planning.</w:t>
      </w:r>
    </w:p>
    <w:p>
      <w:pPr>
        <w:pStyle w:val="ListBullet"/>
      </w:pPr>
      <w:r>
        <w:t>Use TEAM: define the target, verify authority, assign roles, share the minimum relevant information, monitor follow-through, and preserve independent clinical judgment.</w:t>
      </w:r>
    </w:p>
    <w:p>
      <w:pPr>
        <w:pStyle w:val="Heading1"/>
        <w:pageBreakBefore/>
      </w:pPr>
      <w:r>
        <w:t>Knowledge Check</w:t>
      </w:r>
    </w:p>
    <w:p>
      <w:r>
        <w:rPr>
          <w:i w:val="0"/>
        </w:rPr>
        <w:t>Complete all 10 original CTA practice questions before reviewing the answer key. Record your answer and confidence level. The set emphasizes theory function, structural, Bowen, strategic and solution-focused reasoning, group screening and process, specialty referral, interdisciplinary collaboration, and integrated treatment revision.</w:t>
      </w:r>
    </w:p>
    <w:tbl>
      <w:tblPr>
        <w:tblStyle w:val="TableGrid"/>
        <w:tblW w:type="auto" w:w="0"/>
        <w:jc w:val="center"/>
        <w:tblLayout w:type="fixed"/>
        <w:tblLook w:firstColumn="1" w:firstRow="1" w:lastColumn="0" w:lastRow="0" w:noHBand="0" w:noVBand="1" w:val="04A0"/>
      </w:tblPr>
      <w:tblGrid>
        <w:gridCol w:w="1728"/>
        <w:gridCol w:w="2736"/>
        <w:gridCol w:w="2736"/>
        <w:gridCol w:w="2736"/>
      </w:tblGrid>
      <w:tr>
        <w:trPr>
          <w:tblHeader w:val="true"/>
          <w:cantSplit/>
        </w:trPr>
        <w:tc>
          <w:tcPr>
            <w:tcW w:type="dxa" w:w="2520"/>
            <w:shd w:fill="17365D"/>
            <w:tcMar>
              <w:top w:w="100" w:type="dxa"/>
              <w:start w:w="120" w:type="dxa"/>
              <w:bottom w:w="100" w:type="dxa"/>
              <w:end w:w="120" w:type="dxa"/>
            </w:tcMar>
          </w:tcPr>
          <w:p>
            <w:pPr>
              <w:spacing w:after="0"/>
            </w:pPr>
            <w:r>
              <w:rPr>
                <w:b/>
                <w:color w:val="FFFFFF"/>
                <w:sz w:val="18"/>
              </w:rPr>
              <w:t>Question</w:t>
            </w:r>
          </w:p>
        </w:tc>
        <w:tc>
          <w:tcPr>
            <w:tcW w:type="dxa" w:w="2520"/>
            <w:shd w:fill="17365D"/>
            <w:tcMar>
              <w:top w:w="100" w:type="dxa"/>
              <w:start w:w="120" w:type="dxa"/>
              <w:bottom w:w="100" w:type="dxa"/>
              <w:end w:w="120" w:type="dxa"/>
            </w:tcMar>
          </w:tcPr>
          <w:p>
            <w:pPr>
              <w:spacing w:after="0"/>
            </w:pPr>
            <w:r>
              <w:rPr>
                <w:b/>
                <w:color w:val="FFFFFF"/>
                <w:sz w:val="18"/>
              </w:rPr>
              <w:t>Your Answer</w:t>
            </w:r>
          </w:p>
        </w:tc>
        <w:tc>
          <w:tcPr>
            <w:tcW w:type="dxa" w:w="2520"/>
            <w:shd w:fill="17365D"/>
            <w:tcMar>
              <w:top w:w="100" w:type="dxa"/>
              <w:start w:w="120" w:type="dxa"/>
              <w:bottom w:w="100" w:type="dxa"/>
              <w:end w:w="120" w:type="dxa"/>
            </w:tcMar>
          </w:tcPr>
          <w:p>
            <w:pPr>
              <w:spacing w:after="0"/>
            </w:pPr>
            <w:r>
              <w:rPr>
                <w:b/>
                <w:color w:val="FFFFFF"/>
                <w:sz w:val="18"/>
              </w:rPr>
              <w:t>Confidence (1-3)</w:t>
            </w:r>
          </w:p>
        </w:tc>
        <w:tc>
          <w:tcPr>
            <w:tcW w:type="dxa" w:w="2520"/>
            <w:shd w:fill="17365D"/>
            <w:tcMar>
              <w:top w:w="100" w:type="dxa"/>
              <w:start w:w="120" w:type="dxa"/>
              <w:bottom w:w="100" w:type="dxa"/>
              <w:end w:w="120" w:type="dxa"/>
            </w:tcMar>
          </w:tcPr>
          <w:p>
            <w:pPr>
              <w:spacing w:after="0"/>
            </w:pPr>
            <w:r>
              <w:rPr>
                <w:b/>
                <w:color w:val="FFFFFF"/>
                <w:sz w:val="18"/>
              </w:rPr>
              <w:t>Review?</w:t>
            </w:r>
          </w:p>
        </w:tc>
      </w:tr>
      <w:tr>
        <w:trPr>
          <w:cantSplit/>
        </w:trPr>
        <w:tc>
          <w:tcPr>
            <w:tcW w:type="dxa" w:w="1728"/>
            <w:tcMar>
              <w:top w:w="100" w:type="dxa"/>
              <w:start w:w="120" w:type="dxa"/>
              <w:bottom w:w="100" w:type="dxa"/>
              <w:end w:w="120" w:type="dxa"/>
            </w:tcMar>
          </w:tcPr>
          <w:p>
            <w:pPr>
              <w:spacing w:after="0"/>
            </w:pPr>
            <w:r>
              <w:rPr>
                <w:sz w:val="18"/>
              </w:rPr>
              <w:t>1</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2</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3</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4</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5</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6</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7</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8</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9</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10</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bl>
    <w:p>
      <w:pPr>
        <w:spacing w:after="0"/>
      </w:pPr>
    </w:p>
    <w:p>
      <w:pPr>
        <w:keepNext/>
        <w:spacing w:before="120" w:after="40" w:line="240" w:lineRule="auto"/>
      </w:pPr>
      <w:r>
        <w:t>LMFT-WB11-Q001 | Recall | Easy | Primary concept: Function of clinical theory</w:t>
      </w:r>
    </w:p>
    <w:p>
      <w:pPr>
        <w:keepNext/>
        <w:keepLines/>
        <w:spacing w:before="60"/>
      </w:pPr>
      <w:r>
        <w:rPr>
          <w:b/>
          <w:i w:val="0"/>
        </w:rPr>
        <w:t>1. What is the PRIMARY purpose of a clinical theory in treatment?</w:t>
      </w:r>
    </w:p>
    <w:p>
      <w:pPr>
        <w:keepNext/>
        <w:keepLines/>
        <w:spacing w:after="20"/>
        <w:ind w:left="259"/>
      </w:pPr>
      <w:r>
        <w:t>A. To provide a fixed script that applies to every client.</w:t>
      </w:r>
    </w:p>
    <w:p>
      <w:pPr>
        <w:keepNext/>
        <w:keepLines/>
        <w:spacing w:after="20"/>
        <w:ind w:left="259"/>
      </w:pPr>
      <w:r>
        <w:t>B. To establish which participant is responsible for the problem.</w:t>
      </w:r>
    </w:p>
    <w:p>
      <w:pPr>
        <w:keepNext/>
        <w:keepLines/>
        <w:spacing w:after="20"/>
        <w:ind w:left="259"/>
      </w:pPr>
      <w:r>
        <w:t>C. To replace ongoing assessment once treatment begins.</w:t>
      </w:r>
    </w:p>
    <w:p>
      <w:pPr>
        <w:keepNext/>
        <w:keepLines/>
        <w:spacing w:after="20"/>
        <w:ind w:left="259"/>
      </w:pPr>
      <w:r>
        <w:t>D. To explain relevant maintaining processes and guide assessment, intervention, and evaluation.</w:t>
      </w:r>
    </w:p>
    <w:p>
      <w:pPr>
        <w:keepNext w:val="0"/>
        <w:spacing w:before="0" w:after="120" w:line="240" w:lineRule="auto"/>
      </w:pPr>
      <w:r>
        <w:t>My answer: ______  Confidence: 1  2  3</w:t>
      </w:r>
    </w:p>
    <w:p>
      <w:pPr>
        <w:keepNext/>
        <w:spacing w:before="120" w:after="40" w:line="240" w:lineRule="auto"/>
      </w:pPr>
      <w:r>
        <w:t>LMFT-WB11-Q002 | Recall | Easy | Primary concept: Structural family therapy</w:t>
      </w:r>
    </w:p>
    <w:p>
      <w:pPr>
        <w:keepNext/>
        <w:keepLines/>
        <w:spacing w:before="60"/>
      </w:pPr>
      <w:r>
        <w:rPr>
          <w:b/>
          <w:i w:val="0"/>
        </w:rPr>
        <w:t>2. Which clinical feature is MOST central to structural family therapy?</w:t>
      </w:r>
    </w:p>
    <w:p>
      <w:pPr>
        <w:keepNext/>
        <w:keepLines/>
        <w:spacing w:after="20"/>
        <w:ind w:left="259"/>
      </w:pPr>
      <w:r>
        <w:t>A. Hierarchy, boundaries, subsystems, and interactional organization.</w:t>
      </w:r>
    </w:p>
    <w:p>
      <w:pPr>
        <w:keepNext/>
        <w:keepLines/>
        <w:spacing w:after="20"/>
        <w:ind w:left="259"/>
      </w:pPr>
      <w:r>
        <w:t>B. Irrational beliefs and cognitive distortions.</w:t>
      </w:r>
    </w:p>
    <w:p>
      <w:pPr>
        <w:keepNext/>
        <w:keepLines/>
        <w:spacing w:after="20"/>
        <w:ind w:left="259"/>
      </w:pPr>
      <w:r>
        <w:t>C. Unresolved stages of psychosexual development.</w:t>
      </w:r>
    </w:p>
    <w:p>
      <w:pPr>
        <w:keepNext/>
        <w:keepLines/>
        <w:spacing w:after="20"/>
        <w:ind w:left="259"/>
      </w:pPr>
      <w:r>
        <w:t>D. Exceptions to the presenting problem only.</w:t>
      </w:r>
    </w:p>
    <w:p>
      <w:pPr>
        <w:keepNext w:val="0"/>
        <w:spacing w:before="0" w:after="120" w:line="240" w:lineRule="auto"/>
      </w:pPr>
      <w:r>
        <w:t>My answer: ______  Confidence: 1  2  3</w:t>
      </w:r>
    </w:p>
    <w:p>
      <w:pPr>
        <w:keepNext/>
        <w:spacing w:before="120" w:after="40" w:line="240" w:lineRule="auto"/>
      </w:pPr>
      <w:r>
        <w:t>LMFT-WB11-Q003 | Recall | Easy | Primary concept: Bowen family systems theory</w:t>
      </w:r>
    </w:p>
    <w:p>
      <w:pPr>
        <w:keepNext/>
        <w:keepLines/>
        <w:spacing w:before="60"/>
      </w:pPr>
      <w:r>
        <w:rPr>
          <w:b/>
          <w:i w:val="0"/>
        </w:rPr>
        <w:t>3. A therapist using Bowen family systems theory would be MOST interested in which process?</w:t>
      </w:r>
    </w:p>
    <w:p>
      <w:pPr>
        <w:keepNext/>
        <w:keepLines/>
        <w:spacing w:after="20"/>
        <w:ind w:left="259"/>
      </w:pPr>
      <w:r>
        <w:t>A. Reward schedules for target behaviors.</w:t>
      </w:r>
    </w:p>
    <w:p>
      <w:pPr>
        <w:keepNext/>
        <w:keepLines/>
        <w:spacing w:after="20"/>
        <w:ind w:left="259"/>
      </w:pPr>
      <w:r>
        <w:t>B. Paradoxical directives designed to interrupt attempted solutions.</w:t>
      </w:r>
    </w:p>
    <w:p>
      <w:pPr>
        <w:keepNext/>
        <w:keepLines/>
        <w:spacing w:after="20"/>
        <w:ind w:left="259"/>
      </w:pPr>
      <w:r>
        <w:t>C. Differentiation, triangles, and multigenerational emotional patterns.</w:t>
      </w:r>
    </w:p>
    <w:p>
      <w:pPr>
        <w:keepNext/>
        <w:keepLines/>
        <w:spacing w:after="20"/>
        <w:ind w:left="259"/>
      </w:pPr>
      <w:r>
        <w:t>D. Group composition and cohesion.</w:t>
      </w:r>
    </w:p>
    <w:p>
      <w:pPr>
        <w:keepNext w:val="0"/>
        <w:spacing w:before="0" w:after="120" w:line="240" w:lineRule="auto"/>
      </w:pPr>
      <w:r>
        <w:t>My answer: ______  Confidence: 1  2  3</w:t>
      </w:r>
    </w:p>
    <w:p>
      <w:pPr>
        <w:keepNext/>
        <w:spacing w:before="120" w:after="40" w:line="240" w:lineRule="auto"/>
      </w:pPr>
      <w:r>
        <w:t>LMFT-WB11-Q004 | Scenario | Moderate | Primary concept: Strategic intervention and attempted solutions</w:t>
      </w:r>
    </w:p>
    <w:p>
      <w:pPr>
        <w:keepNext/>
        <w:keepLines/>
        <w:spacing w:before="60"/>
      </w:pPr>
      <w:r>
        <w:rPr>
          <w:b/>
          <w:i w:val="0"/>
        </w:rPr>
        <w:t>4. Parents respond to a child’s bedtime refusal by arguing for an hour, offering repeated concessions, and eventually allowing the child to sleep in their bed. The pattern has intensified. Which intervention is MOST consistent with strategic reasoning?</w:t>
      </w:r>
    </w:p>
    <w:p>
      <w:pPr>
        <w:keepNext/>
        <w:keepLines/>
        <w:spacing w:after="20"/>
        <w:ind w:left="259"/>
      </w:pPr>
      <w:r>
        <w:t>A. Explore the parents’ childhood dreams about separation.</w:t>
      </w:r>
    </w:p>
    <w:p>
      <w:pPr>
        <w:keepNext/>
        <w:keepLines/>
        <w:spacing w:after="20"/>
        <w:ind w:left="259"/>
      </w:pPr>
      <w:r>
        <w:t>B. Identify how the repeated attempted solution maintains the sequence and prescribe a focused change in the bedtime response.</w:t>
      </w:r>
    </w:p>
    <w:p>
      <w:pPr>
        <w:keepNext/>
        <w:keepLines/>
        <w:spacing w:after="20"/>
        <w:ind w:left="259"/>
      </w:pPr>
      <w:r>
        <w:t>C. Ask the child to create a genogram before discussing bedtime.</w:t>
      </w:r>
    </w:p>
    <w:p>
      <w:pPr>
        <w:keepNext/>
        <w:keepLines/>
        <w:spacing w:after="20"/>
        <w:ind w:left="259"/>
      </w:pPr>
      <w:r>
        <w:t>D. Refer the family to a general support group without changing the sequence.</w:t>
      </w:r>
    </w:p>
    <w:p>
      <w:pPr>
        <w:keepNext w:val="0"/>
        <w:spacing w:before="0" w:after="120" w:line="240" w:lineRule="auto"/>
      </w:pPr>
      <w:r>
        <w:t>My answer: ______  Confidence: 1  2  3</w:t>
      </w:r>
    </w:p>
    <w:p>
      <w:pPr>
        <w:keepNext/>
        <w:spacing w:before="120" w:after="40" w:line="240" w:lineRule="auto"/>
      </w:pPr>
      <w:r>
        <w:t>LMFT-WB11-Q005 | Application | Moderate | Primary concept: Solution-focused exceptions and preferred change</w:t>
      </w:r>
    </w:p>
    <w:p>
      <w:pPr>
        <w:keepNext/>
        <w:keepLines/>
        <w:spacing w:before="60"/>
      </w:pPr>
      <w:r>
        <w:rPr>
          <w:b/>
          <w:i w:val="0"/>
        </w:rPr>
        <w:t>5. A couple can describe several evenings when conflict was less intense and wants practical changes before an upcoming family visit. Which response is MOST consistent with solution-focused practice?</w:t>
      </w:r>
    </w:p>
    <w:p>
      <w:pPr>
        <w:keepNext/>
        <w:keepLines/>
        <w:spacing w:after="20"/>
        <w:ind w:left="259"/>
      </w:pPr>
      <w:r>
        <w:t>A. Interpret the conflict as evidence of unconscious hostility.</w:t>
      </w:r>
    </w:p>
    <w:p>
      <w:pPr>
        <w:keepNext/>
        <w:keepLines/>
        <w:spacing w:after="20"/>
        <w:ind w:left="259"/>
      </w:pPr>
      <w:r>
        <w:t>B. Restructure the family hierarchy without asking about goals.</w:t>
      </w:r>
    </w:p>
    <w:p>
      <w:pPr>
        <w:keepNext/>
        <w:keepLines/>
        <w:spacing w:after="20"/>
        <w:ind w:left="259"/>
      </w:pPr>
      <w:r>
        <w:t>C. Require a complete multigenerational assessment before identifying any next step.</w:t>
      </w:r>
    </w:p>
    <w:p>
      <w:pPr>
        <w:keepNext/>
        <w:keepLines/>
        <w:spacing w:after="20"/>
        <w:ind w:left="259"/>
      </w:pPr>
      <w:r>
        <w:t>D. Ask what was different on the better evenings, identify a preferred interaction, and develop a small observable experiment.</w:t>
      </w:r>
    </w:p>
    <w:p>
      <w:pPr>
        <w:keepNext w:val="0"/>
        <w:spacing w:before="0" w:after="120" w:line="240" w:lineRule="auto"/>
      </w:pPr>
      <w:r>
        <w:t>My answer: ______  Confidence: 1  2  3</w:t>
      </w:r>
    </w:p>
    <w:p>
      <w:pPr>
        <w:keepNext/>
        <w:spacing w:before="120" w:after="40" w:line="240" w:lineRule="auto"/>
      </w:pPr>
      <w:r>
        <w:t>LMFT-WB11-Q006 | Scenario | Moderate | Primary concept: Group screening, readiness, and safety</w:t>
      </w:r>
    </w:p>
    <w:p>
      <w:pPr>
        <w:keepNext/>
        <w:keepLines/>
        <w:spacing w:before="60"/>
      </w:pPr>
      <w:r>
        <w:rPr>
          <w:b/>
          <w:i w:val="0"/>
        </w:rPr>
        <w:t>6. A therapist is considering a skills group for a client who has recently experienced severe panic and frequently leaves appointments without warning. What should the therapist do FIRST?</w:t>
      </w:r>
    </w:p>
    <w:p>
      <w:pPr>
        <w:keepNext/>
        <w:keepLines/>
        <w:spacing w:after="20"/>
        <w:ind w:left="259"/>
      </w:pPr>
      <w:r>
        <w:t>A. Assess the client’s goals, stability, readiness, ability to remain safely in the group, and available accommodations.</w:t>
      </w:r>
    </w:p>
    <w:p>
      <w:pPr>
        <w:keepNext/>
        <w:keepLines/>
        <w:spacing w:after="20"/>
        <w:ind w:left="259"/>
      </w:pPr>
      <w:r>
        <w:t>B. Enroll the client because group treatment is less intensive.</w:t>
      </w:r>
    </w:p>
    <w:p>
      <w:pPr>
        <w:keepNext/>
        <w:keepLines/>
        <w:spacing w:after="20"/>
        <w:ind w:left="259"/>
      </w:pPr>
      <w:r>
        <w:t>C. Exclude the client solely because panic symptoms are present.</w:t>
      </w:r>
    </w:p>
    <w:p>
      <w:pPr>
        <w:keepNext/>
        <w:keepLines/>
        <w:spacing w:after="20"/>
        <w:ind w:left="259"/>
      </w:pPr>
      <w:r>
        <w:t>D. Ask current group members to decide whether the client may join.</w:t>
      </w:r>
    </w:p>
    <w:p>
      <w:pPr>
        <w:keepNext w:val="0"/>
        <w:spacing w:before="0" w:after="120" w:line="240" w:lineRule="auto"/>
      </w:pPr>
      <w:r>
        <w:t>My answer: ______  Confidence: 1  2  3</w:t>
      </w:r>
    </w:p>
    <w:p>
      <w:pPr>
        <w:keepNext/>
        <w:spacing w:before="120" w:after="40" w:line="240" w:lineRule="auto"/>
      </w:pPr>
      <w:r>
        <w:t>LMFT-WB11-Q007 | Scenario | Moderate | Primary concept: Group process, norms, and repair</w:t>
      </w:r>
    </w:p>
    <w:p>
      <w:pPr>
        <w:keepNext/>
        <w:keepLines/>
        <w:spacing w:before="60"/>
      </w:pPr>
      <w:r>
        <w:rPr>
          <w:b/>
          <w:i w:val="0"/>
        </w:rPr>
        <w:t>7. During a therapy group, one member mocks another member’s disclosure. The targeted member becomes silent and several members look away. What should the therapist do NEXT?</w:t>
      </w:r>
    </w:p>
    <w:p>
      <w:pPr>
        <w:keepNext/>
        <w:keepLines/>
        <w:spacing w:after="20"/>
        <w:ind w:left="259"/>
      </w:pPr>
      <w:r>
        <w:t>A. Ignore the comment so the group can resolve the conflict independently.</w:t>
      </w:r>
    </w:p>
    <w:p>
      <w:pPr>
        <w:keepNext/>
        <w:keepLines/>
        <w:spacing w:after="20"/>
        <w:ind w:left="259"/>
      </w:pPr>
      <w:r>
        <w:t>B. End the group permanently because cohesion has been lost.</w:t>
      </w:r>
    </w:p>
    <w:p>
      <w:pPr>
        <w:keepNext/>
        <w:keepLines/>
        <w:spacing w:after="20"/>
        <w:ind w:left="259"/>
      </w:pPr>
      <w:r>
        <w:t>C. Interrupt the mocking, reinforce safety and respect norms, assess impact, and facilitate accountable repair.</w:t>
      </w:r>
    </w:p>
    <w:p>
      <w:pPr>
        <w:keepNext/>
        <w:keepLines/>
        <w:spacing w:after="20"/>
        <w:ind w:left="259"/>
      </w:pPr>
      <w:r>
        <w:t>D. Ask the targeted member to explain why the comment was so upsetting.</w:t>
      </w:r>
    </w:p>
    <w:p>
      <w:pPr>
        <w:keepNext w:val="0"/>
        <w:spacing w:before="0" w:after="120" w:line="240" w:lineRule="auto"/>
      </w:pPr>
      <w:r>
        <w:t>My answer: ______  Confidence: 1  2  3</w:t>
      </w:r>
    </w:p>
    <w:p>
      <w:pPr>
        <w:keepNext/>
        <w:spacing w:before="120" w:after="40" w:line="240" w:lineRule="auto"/>
      </w:pPr>
      <w:r>
        <w:t>LMFT-WB11-Q008 | Scenario | Moderate | Primary concept: Specialty referral and continuity</w:t>
      </w:r>
    </w:p>
    <w:p>
      <w:pPr>
        <w:keepNext/>
        <w:keepLines/>
        <w:spacing w:before="60"/>
      </w:pPr>
      <w:r>
        <w:rPr>
          <w:b/>
          <w:i w:val="0"/>
        </w:rPr>
        <w:t>8. An LMFT treating a family learns that an adolescent has rapid weight loss, fainting, and restrictive eating. The therapist has no specialized eating-disorder training. What is the BEST response?</w:t>
      </w:r>
    </w:p>
    <w:p>
      <w:pPr>
        <w:keepNext/>
        <w:keepLines/>
        <w:spacing w:after="20"/>
        <w:ind w:left="259"/>
      </w:pPr>
      <w:r>
        <w:t>A. Continue family therapy alone and monitor weight informally.</w:t>
      </w:r>
    </w:p>
    <w:p>
      <w:pPr>
        <w:keepNext/>
        <w:keepLines/>
        <w:spacing w:after="20"/>
        <w:ind w:left="259"/>
      </w:pPr>
      <w:r>
        <w:t>B. Arrange prompt medical and specialized eating-disorder evaluation while coordinating appropriate family support and continuity.</w:t>
      </w:r>
    </w:p>
    <w:p>
      <w:pPr>
        <w:keepNext/>
        <w:keepLines/>
        <w:spacing w:after="20"/>
        <w:ind w:left="259"/>
      </w:pPr>
      <w:r>
        <w:t>C. End all services immediately without explanation.</w:t>
      </w:r>
    </w:p>
    <w:p>
      <w:pPr>
        <w:keepNext/>
        <w:keepLines/>
        <w:spacing w:after="20"/>
        <w:ind w:left="259"/>
      </w:pPr>
      <w:r>
        <w:t>D. Provide a detailed nutrition plan based on general clinical experience.</w:t>
      </w:r>
    </w:p>
    <w:p>
      <w:pPr>
        <w:keepNext w:val="0"/>
        <w:spacing w:before="0" w:after="120" w:line="240" w:lineRule="auto"/>
      </w:pPr>
      <w:r>
        <w:t>My answer: ______  Confidence: 1  2  3</w:t>
      </w:r>
    </w:p>
    <w:p>
      <w:pPr>
        <w:keepNext/>
        <w:spacing w:before="120" w:after="40" w:line="240" w:lineRule="auto"/>
      </w:pPr>
      <w:r>
        <w:t>LMFT-WB11-Q009 | Scenario | Moderate | Primary concept: Interdisciplinary information sharing</w:t>
      </w:r>
    </w:p>
    <w:p>
      <w:pPr>
        <w:keepNext/>
        <w:keepLines/>
        <w:spacing w:before="60"/>
      </w:pPr>
      <w:r>
        <w:rPr>
          <w:b/>
          <w:i w:val="0"/>
        </w:rPr>
        <w:t>9. A psychiatrist asks an LMFT to email the complete psychotherapy record before a care conference. The client has authorized coordination but has not authorized release of the full record. What should the LMFT do FIRST?</w:t>
      </w:r>
    </w:p>
    <w:p>
      <w:pPr>
        <w:keepNext/>
        <w:keepLines/>
        <w:spacing w:after="20"/>
        <w:ind w:left="259"/>
      </w:pPr>
      <w:r>
        <w:t>A. Send the complete record because the psychiatrist is on the treatment team.</w:t>
      </w:r>
    </w:p>
    <w:p>
      <w:pPr>
        <w:keepNext/>
        <w:keepLines/>
        <w:spacing w:after="20"/>
        <w:ind w:left="259"/>
      </w:pPr>
      <w:r>
        <w:t>B. Refuse all communication with the psychiatrist.</w:t>
      </w:r>
    </w:p>
    <w:p>
      <w:pPr>
        <w:keepNext/>
        <w:keepLines/>
        <w:spacing w:after="20"/>
        <w:ind w:left="259"/>
      </w:pPr>
      <w:r>
        <w:t>C. Clarify the purpose, the client’s authorization, the roles, and the minimum relevant information needed for coordination.</w:t>
      </w:r>
    </w:p>
    <w:p>
      <w:pPr>
        <w:keepNext/>
        <w:keepLines/>
        <w:spacing w:after="20"/>
        <w:ind w:left="259"/>
      </w:pPr>
      <w:r>
        <w:t>D. Ask the client’s partner to summarize therapy for the psychiatrist.</w:t>
      </w:r>
    </w:p>
    <w:p>
      <w:pPr>
        <w:keepNext w:val="0"/>
        <w:spacing w:before="0" w:after="120" w:line="240" w:lineRule="auto"/>
      </w:pPr>
      <w:r>
        <w:t>My answer: ______  Confidence: 1  2  3</w:t>
      </w:r>
    </w:p>
    <w:p>
      <w:pPr>
        <w:keepNext/>
        <w:spacing w:before="120" w:after="40" w:line="240" w:lineRule="auto"/>
      </w:pPr>
      <w:r>
        <w:t>LMFT-WB11-Q010 | Integrated | Challenge | Primary concept: Theory revision and coordinated care</w:t>
      </w:r>
    </w:p>
    <w:p>
      <w:pPr>
        <w:keepNext/>
        <w:keepLines/>
        <w:spacing w:before="60"/>
      </w:pPr>
      <w:r>
        <w:rPr>
          <w:b/>
          <w:i w:val="0"/>
        </w:rPr>
        <w:t>10. A family presents with escalating parent-adolescent conflict, school refusal, and repeated emergency-room visits for panic symptoms. Prior therapy used communication homework with little effect. What is the BEST next step?</w:t>
      </w:r>
    </w:p>
    <w:p>
      <w:pPr>
        <w:keepNext/>
        <w:keepLines/>
        <w:spacing w:after="20"/>
        <w:ind w:left="259"/>
      </w:pPr>
      <w:r>
        <w:t>A. Select a different technique immediately without revisiting the formulation.</w:t>
      </w:r>
    </w:p>
    <w:p>
      <w:pPr>
        <w:keepNext/>
        <w:keepLines/>
        <w:spacing w:after="20"/>
        <w:ind w:left="259"/>
      </w:pPr>
      <w:r>
        <w:t>B. Refer the adolescent to a group and close the family case.</w:t>
      </w:r>
    </w:p>
    <w:p>
      <w:pPr>
        <w:keepNext/>
        <w:keepLines/>
        <w:spacing w:after="20"/>
        <w:ind w:left="259"/>
      </w:pPr>
      <w:r>
        <w:t>C. Explain that the family failed because it did not complete homework consistently.</w:t>
      </w:r>
    </w:p>
    <w:p>
      <w:pPr>
        <w:keepNext/>
        <w:keepLines/>
        <w:spacing w:after="20"/>
        <w:ind w:left="259"/>
      </w:pPr>
      <w:r>
        <w:t>D. Reassess safety and medical factors, clarify the interactional and school-maintained cycles, review alliance and prior response, choose a coherent theory-informed plan, and coordinate needed school or medical services with consent.</w:t>
      </w:r>
    </w:p>
    <w:p>
      <w:pPr>
        <w:keepNext w:val="0"/>
        <w:spacing w:before="0" w:after="120" w:line="240" w:lineRule="auto"/>
      </w:pPr>
      <w:r>
        <w:t>My answer: ______  Confidence: 1  2  3</w:t>
      </w:r>
    </w:p>
    <w:p>
      <w:r>
        <w:br w:type="page"/>
      </w:r>
    </w:p>
    <w:p>
      <w:pPr>
        <w:pStyle w:val="Heading1"/>
      </w:pPr>
      <w:r>
        <w:t>Answer Key and Detailed Rationales</w:t>
      </w:r>
    </w:p>
    <w:tbl>
      <w:tblPr>
        <w:tblW w:type="auto" w:w="0"/>
        <w:jc w:val="center"/>
        <w:tblLayout w:type="fixed"/>
        <w:tblLook w:firstColumn="1" w:firstRow="1" w:lastColumn="0" w:lastRow="0" w:noHBand="0" w:noVBand="1" w:val="04A0"/>
      </w:tblPr>
      <w:tblGrid>
        <w:gridCol w:w="9936"/>
      </w:tblGrid>
      <w:tr>
        <w:trPr>
          <w:cantSplit/>
          <w:tblHeader/>
        </w:trPr>
        <w:tc>
          <w:tcPr>
            <w:tcW w:type="dxa" w:w="10080"/>
            <w:shd w:fill="E7F5F4"/>
            <w:tcMar>
              <w:top w:w="150" w:type="dxa"/>
              <w:start w:w="180" w:type="dxa"/>
              <w:bottom w:w="150" w:type="dxa"/>
              <w:end w:w="180" w:type="dxa"/>
            </w:tcMar>
          </w:tcPr>
          <w:p>
            <w:pPr>
              <w:spacing w:after="80"/>
            </w:pPr>
            <w:r>
              <w:rPr>
                <w:b/>
                <w:i w:val="0"/>
                <w:color w:val="0F7C82"/>
              </w:rPr>
              <w:t>How to Review</w:t>
            </w:r>
          </w:p>
          <w:p>
            <w:pPr>
              <w:spacing w:after="0"/>
            </w:pPr>
            <w:r>
              <w:t>For each missed item, identify whether the error involved theory-to-technique mismatch, unsafe group selection, premature referral, role confusion, or failure to evaluate the intervention. Write one sentence explaining why the correct response is better supported and better timed than the strongest distractor.</w:t>
            </w:r>
          </w:p>
        </w:tc>
      </w:tr>
    </w:tbl>
    <w:p>
      <w:pPr>
        <w:spacing w:after="0"/>
      </w:pPr>
    </w:p>
    <w:p>
      <w:pPr>
        <w:pStyle w:val="Heading2"/>
        <w:keepNext/>
        <w:keepLines/>
        <w:spacing w:before="100" w:after="40"/>
      </w:pPr>
      <w:r>
        <w:rPr>
          <w:b/>
          <w:i w:val="0"/>
          <w:sz w:val="20"/>
        </w:rPr>
        <w:t>Question 1 (LMFT-WB11-Q001)</w:t>
      </w:r>
    </w:p>
    <w:p>
      <w:pPr>
        <w:keepNext/>
        <w:keepLines/>
      </w:pPr>
      <w:r>
        <w:rPr>
          <w:b/>
          <w:i w:val="0"/>
          <w:color w:val="0F7C82"/>
        </w:rPr>
        <w:t>Correct Answer: D</w:t>
      </w:r>
    </w:p>
    <w:p>
      <w:pPr>
        <w:keepNext/>
        <w:keepLines/>
        <w:spacing w:after="40"/>
        <w:ind w:left="173"/>
      </w:pPr>
      <w:r>
        <w:rPr>
          <w:b/>
          <w:i w:val="0"/>
        </w:rPr>
        <w:t>A. Theory guides reasoning but does not provide a universal script.</w:t>
      </w:r>
    </w:p>
    <w:p>
      <w:pPr>
        <w:keepNext/>
        <w:keepLines/>
        <w:spacing w:after="40"/>
        <w:ind w:left="173"/>
      </w:pPr>
      <w:r>
        <w:rPr>
          <w:b/>
          <w:i w:val="0"/>
        </w:rPr>
        <w:t>B. Systemic theories generally avoid reducing a relational problem to one person’s blame.</w:t>
      </w:r>
    </w:p>
    <w:p>
      <w:pPr>
        <w:keepNext/>
        <w:keepLines/>
        <w:spacing w:after="40"/>
        <w:ind w:left="173"/>
      </w:pPr>
      <w:r>
        <w:rPr>
          <w:b/>
          <w:i w:val="0"/>
        </w:rPr>
        <w:t>C. Theory-informed treatment still requires ongoing assessment and revision.</w:t>
      </w:r>
    </w:p>
    <w:p>
      <w:pPr>
        <w:keepNext/>
        <w:keepLines/>
        <w:spacing w:after="40"/>
        <w:ind w:left="173"/>
      </w:pPr>
      <w:r>
        <w:rPr>
          <w:b/>
          <w:i w:val="0"/>
        </w:rPr>
        <w:t>D. Correct. A useful theory links observations to a formulation, intervention targets, and evaluation of response.</w:t>
      </w:r>
    </w:p>
    <w:p>
      <w:pPr>
        <w:keepLines/>
        <w:spacing w:after="120"/>
        <w:ind w:left="173"/>
      </w:pPr>
      <w:r>
        <w:rPr>
          <w:b/>
          <w:i w:val="0"/>
          <w:color w:val="1F4E78"/>
        </w:rPr>
        <w:t xml:space="preserve">Exam Strategy: </w:t>
      </w:r>
      <w:r>
        <w:rPr>
          <w:b w:val="0"/>
          <w:i/>
        </w:rPr>
        <w:t>Use theory to explain the maintaining process and select a matching intervention; do not choose a theory only because its terminology appears in the vignette.</w:t>
      </w:r>
    </w:p>
    <w:p>
      <w:pPr>
        <w:pStyle w:val="Heading2"/>
        <w:keepNext/>
        <w:keepLines/>
        <w:spacing w:before="100" w:after="40"/>
      </w:pPr>
      <w:r>
        <w:rPr>
          <w:b/>
          <w:i w:val="0"/>
          <w:sz w:val="20"/>
        </w:rPr>
        <w:t>Question 2 (LMFT-WB11-Q002)</w:t>
      </w:r>
    </w:p>
    <w:p>
      <w:pPr>
        <w:keepNext/>
        <w:keepLines/>
      </w:pPr>
      <w:r>
        <w:rPr>
          <w:b/>
          <w:i w:val="0"/>
          <w:color w:val="0F7C82"/>
        </w:rPr>
        <w:t>Correct Answer: A</w:t>
      </w:r>
    </w:p>
    <w:p>
      <w:pPr>
        <w:keepNext/>
        <w:keepLines/>
        <w:spacing w:after="40"/>
        <w:ind w:left="173"/>
      </w:pPr>
      <w:r>
        <w:rPr>
          <w:b/>
          <w:i w:val="0"/>
        </w:rPr>
        <w:t>A. Correct. Structural work focuses on the organization of the family system, including hierarchy, boundaries, and subsystems.</w:t>
      </w:r>
    </w:p>
    <w:p>
      <w:pPr>
        <w:keepNext/>
        <w:keepLines/>
        <w:spacing w:after="40"/>
        <w:ind w:left="173"/>
      </w:pPr>
      <w:r>
        <w:rPr>
          <w:b/>
          <w:i w:val="0"/>
        </w:rPr>
        <w:t>B. Cognitive distortions are more central to cognitive-behavioral approaches.</w:t>
      </w:r>
    </w:p>
    <w:p>
      <w:pPr>
        <w:keepNext/>
        <w:keepLines/>
        <w:spacing w:after="40"/>
        <w:ind w:left="173"/>
      </w:pPr>
      <w:r>
        <w:rPr>
          <w:b/>
          <w:i w:val="0"/>
        </w:rPr>
        <w:t>C. Psychosexual development is associated with classical psychoanalytic theory.</w:t>
      </w:r>
    </w:p>
    <w:p>
      <w:pPr>
        <w:keepNext/>
        <w:keepLines/>
        <w:spacing w:after="40"/>
        <w:ind w:left="173"/>
      </w:pPr>
      <w:r>
        <w:rPr>
          <w:b/>
          <w:i w:val="0"/>
        </w:rPr>
        <w:t>D. Exceptions are especially associated with solution-focused approaches.</w:t>
      </w:r>
    </w:p>
    <w:p>
      <w:pPr>
        <w:keepLines/>
        <w:spacing w:after="120"/>
        <w:ind w:left="173"/>
      </w:pPr>
      <w:r>
        <w:rPr>
          <w:b/>
          <w:i w:val="0"/>
          <w:color w:val="1F4E78"/>
        </w:rPr>
        <w:t xml:space="preserve">Exam Strategy: </w:t>
      </w:r>
      <w:r>
        <w:rPr>
          <w:b w:val="0"/>
          <w:i/>
        </w:rPr>
        <w:t>Look for hierarchy, boundaries, subsystems, coalitions, and enactments. The best response changes organization rather than merely discussing it.</w:t>
      </w:r>
    </w:p>
    <w:p>
      <w:pPr>
        <w:pStyle w:val="Heading2"/>
        <w:keepNext/>
        <w:keepLines/>
        <w:spacing w:before="100" w:after="40"/>
      </w:pPr>
      <w:r>
        <w:rPr>
          <w:b/>
          <w:i w:val="0"/>
          <w:sz w:val="20"/>
        </w:rPr>
        <w:t>Question 3 (LMFT-WB11-Q003)</w:t>
      </w:r>
    </w:p>
    <w:p>
      <w:pPr>
        <w:keepNext/>
        <w:keepLines/>
      </w:pPr>
      <w:r>
        <w:rPr>
          <w:b/>
          <w:i w:val="0"/>
          <w:color w:val="0F7C82"/>
        </w:rPr>
        <w:t>Correct Answer: C</w:t>
      </w:r>
    </w:p>
    <w:p>
      <w:pPr>
        <w:keepNext/>
        <w:keepLines/>
        <w:spacing w:after="40"/>
        <w:ind w:left="173"/>
      </w:pPr>
      <w:r>
        <w:rPr>
          <w:b/>
          <w:i w:val="0"/>
        </w:rPr>
        <w:t>A. Reward schedules are associated with behavioral methods.</w:t>
      </w:r>
    </w:p>
    <w:p>
      <w:pPr>
        <w:keepNext/>
        <w:keepLines/>
        <w:spacing w:after="40"/>
        <w:ind w:left="173"/>
      </w:pPr>
      <w:r>
        <w:rPr>
          <w:b/>
          <w:i w:val="0"/>
        </w:rPr>
        <w:t>B. Paradoxical directives are more closely associated with strategic approaches.</w:t>
      </w:r>
    </w:p>
    <w:p>
      <w:pPr>
        <w:keepNext/>
        <w:keepLines/>
        <w:spacing w:after="40"/>
        <w:ind w:left="173"/>
      </w:pPr>
      <w:r>
        <w:rPr>
          <w:b/>
          <w:i w:val="0"/>
        </w:rPr>
        <w:t>C. Correct. Bowen theory emphasizes differentiation, triangles, emotional process, and patterns across generations.</w:t>
      </w:r>
    </w:p>
    <w:p>
      <w:pPr>
        <w:keepNext/>
        <w:keepLines/>
        <w:spacing w:after="40"/>
        <w:ind w:left="173"/>
      </w:pPr>
      <w:r>
        <w:rPr>
          <w:b/>
          <w:i w:val="0"/>
        </w:rPr>
        <w:t>D. Group composition is a group-treatment issue rather than a defining Bowen concept.</w:t>
      </w:r>
    </w:p>
    <w:p>
      <w:pPr>
        <w:keepLines/>
        <w:spacing w:after="120"/>
        <w:ind w:left="173"/>
      </w:pPr>
      <w:r>
        <w:rPr>
          <w:b/>
          <w:i w:val="0"/>
          <w:color w:val="1F4E78"/>
        </w:rPr>
        <w:t xml:space="preserve">Exam Strategy: </w:t>
      </w:r>
      <w:r>
        <w:rPr>
          <w:b w:val="0"/>
          <w:i/>
        </w:rPr>
        <w:t>Look for differentiation, triangles, emotional reactivity, and multigenerational patterns. Choose observation and de-triangling over therapist-led restructuring.</w:t>
      </w:r>
    </w:p>
    <w:p>
      <w:pPr>
        <w:pStyle w:val="Heading2"/>
        <w:keepNext/>
        <w:keepLines/>
        <w:spacing w:before="100" w:after="40"/>
      </w:pPr>
      <w:r>
        <w:rPr>
          <w:b/>
          <w:i w:val="0"/>
          <w:sz w:val="20"/>
        </w:rPr>
        <w:t>Question 4 (LMFT-WB11-Q004)</w:t>
      </w:r>
    </w:p>
    <w:p>
      <w:pPr>
        <w:keepNext/>
        <w:keepLines/>
      </w:pPr>
      <w:r>
        <w:rPr>
          <w:b/>
          <w:i w:val="0"/>
          <w:color w:val="0F7C82"/>
        </w:rPr>
        <w:t>Correct Answer: B</w:t>
      </w:r>
    </w:p>
    <w:p>
      <w:pPr>
        <w:keepNext/>
        <w:keepLines/>
        <w:spacing w:after="40"/>
        <w:ind w:left="173"/>
      </w:pPr>
      <w:r>
        <w:rPr>
          <w:b/>
          <w:i w:val="0"/>
        </w:rPr>
        <w:t>A. Historical meaning may be useful, but it does not directly target the described maintaining sequence.</w:t>
      </w:r>
    </w:p>
    <w:p>
      <w:pPr>
        <w:keepNext/>
        <w:keepLines/>
        <w:spacing w:after="40"/>
        <w:ind w:left="173"/>
      </w:pPr>
      <w:r>
        <w:rPr>
          <w:b/>
          <w:i w:val="0"/>
        </w:rPr>
        <w:t>B. Correct. Strategic reasoning focuses on the problem sequence and how attempted solutions may perpetuate it.</w:t>
      </w:r>
    </w:p>
    <w:p>
      <w:pPr>
        <w:keepNext/>
        <w:keepLines/>
        <w:spacing w:after="40"/>
        <w:ind w:left="173"/>
      </w:pPr>
      <w:r>
        <w:rPr>
          <w:b/>
          <w:i w:val="0"/>
        </w:rPr>
        <w:t>C. A genogram may support assessment but is not the most direct intervention for the specified cycle.</w:t>
      </w:r>
    </w:p>
    <w:p>
      <w:pPr>
        <w:keepNext/>
        <w:keepLines/>
        <w:spacing w:after="40"/>
        <w:ind w:left="173"/>
      </w:pPr>
      <w:r>
        <w:rPr>
          <w:b/>
          <w:i w:val="0"/>
        </w:rPr>
        <w:t>D. A generic referral does not address the identified family sequence.</w:t>
      </w:r>
    </w:p>
    <w:p>
      <w:pPr>
        <w:keepLines/>
        <w:spacing w:after="120"/>
        <w:ind w:left="173"/>
      </w:pPr>
      <w:r>
        <w:rPr>
          <w:b/>
          <w:i w:val="0"/>
          <w:color w:val="1F4E78"/>
        </w:rPr>
        <w:t xml:space="preserve">Exam Strategy: </w:t>
      </w:r>
      <w:r>
        <w:rPr>
          <w:b w:val="0"/>
          <w:i/>
        </w:rPr>
        <w:t>Identify the attempted solution or sequence that maintains the problem, then choose a focused intervention that interrupts that sequence.</w:t>
      </w:r>
    </w:p>
    <w:p>
      <w:pPr>
        <w:pStyle w:val="Heading2"/>
        <w:keepNext/>
        <w:keepLines/>
        <w:spacing w:before="100" w:after="40"/>
      </w:pPr>
      <w:r>
        <w:rPr>
          <w:b/>
          <w:i w:val="0"/>
          <w:sz w:val="20"/>
        </w:rPr>
        <w:t>Question 5 (LMFT-WB11-Q005)</w:t>
      </w:r>
    </w:p>
    <w:p>
      <w:pPr>
        <w:keepNext/>
        <w:keepLines/>
      </w:pPr>
      <w:r>
        <w:rPr>
          <w:b/>
          <w:i w:val="0"/>
          <w:color w:val="0F7C82"/>
        </w:rPr>
        <w:t>Correct Answer: D</w:t>
      </w:r>
    </w:p>
    <w:p>
      <w:pPr>
        <w:keepNext/>
        <w:keepLines/>
        <w:spacing w:after="40"/>
        <w:ind w:left="173"/>
      </w:pPr>
      <w:r>
        <w:rPr>
          <w:b/>
          <w:i w:val="0"/>
        </w:rPr>
        <w:t>A. Unconscious interpretation is not the primary solution-focused method.</w:t>
      </w:r>
    </w:p>
    <w:p>
      <w:pPr>
        <w:keepNext/>
        <w:keepLines/>
        <w:spacing w:after="40"/>
        <w:ind w:left="173"/>
      </w:pPr>
      <w:r>
        <w:rPr>
          <w:b/>
          <w:i w:val="0"/>
        </w:rPr>
        <w:t>B. Hierarchy change is structural and should still be connected to assessment and goals.</w:t>
      </w:r>
    </w:p>
    <w:p>
      <w:pPr>
        <w:keepNext/>
        <w:keepLines/>
        <w:spacing w:after="40"/>
        <w:ind w:left="173"/>
      </w:pPr>
      <w:r>
        <w:rPr>
          <w:b/>
          <w:i w:val="0"/>
        </w:rPr>
        <w:t>C. A full historical assessment may be useful in some cases but is not required before using clear exceptions and goals.</w:t>
      </w:r>
    </w:p>
    <w:p>
      <w:pPr>
        <w:keepNext/>
        <w:keepLines/>
        <w:spacing w:after="40"/>
        <w:ind w:left="173"/>
      </w:pPr>
      <w:r>
        <w:rPr>
          <w:b/>
          <w:i w:val="0"/>
        </w:rPr>
        <w:t>D. Correct. Solution-focused practice uses exceptions, preferred outcomes, and small observable changes.</w:t>
      </w:r>
    </w:p>
    <w:p>
      <w:pPr>
        <w:keepLines/>
        <w:spacing w:after="120"/>
        <w:ind w:left="173"/>
      </w:pPr>
      <w:r>
        <w:rPr>
          <w:b/>
          <w:i w:val="0"/>
          <w:color w:val="1F4E78"/>
        </w:rPr>
        <w:t xml:space="preserve">Exam Strategy: </w:t>
      </w:r>
      <w:r>
        <w:rPr>
          <w:b w:val="0"/>
          <w:i/>
        </w:rPr>
        <w:t>Use exceptions, preferred future, scaling, and small observable change when the client can identify goals and resources.</w:t>
      </w:r>
    </w:p>
    <w:p>
      <w:pPr>
        <w:pStyle w:val="Heading2"/>
        <w:keepNext/>
        <w:keepLines/>
        <w:spacing w:before="100" w:after="40"/>
      </w:pPr>
      <w:r>
        <w:rPr>
          <w:b/>
          <w:i w:val="0"/>
          <w:sz w:val="20"/>
        </w:rPr>
        <w:t>Question 6 (LMFT-WB11-Q006)</w:t>
      </w:r>
    </w:p>
    <w:p>
      <w:pPr>
        <w:keepNext/>
        <w:keepLines/>
      </w:pPr>
      <w:r>
        <w:rPr>
          <w:b/>
          <w:i w:val="0"/>
          <w:color w:val="0F7C82"/>
        </w:rPr>
        <w:t>Correct Answer: A</w:t>
      </w:r>
    </w:p>
    <w:p>
      <w:pPr>
        <w:keepNext/>
        <w:keepLines/>
        <w:spacing w:after="40"/>
        <w:ind w:left="173"/>
      </w:pPr>
      <w:r>
        <w:rPr>
          <w:b/>
          <w:i w:val="0"/>
        </w:rPr>
        <w:t>A. Correct. Screening should address purpose, readiness, stability, safety, participation capacity, and access.</w:t>
      </w:r>
    </w:p>
    <w:p>
      <w:pPr>
        <w:keepNext/>
        <w:keepLines/>
        <w:spacing w:after="40"/>
        <w:ind w:left="173"/>
      </w:pPr>
      <w:r>
        <w:rPr>
          <w:b/>
          <w:i w:val="0"/>
        </w:rPr>
        <w:t>B. Group treatment is not automatically less intensive or appropriate.</w:t>
      </w:r>
    </w:p>
    <w:p>
      <w:pPr>
        <w:keepNext/>
        <w:keepLines/>
        <w:spacing w:after="40"/>
        <w:ind w:left="173"/>
      </w:pPr>
      <w:r>
        <w:rPr>
          <w:b/>
          <w:i w:val="0"/>
        </w:rPr>
        <w:t>C. A diagnosis or symptom alone does not determine group fit.</w:t>
      </w:r>
    </w:p>
    <w:p>
      <w:pPr>
        <w:keepNext/>
        <w:keepLines/>
        <w:spacing w:after="40"/>
        <w:ind w:left="173"/>
      </w:pPr>
      <w:r>
        <w:rPr>
          <w:b/>
          <w:i w:val="0"/>
        </w:rPr>
        <w:t>D. The therapist is responsible for screening and protecting confidentiality; current members should not make admission decisions.</w:t>
      </w:r>
    </w:p>
    <w:p>
      <w:pPr>
        <w:keepLines/>
        <w:spacing w:after="120"/>
        <w:ind w:left="173"/>
      </w:pPr>
      <w:r>
        <w:rPr>
          <w:b/>
          <w:i w:val="0"/>
          <w:color w:val="1F4E78"/>
        </w:rPr>
        <w:t xml:space="preserve">Exam Strategy: </w:t>
      </w:r>
      <w:r>
        <w:rPr>
          <w:b w:val="0"/>
          <w:i/>
        </w:rPr>
        <w:t>Match the client to the group purpose, format, stage, stability, readiness, and access needs before assuming group treatment is appropriate.</w:t>
      </w:r>
    </w:p>
    <w:p>
      <w:pPr>
        <w:pStyle w:val="Heading2"/>
        <w:keepNext/>
        <w:keepLines/>
        <w:spacing w:before="100" w:after="40"/>
      </w:pPr>
      <w:r>
        <w:rPr>
          <w:b/>
          <w:i w:val="0"/>
          <w:sz w:val="20"/>
        </w:rPr>
        <w:t>Question 7 (LMFT-WB11-Q007)</w:t>
      </w:r>
    </w:p>
    <w:p>
      <w:pPr>
        <w:keepNext/>
        <w:keepLines/>
      </w:pPr>
      <w:r>
        <w:rPr>
          <w:b/>
          <w:i w:val="0"/>
          <w:color w:val="0F7C82"/>
        </w:rPr>
        <w:t>Correct Answer: C</w:t>
      </w:r>
    </w:p>
    <w:p>
      <w:pPr>
        <w:keepNext/>
        <w:keepLines/>
        <w:spacing w:after="40"/>
        <w:ind w:left="173"/>
      </w:pPr>
      <w:r>
        <w:rPr>
          <w:b/>
          <w:i w:val="0"/>
        </w:rPr>
        <w:t>A. Ignoring harmful behavior can increase shame and undermine group safety.</w:t>
      </w:r>
    </w:p>
    <w:p>
      <w:pPr>
        <w:keepNext/>
        <w:keepLines/>
        <w:spacing w:after="40"/>
        <w:ind w:left="173"/>
      </w:pPr>
      <w:r>
        <w:rPr>
          <w:b/>
          <w:i w:val="0"/>
        </w:rPr>
        <w:t>B. Ending the group is disproportionate before attempting appropriate intervention and repair.</w:t>
      </w:r>
    </w:p>
    <w:p>
      <w:pPr>
        <w:keepNext/>
        <w:keepLines/>
        <w:spacing w:after="40"/>
        <w:ind w:left="173"/>
      </w:pPr>
      <w:r>
        <w:rPr>
          <w:b/>
          <w:i w:val="0"/>
        </w:rPr>
        <w:t>C. Correct. The facilitator protects safety, names the process, reinforces norms, and supports repair without humiliation.</w:t>
      </w:r>
    </w:p>
    <w:p>
      <w:pPr>
        <w:keepNext/>
        <w:keepLines/>
        <w:spacing w:after="40"/>
        <w:ind w:left="173"/>
      </w:pPr>
      <w:r>
        <w:rPr>
          <w:b/>
          <w:i w:val="0"/>
        </w:rPr>
        <w:t>D. This shifts responsibility to the harmed member and may intensify exposure.</w:t>
      </w:r>
    </w:p>
    <w:p>
      <w:pPr>
        <w:keepLines/>
        <w:spacing w:after="120"/>
        <w:ind w:left="173"/>
      </w:pPr>
      <w:r>
        <w:rPr>
          <w:b/>
          <w:i w:val="0"/>
          <w:color w:val="1F4E78"/>
        </w:rPr>
        <w:t xml:space="preserve">Exam Strategy: </w:t>
      </w:r>
      <w:r>
        <w:rPr>
          <w:b w:val="0"/>
          <w:i/>
        </w:rPr>
        <w:t>Protect safety and participation, name the process, reinforce norms, and invite member-to-member work without humiliating or abandoning a member.</w:t>
      </w:r>
    </w:p>
    <w:p>
      <w:pPr>
        <w:pStyle w:val="Heading2"/>
        <w:keepNext/>
        <w:keepLines/>
        <w:spacing w:before="100" w:after="40"/>
      </w:pPr>
      <w:r>
        <w:rPr>
          <w:b/>
          <w:i w:val="0"/>
          <w:sz w:val="20"/>
        </w:rPr>
        <w:t>Question 8 (LMFT-WB11-Q008)</w:t>
      </w:r>
    </w:p>
    <w:p>
      <w:pPr>
        <w:keepNext/>
        <w:keepLines/>
      </w:pPr>
      <w:r>
        <w:rPr>
          <w:b/>
          <w:i w:val="0"/>
          <w:color w:val="0F7C82"/>
        </w:rPr>
        <w:t>Correct Answer: B</w:t>
      </w:r>
    </w:p>
    <w:p>
      <w:pPr>
        <w:keepNext/>
        <w:keepLines/>
        <w:spacing w:after="40"/>
        <w:ind w:left="173"/>
      </w:pPr>
      <w:r>
        <w:rPr>
          <w:b/>
          <w:i w:val="0"/>
        </w:rPr>
        <w:t>A. The medical warning signs and competence limits require more than informal monitoring.</w:t>
      </w:r>
    </w:p>
    <w:p>
      <w:pPr>
        <w:keepNext/>
        <w:keepLines/>
        <w:spacing w:after="40"/>
        <w:ind w:left="173"/>
      </w:pPr>
      <w:r>
        <w:rPr>
          <w:b/>
          <w:i w:val="0"/>
        </w:rPr>
        <w:t>B. Correct. Prompt medical and specialty evaluation is indicated, while coordinated family support preserves continuity.</w:t>
      </w:r>
    </w:p>
    <w:p>
      <w:pPr>
        <w:keepNext/>
        <w:keepLines/>
        <w:spacing w:after="40"/>
        <w:ind w:left="173"/>
      </w:pPr>
      <w:r>
        <w:rPr>
          <w:b/>
          <w:i w:val="0"/>
        </w:rPr>
        <w:t>C. Abrupt termination may create abandonment and continuity risks.</w:t>
      </w:r>
    </w:p>
    <w:p>
      <w:pPr>
        <w:keepNext/>
        <w:keepLines/>
        <w:spacing w:after="40"/>
        <w:ind w:left="173"/>
      </w:pPr>
      <w:r>
        <w:rPr>
          <w:b/>
          <w:i w:val="0"/>
        </w:rPr>
        <w:t>D. Providing specialized nutritional treatment is outside the therapist’s competence and scope.</w:t>
      </w:r>
    </w:p>
    <w:p>
      <w:pPr>
        <w:keepLines/>
        <w:spacing w:after="120"/>
        <w:ind w:left="173"/>
      </w:pPr>
      <w:r>
        <w:rPr>
          <w:b/>
          <w:i w:val="0"/>
          <w:color w:val="1F4E78"/>
        </w:rPr>
        <w:t xml:space="preserve">Exam Strategy: </w:t>
      </w:r>
      <w:r>
        <w:rPr>
          <w:b w:val="0"/>
          <w:i/>
        </w:rPr>
        <w:t>Referral is strongest when competence, medical risk, level of care, or a specialized service requires it and continuity is preserved.</w:t>
      </w:r>
    </w:p>
    <w:p>
      <w:pPr>
        <w:pStyle w:val="Heading2"/>
        <w:keepNext/>
        <w:keepLines/>
        <w:spacing w:before="100" w:after="40"/>
      </w:pPr>
      <w:r>
        <w:rPr>
          <w:b/>
          <w:i w:val="0"/>
          <w:sz w:val="20"/>
        </w:rPr>
        <w:t>Question 9 (LMFT-WB11-Q009)</w:t>
      </w:r>
    </w:p>
    <w:p>
      <w:pPr>
        <w:keepNext/>
        <w:keepLines/>
      </w:pPr>
      <w:r>
        <w:rPr>
          <w:b/>
          <w:i w:val="0"/>
          <w:color w:val="0F7C82"/>
        </w:rPr>
        <w:t>Correct Answer: C</w:t>
      </w:r>
    </w:p>
    <w:p>
      <w:pPr>
        <w:keepNext/>
        <w:keepLines/>
        <w:spacing w:after="40"/>
        <w:ind w:left="173"/>
      </w:pPr>
      <w:r>
        <w:rPr>
          <w:b/>
          <w:i w:val="0"/>
        </w:rPr>
        <w:t>A. Team participation and general coordination authorization do not automatically justify release of the entire record.</w:t>
      </w:r>
    </w:p>
    <w:p>
      <w:pPr>
        <w:keepNext/>
        <w:keepLines/>
        <w:spacing w:after="40"/>
        <w:ind w:left="173"/>
      </w:pPr>
      <w:r>
        <w:rPr>
          <w:b/>
          <w:i w:val="0"/>
        </w:rPr>
        <w:t>B. Appropriate collaboration may be clinically useful and permitted.</w:t>
      </w:r>
    </w:p>
    <w:p>
      <w:pPr>
        <w:keepNext/>
        <w:keepLines/>
        <w:spacing w:after="40"/>
        <w:ind w:left="173"/>
      </w:pPr>
      <w:r>
        <w:rPr>
          <w:b/>
          <w:i w:val="0"/>
        </w:rPr>
        <w:t>C. Correct. The therapist should define purpose, authorization, roles, and the limited information needed.</w:t>
      </w:r>
    </w:p>
    <w:p>
      <w:pPr>
        <w:keepNext/>
        <w:keepLines/>
        <w:spacing w:after="40"/>
        <w:ind w:left="173"/>
      </w:pPr>
      <w:r>
        <w:rPr>
          <w:b/>
          <w:i w:val="0"/>
        </w:rPr>
        <w:t>D. Using a partner does not resolve authorization, accuracy, or confidentiality concerns.</w:t>
      </w:r>
    </w:p>
    <w:p>
      <w:pPr>
        <w:keepLines/>
        <w:spacing w:after="120"/>
        <w:ind w:left="173"/>
      </w:pPr>
      <w:r>
        <w:rPr>
          <w:b/>
          <w:i w:val="0"/>
          <w:color w:val="1F4E78"/>
        </w:rPr>
        <w:t xml:space="preserve">Exam Strategy: </w:t>
      </w:r>
      <w:r>
        <w:rPr>
          <w:b w:val="0"/>
          <w:i/>
        </w:rPr>
        <w:t>Clarify consent, purpose, roles, minimum necessary information, responsibility, and follow-up; team involvement is not blanket permission.</w:t>
      </w:r>
    </w:p>
    <w:p>
      <w:pPr>
        <w:pStyle w:val="Heading2"/>
        <w:keepNext/>
        <w:keepLines/>
        <w:spacing w:before="100" w:after="40"/>
      </w:pPr>
      <w:r>
        <w:rPr>
          <w:b/>
          <w:i w:val="0"/>
          <w:sz w:val="20"/>
        </w:rPr>
        <w:t>Question 10 (LMFT-WB11-Q010)</w:t>
      </w:r>
    </w:p>
    <w:p>
      <w:pPr>
        <w:keepNext/>
        <w:keepLines/>
      </w:pPr>
      <w:r>
        <w:rPr>
          <w:b/>
          <w:i w:val="0"/>
          <w:color w:val="0F7C82"/>
        </w:rPr>
        <w:t>Correct Answer: D</w:t>
      </w:r>
    </w:p>
    <w:p>
      <w:pPr>
        <w:keepNext/>
        <w:keepLines/>
        <w:spacing w:after="40"/>
        <w:ind w:left="173"/>
      </w:pPr>
      <w:r>
        <w:rPr>
          <w:b/>
          <w:i w:val="0"/>
        </w:rPr>
        <w:t>A. Technique switching without reassessment can repeat the original mismatch.</w:t>
      </w:r>
    </w:p>
    <w:p>
      <w:pPr>
        <w:keepNext/>
        <w:keepLines/>
        <w:spacing w:after="40"/>
        <w:ind w:left="173"/>
      </w:pPr>
      <w:r>
        <w:rPr>
          <w:b/>
          <w:i w:val="0"/>
        </w:rPr>
        <w:t>B. A group referral and closure are premature without assessing fit, safety, and continuity.</w:t>
      </w:r>
    </w:p>
    <w:p>
      <w:pPr>
        <w:keepNext/>
        <w:keepLines/>
        <w:spacing w:after="40"/>
        <w:ind w:left="173"/>
      </w:pPr>
      <w:r>
        <w:rPr>
          <w:b/>
          <w:i w:val="0"/>
        </w:rPr>
        <w:t>C. Blaming the family ignores possible formulation, alliance, access, and intervention-fit problems.</w:t>
      </w:r>
    </w:p>
    <w:p>
      <w:pPr>
        <w:keepNext/>
        <w:keepLines/>
        <w:spacing w:after="40"/>
        <w:ind w:left="173"/>
      </w:pPr>
      <w:r>
        <w:rPr>
          <w:b/>
          <w:i w:val="0"/>
        </w:rPr>
        <w:t>D. Correct. The response integrates safety, health, systemic formulation, treatment response, theory selection, alliance, and collaboration.</w:t>
      </w:r>
    </w:p>
    <w:p>
      <w:pPr>
        <w:keepLines/>
        <w:spacing w:after="120"/>
        <w:ind w:left="173"/>
      </w:pPr>
      <w:r>
        <w:rPr>
          <w:b/>
          <w:i w:val="0"/>
          <w:color w:val="1F4E78"/>
        </w:rPr>
        <w:t xml:space="preserve">Exam Strategy: </w:t>
      </w:r>
      <w:r>
        <w:rPr>
          <w:b w:val="0"/>
          <w:i/>
        </w:rPr>
        <w:t>Choose a coherent formulation and intervention sequence, then evaluate response. Integration is not random technique collection.</w:t>
      </w:r>
    </w:p>
    <w:p>
      <w:pPr>
        <w:pStyle w:val="Heading1"/>
      </w:pPr>
      <w:r>
        <w:t>Score and Study Plan</w:t>
      </w:r>
    </w:p>
    <w:tbl>
      <w:tblPr>
        <w:tblStyle w:val="TableGrid"/>
        <w:tblW w:type="auto" w:w="0"/>
        <w:jc w:val="center"/>
        <w:tblLayout w:type="fixed"/>
        <w:tblLook w:firstColumn="1" w:firstRow="1" w:lastColumn="0" w:lastRow="0" w:noHBand="0" w:noVBand="1" w:val="04A0"/>
      </w:tblPr>
      <w:tblGrid>
        <w:gridCol w:w="1728"/>
        <w:gridCol w:w="2880"/>
        <w:gridCol w:w="5328"/>
      </w:tblGrid>
      <w:tr>
        <w:trPr>
          <w:tblHeader w:val="true"/>
          <w:cantSplit/>
        </w:trPr>
        <w:tc>
          <w:tcPr>
            <w:tcW w:type="dxa" w:w="3360"/>
            <w:shd w:fill="17365D"/>
            <w:tcMar>
              <w:top w:w="100" w:type="dxa"/>
              <w:start w:w="120" w:type="dxa"/>
              <w:bottom w:w="100" w:type="dxa"/>
              <w:end w:w="120" w:type="dxa"/>
            </w:tcMar>
          </w:tcPr>
          <w:p>
            <w:pPr>
              <w:spacing w:after="0"/>
            </w:pPr>
            <w:r>
              <w:rPr>
                <w:b/>
                <w:color w:val="FFFFFF"/>
                <w:sz w:val="18"/>
              </w:rPr>
              <w:t>Score Range</w:t>
            </w:r>
          </w:p>
        </w:tc>
        <w:tc>
          <w:tcPr>
            <w:tcW w:type="dxa" w:w="3360"/>
            <w:shd w:fill="17365D"/>
            <w:tcMar>
              <w:top w:w="100" w:type="dxa"/>
              <w:start w:w="120" w:type="dxa"/>
              <w:bottom w:w="100" w:type="dxa"/>
              <w:end w:w="120" w:type="dxa"/>
            </w:tcMar>
          </w:tcPr>
          <w:p>
            <w:pPr>
              <w:spacing w:after="0"/>
            </w:pPr>
            <w:r>
              <w:rPr>
                <w:b/>
                <w:color w:val="FFFFFF"/>
                <w:sz w:val="18"/>
              </w:rPr>
              <w:t>Meaning</w:t>
            </w:r>
          </w:p>
        </w:tc>
        <w:tc>
          <w:tcPr>
            <w:tcW w:type="dxa" w:w="3360"/>
            <w:shd w:fill="17365D"/>
            <w:tcMar>
              <w:top w:w="100" w:type="dxa"/>
              <w:start w:w="120" w:type="dxa"/>
              <w:bottom w:w="100" w:type="dxa"/>
              <w:end w:w="120" w:type="dxa"/>
            </w:tcMar>
          </w:tcPr>
          <w:p>
            <w:pPr>
              <w:spacing w:after="0"/>
            </w:pPr>
            <w:r>
              <w:rPr>
                <w:b/>
                <w:color w:val="FFFFFF"/>
                <w:sz w:val="18"/>
              </w:rPr>
              <w:t>Recommended Next Step</w:t>
            </w:r>
          </w:p>
        </w:tc>
      </w:tr>
      <w:tr>
        <w:trPr>
          <w:cantSplit/>
        </w:trPr>
        <w:tc>
          <w:tcPr>
            <w:tcW w:type="dxa" w:w="1728"/>
            <w:tcMar>
              <w:top w:w="100" w:type="dxa"/>
              <w:start w:w="120" w:type="dxa"/>
              <w:bottom w:w="100" w:type="dxa"/>
              <w:end w:w="120" w:type="dxa"/>
            </w:tcMar>
          </w:tcPr>
          <w:p>
            <w:pPr>
              <w:spacing w:after="0"/>
            </w:pPr>
            <w:r>
              <w:rPr>
                <w:sz w:val="18"/>
              </w:rPr>
              <w:t>9-10</w:t>
            </w:r>
          </w:p>
        </w:tc>
        <w:tc>
          <w:tcPr>
            <w:tcW w:type="dxa" w:w="2880"/>
            <w:tcMar>
              <w:top w:w="100" w:type="dxa"/>
              <w:start w:w="120" w:type="dxa"/>
              <w:bottom w:w="100" w:type="dxa"/>
              <w:end w:w="120" w:type="dxa"/>
            </w:tcMar>
          </w:tcPr>
          <w:p>
            <w:pPr>
              <w:spacing w:after="0"/>
            </w:pPr>
            <w:r>
              <w:rPr>
                <w:sz w:val="18"/>
              </w:rPr>
              <w:t>Strong theory and systems reasoning</w:t>
            </w:r>
          </w:p>
        </w:tc>
        <w:tc>
          <w:tcPr>
            <w:tcW w:type="dxa" w:w="5328"/>
            <w:tcMar>
              <w:top w:w="100" w:type="dxa"/>
              <w:start w:w="120" w:type="dxa"/>
              <w:bottom w:w="100" w:type="dxa"/>
              <w:end w:w="120" w:type="dxa"/>
            </w:tcMar>
          </w:tcPr>
          <w:p>
            <w:pPr>
              <w:spacing w:after="0"/>
            </w:pPr>
            <w:r>
              <w:rPr>
                <w:sz w:val="18"/>
              </w:rPr>
              <w:t>Review low-confidence items and practice mixed vignettes that require theory selection, group judgment, referral, and collaboration.</w:t>
            </w:r>
          </w:p>
        </w:tc>
      </w:tr>
      <w:tr>
        <w:trPr>
          <w:cantSplit/>
        </w:trPr>
        <w:tc>
          <w:tcPr>
            <w:tcW w:type="dxa" w:w="1728"/>
            <w:tcMar>
              <w:top w:w="100" w:type="dxa"/>
              <w:start w:w="120" w:type="dxa"/>
              <w:bottom w:w="100" w:type="dxa"/>
              <w:end w:w="120" w:type="dxa"/>
            </w:tcMar>
            <w:shd w:fill="F7F8FA"/>
          </w:tcPr>
          <w:p>
            <w:pPr>
              <w:spacing w:after="0"/>
            </w:pPr>
            <w:r>
              <w:rPr>
                <w:sz w:val="18"/>
              </w:rPr>
              <w:t>7-8</w:t>
            </w:r>
          </w:p>
        </w:tc>
        <w:tc>
          <w:tcPr>
            <w:tcW w:type="dxa" w:w="2880"/>
            <w:tcMar>
              <w:top w:w="100" w:type="dxa"/>
              <w:start w:w="120" w:type="dxa"/>
              <w:bottom w:w="100" w:type="dxa"/>
              <w:end w:w="120" w:type="dxa"/>
            </w:tcMar>
            <w:shd w:fill="F7F8FA"/>
          </w:tcPr>
          <w:p>
            <w:pPr>
              <w:spacing w:after="0"/>
            </w:pPr>
            <w:r>
              <w:rPr>
                <w:sz w:val="18"/>
              </w:rPr>
              <w:t>Developing consistency</w:t>
            </w:r>
          </w:p>
        </w:tc>
        <w:tc>
          <w:tcPr>
            <w:tcW w:type="dxa" w:w="5328"/>
            <w:tcMar>
              <w:top w:w="100" w:type="dxa"/>
              <w:start w:w="120" w:type="dxa"/>
              <w:bottom w:w="100" w:type="dxa"/>
              <w:end w:w="120" w:type="dxa"/>
            </w:tcMar>
            <w:shd w:fill="F7F8FA"/>
          </w:tcPr>
          <w:p>
            <w:pPr>
              <w:spacing w:after="0"/>
            </w:pPr>
            <w:r>
              <w:rPr>
                <w:sz w:val="18"/>
              </w:rPr>
              <w:t>Revisit the theory comparison tables and explain the maintaining mechanism before selecting an intervention.</w:t>
            </w:r>
          </w:p>
        </w:tc>
      </w:tr>
      <w:tr>
        <w:trPr>
          <w:cantSplit/>
        </w:trPr>
        <w:tc>
          <w:tcPr>
            <w:tcW w:type="dxa" w:w="1728"/>
            <w:tcMar>
              <w:top w:w="100" w:type="dxa"/>
              <w:start w:w="120" w:type="dxa"/>
              <w:bottom w:w="100" w:type="dxa"/>
              <w:end w:w="120" w:type="dxa"/>
            </w:tcMar>
          </w:tcPr>
          <w:p>
            <w:pPr>
              <w:spacing w:after="0"/>
            </w:pPr>
            <w:r>
              <w:rPr>
                <w:sz w:val="18"/>
              </w:rPr>
              <w:t>5-6</w:t>
            </w:r>
          </w:p>
        </w:tc>
        <w:tc>
          <w:tcPr>
            <w:tcW w:type="dxa" w:w="2880"/>
            <w:tcMar>
              <w:top w:w="100" w:type="dxa"/>
              <w:start w:w="120" w:type="dxa"/>
              <w:bottom w:w="100" w:type="dxa"/>
              <w:end w:w="120" w:type="dxa"/>
            </w:tcMar>
          </w:tcPr>
          <w:p>
            <w:pPr>
              <w:spacing w:after="0"/>
            </w:pPr>
            <w:r>
              <w:rPr>
                <w:sz w:val="18"/>
              </w:rPr>
              <w:t>Important application gaps</w:t>
            </w:r>
          </w:p>
        </w:tc>
        <w:tc>
          <w:tcPr>
            <w:tcW w:type="dxa" w:w="5328"/>
            <w:tcMar>
              <w:top w:w="100" w:type="dxa"/>
              <w:start w:w="120" w:type="dxa"/>
              <w:bottom w:w="100" w:type="dxa"/>
              <w:end w:w="120" w:type="dxa"/>
            </w:tcMar>
          </w:tcPr>
          <w:p>
            <w:pPr>
              <w:spacing w:after="0"/>
            </w:pPr>
            <w:r>
              <w:rPr>
                <w:sz w:val="18"/>
              </w:rPr>
              <w:t>Practice matching one clinical target to one theory-informed response and identifying when referral or consultation is needed.</w:t>
            </w:r>
          </w:p>
        </w:tc>
      </w:tr>
      <w:tr>
        <w:trPr>
          <w:cantSplit/>
        </w:trPr>
        <w:tc>
          <w:tcPr>
            <w:tcW w:type="dxa" w:w="1728"/>
            <w:tcMar>
              <w:top w:w="100" w:type="dxa"/>
              <w:start w:w="120" w:type="dxa"/>
              <w:bottom w:w="100" w:type="dxa"/>
              <w:end w:w="120" w:type="dxa"/>
            </w:tcMar>
            <w:shd w:fill="F7F8FA"/>
          </w:tcPr>
          <w:p>
            <w:pPr>
              <w:spacing w:after="0"/>
            </w:pPr>
            <w:r>
              <w:rPr>
                <w:sz w:val="18"/>
              </w:rPr>
              <w:t>0-4</w:t>
            </w:r>
          </w:p>
        </w:tc>
        <w:tc>
          <w:tcPr>
            <w:tcW w:type="dxa" w:w="2880"/>
            <w:tcMar>
              <w:top w:w="100" w:type="dxa"/>
              <w:start w:w="120" w:type="dxa"/>
              <w:bottom w:w="100" w:type="dxa"/>
              <w:end w:w="120" w:type="dxa"/>
            </w:tcMar>
            <w:shd w:fill="F7F8FA"/>
          </w:tcPr>
          <w:p>
            <w:pPr>
              <w:spacing w:after="0"/>
            </w:pPr>
            <w:r>
              <w:rPr>
                <w:sz w:val="18"/>
              </w:rPr>
              <w:t>Foundation needs reinforcement</w:t>
            </w:r>
          </w:p>
        </w:tc>
        <w:tc>
          <w:tcPr>
            <w:tcW w:type="dxa" w:w="5328"/>
            <w:tcMar>
              <w:top w:w="100" w:type="dxa"/>
              <w:start w:w="120" w:type="dxa"/>
              <w:bottom w:w="100" w:type="dxa"/>
              <w:end w:w="120" w:type="dxa"/>
            </w:tcMar>
            <w:shd w:fill="F7F8FA"/>
          </w:tcPr>
          <w:p>
            <w:pPr>
              <w:spacing w:after="0"/>
            </w:pPr>
            <w:r>
              <w:rPr>
                <w:sz w:val="18"/>
              </w:rPr>
              <w:t>Study theory families and group/referral sequences separately, then retake the questions without the answer key.</w:t>
            </w:r>
          </w:p>
        </w:tc>
      </w:tr>
    </w:tbl>
    <w:p>
      <w:pPr>
        <w:spacing w:after="0"/>
      </w:pPr>
    </w:p>
    <w:p>
      <w:pPr>
        <w:pStyle w:val="Heading2"/>
      </w:pPr>
      <w:r>
        <w:t>My Error Patterns</w:t>
      </w:r>
    </w:p>
    <w:tbl>
      <w:tblPr>
        <w:tblStyle w:val="TableGrid"/>
        <w:tblW w:type="auto" w:w="0"/>
        <w:jc w:val="center"/>
        <w:tblLayout w:type="fixed"/>
        <w:tblLook w:firstColumn="1" w:firstRow="1" w:lastColumn="0" w:lastRow="0" w:noHBand="0" w:noVBand="1" w:val="04A0"/>
      </w:tblPr>
      <w:tblGrid>
        <w:gridCol w:w="2016"/>
        <w:gridCol w:w="3024"/>
        <w:gridCol w:w="4896"/>
      </w:tblGrid>
      <w:tr>
        <w:trPr>
          <w:tblHeader w:val="true"/>
          <w:cantSplit/>
        </w:trPr>
        <w:tc>
          <w:tcPr>
            <w:tcW w:type="dxa" w:w="3360"/>
            <w:shd w:fill="17365D"/>
            <w:tcMar>
              <w:top w:w="100" w:type="dxa"/>
              <w:start w:w="120" w:type="dxa"/>
              <w:bottom w:w="100" w:type="dxa"/>
              <w:end w:w="120" w:type="dxa"/>
            </w:tcMar>
          </w:tcPr>
          <w:p>
            <w:pPr>
              <w:spacing w:after="0"/>
            </w:pPr>
            <w:r>
              <w:rPr>
                <w:b/>
                <w:color w:val="FFFFFF"/>
                <w:sz w:val="18"/>
              </w:rPr>
              <w:t>Question(s)</w:t>
            </w:r>
          </w:p>
        </w:tc>
        <w:tc>
          <w:tcPr>
            <w:tcW w:type="dxa" w:w="3360"/>
            <w:shd w:fill="17365D"/>
            <w:tcMar>
              <w:top w:w="100" w:type="dxa"/>
              <w:start w:w="120" w:type="dxa"/>
              <w:bottom w:w="100" w:type="dxa"/>
              <w:end w:w="120" w:type="dxa"/>
            </w:tcMar>
          </w:tcPr>
          <w:p>
            <w:pPr>
              <w:spacing w:after="0"/>
            </w:pPr>
            <w:r>
              <w:rPr>
                <w:b/>
                <w:color w:val="FFFFFF"/>
                <w:sz w:val="18"/>
              </w:rPr>
              <w:t>Error Type</w:t>
            </w:r>
          </w:p>
        </w:tc>
        <w:tc>
          <w:tcPr>
            <w:tcW w:type="dxa" w:w="3360"/>
            <w:shd w:fill="17365D"/>
            <w:tcMar>
              <w:top w:w="100" w:type="dxa"/>
              <w:start w:w="120" w:type="dxa"/>
              <w:bottom w:w="100" w:type="dxa"/>
              <w:end w:w="120" w:type="dxa"/>
            </w:tcMar>
          </w:tcPr>
          <w:p>
            <w:pPr>
              <w:spacing w:after="0"/>
            </w:pPr>
            <w:r>
              <w:rPr>
                <w:b/>
                <w:color w:val="FFFFFF"/>
                <w:sz w:val="18"/>
              </w:rPr>
              <w:t>Rule I Will Use Next Time</w:t>
            </w:r>
          </w:p>
        </w:tc>
      </w:tr>
      <w:tr>
        <w:trPr>
          <w:cantSplit/>
        </w:trPr>
        <w:tc>
          <w:tcPr>
            <w:tcW w:type="dxa" w:w="2016"/>
            <w:tcMar>
              <w:top w:w="100" w:type="dxa"/>
              <w:start w:w="120" w:type="dxa"/>
              <w:bottom w:w="100" w:type="dxa"/>
              <w:end w:w="120" w:type="dxa"/>
            </w:tcMar>
          </w:tcPr>
          <w:p>
            <w:pPr>
              <w:spacing w:after="0"/>
            </w:pPr>
            <w:r>
              <w:rPr>
                <w:sz w:val="18"/>
              </w:rPr>
            </w:r>
          </w:p>
        </w:tc>
        <w:tc>
          <w:tcPr>
            <w:tcW w:type="dxa" w:w="3024"/>
            <w:tcMar>
              <w:top w:w="100" w:type="dxa"/>
              <w:start w:w="120" w:type="dxa"/>
              <w:bottom w:w="100" w:type="dxa"/>
              <w:end w:w="120" w:type="dxa"/>
            </w:tcMar>
          </w:tcPr>
          <w:p>
            <w:pPr>
              <w:spacing w:after="0"/>
            </w:pPr>
            <w:r>
              <w:rPr>
                <w:sz w:val="18"/>
              </w:rPr>
            </w:r>
          </w:p>
        </w:tc>
        <w:tc>
          <w:tcPr>
            <w:tcW w:type="dxa" w:w="4896"/>
            <w:tcMar>
              <w:top w:w="100" w:type="dxa"/>
              <w:start w:w="120" w:type="dxa"/>
              <w:bottom w:w="100" w:type="dxa"/>
              <w:end w:w="120" w:type="dxa"/>
            </w:tcMar>
          </w:tcPr>
          <w:p>
            <w:pPr>
              <w:spacing w:after="0"/>
            </w:pPr>
            <w:r>
              <w:rPr>
                <w:sz w:val="18"/>
              </w:rPr>
            </w:r>
          </w:p>
        </w:tc>
      </w:tr>
      <w:tr>
        <w:trPr>
          <w:cantSplit/>
        </w:trPr>
        <w:tc>
          <w:tcPr>
            <w:tcW w:type="dxa" w:w="2016"/>
            <w:tcMar>
              <w:top w:w="100" w:type="dxa"/>
              <w:start w:w="120" w:type="dxa"/>
              <w:bottom w:w="100" w:type="dxa"/>
              <w:end w:w="120" w:type="dxa"/>
            </w:tcMar>
            <w:shd w:fill="F7F8FA"/>
          </w:tcPr>
          <w:p>
            <w:pPr>
              <w:spacing w:after="0"/>
            </w:pPr>
            <w:r>
              <w:rPr>
                <w:sz w:val="18"/>
              </w:rPr>
            </w:r>
          </w:p>
        </w:tc>
        <w:tc>
          <w:tcPr>
            <w:tcW w:type="dxa" w:w="3024"/>
            <w:tcMar>
              <w:top w:w="100" w:type="dxa"/>
              <w:start w:w="120" w:type="dxa"/>
              <w:bottom w:w="100" w:type="dxa"/>
              <w:end w:w="120" w:type="dxa"/>
            </w:tcMar>
            <w:shd w:fill="F7F8FA"/>
          </w:tcPr>
          <w:p>
            <w:pPr>
              <w:spacing w:after="0"/>
            </w:pPr>
            <w:r>
              <w:rPr>
                <w:sz w:val="18"/>
              </w:rPr>
            </w:r>
          </w:p>
        </w:tc>
        <w:tc>
          <w:tcPr>
            <w:tcW w:type="dxa" w:w="4896"/>
            <w:tcMar>
              <w:top w:w="100" w:type="dxa"/>
              <w:start w:w="120" w:type="dxa"/>
              <w:bottom w:w="100" w:type="dxa"/>
              <w:end w:w="120" w:type="dxa"/>
            </w:tcMar>
            <w:shd w:fill="F7F8FA"/>
          </w:tcPr>
          <w:p>
            <w:pPr>
              <w:spacing w:after="0"/>
            </w:pPr>
            <w:r>
              <w:rPr>
                <w:sz w:val="18"/>
              </w:rPr>
            </w:r>
          </w:p>
        </w:tc>
      </w:tr>
    </w:tbl>
    <w:p>
      <w:pPr>
        <w:spacing w:after="0"/>
      </w:pPr>
    </w:p>
    <w:p>
      <w:pPr>
        <w:pStyle w:val="Heading2"/>
      </w:pPr>
      <w:r>
        <w:t>Final Review Checklist</w:t>
      </w:r>
    </w:p>
    <w:p>
      <w:pPr>
        <w:pStyle w:val="ListBullet"/>
      </w:pPr>
      <w:r>
        <w:t>Did I identify the maintaining mechanism before choosing a named theory or technique?</w:t>
      </w:r>
    </w:p>
    <w:p>
      <w:pPr>
        <w:pStyle w:val="ListBullet"/>
      </w:pPr>
      <w:r>
        <w:t>Did I select a theory-informed intervention that fits the treatment unit, goals, culture, development, and readiness?</w:t>
      </w:r>
    </w:p>
    <w:p>
      <w:pPr>
        <w:pStyle w:val="ListBullet"/>
      </w:pPr>
      <w:r>
        <w:t>Did I assess group purpose, screening, stability, access, stage, and cohesion?</w:t>
      </w:r>
    </w:p>
    <w:p>
      <w:pPr>
        <w:pStyle w:val="ListBullet"/>
      </w:pPr>
      <w:r>
        <w:t>Did I distinguish consultation, adjunctive care, referral, and transfer of care?</w:t>
      </w:r>
    </w:p>
    <w:p>
      <w:pPr>
        <w:pStyle w:val="ListBullet"/>
      </w:pPr>
      <w:r>
        <w:t>Did I clarify consent, role, information limits, responsibility, and follow-up in collaboration?</w:t>
      </w:r>
    </w:p>
    <w:p>
      <w:pPr>
        <w:pStyle w:val="ListBullet"/>
      </w:pPr>
      <w:r>
        <w:t>Did I define how progress or nonresponse will change the formulation or intervention?</w:t>
      </w:r>
    </w:p>
    <w:p>
      <w:pPr>
        <w:pStyle w:val="Heading1"/>
      </w:pPr>
      <w:r>
        <w:t>Sources and Currency Note</w:t>
      </w:r>
    </w:p>
    <w:p>
      <w:pPr>
        <w:pStyle w:val="ListBullet"/>
      </w:pPr>
      <w:r>
        <w:t>California Board of Behavioral Sciences. Licensed Marriage and Family Therapist Written Clinical Examination Outline, current official treatment-domain statements addressing theory, group work, referral, adjunctive care, consultation, and interdisciplinary collaboration (accessed July 24, 2026).</w:t>
      </w:r>
    </w:p>
    <w:p>
      <w:pPr>
        <w:pStyle w:val="ListBullet"/>
      </w:pPr>
      <w:r>
        <w:t>California Board of Behavioral Sciences. LMFT Clinical Examination resources and current candidate information (accessed July 24, 2026).</w:t>
      </w:r>
    </w:p>
    <w:p>
      <w:pPr>
        <w:pStyle w:val="ListBullet"/>
      </w:pPr>
      <w:r>
        <w:t>Pearson VUE. California Board of Behavioral Sciences examination resources and current LMFT Written Clinical Examination Outline (accessed July 24, 2026).</w:t>
      </w:r>
    </w:p>
    <w:p>
      <w:pPr>
        <w:pStyle w:val="ListBullet"/>
      </w:pPr>
      <w:r>
        <w:t>Theory-informed treatment, group practice, referral, consultation, and collaboration require individualized assessment, competence, informed participation, confidentiality analysis, and continuity planning.</w:t>
      </w:r>
    </w:p>
    <w:p>
      <w:pPr>
        <w:pStyle w:val="ListBullet"/>
      </w:pPr>
      <w:r>
        <w:t>Examination specifications, laws, regulations, and professional guidance may change. Candidates should verify current official sources and setting-specific requirements.</w:t>
      </w:r>
    </w:p>
    <w:sectPr w:rsidR="00FC693F" w:rsidRPr="0006063C" w:rsidSect="00034616">
      <w:headerReference w:type="first" r:id="rId10"/>
      <w:footerReference w:type="first" r:id="rId11"/>
      <w:headerReference w:type="default" r:id="rId12"/>
      <w:footerReference w:type="default" r:id="rId13"/>
      <w:headerReference w:type="even" r:id="rId14"/>
      <w:footerReference w:type="even" r:id="rId15"/>
      <w:pgSz w:w="12240" w:h="15840"/>
      <w:pgMar w:top="936" w:right="1080" w:bottom="936" w:left="1080" w:header="360"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5040"/>
      <w:gridCol w:w="5040"/>
    </w:tblGrid>
    <w:tr>
      <w:trPr>
        <w:tblHeader w:val="true"/>
      </w:trPr>
      <w:tc>
        <w:tcPr>
          <w:tcW w:type="dxa" w:w="5040"/>
        </w:tcPr>
        <w:p>
          <w:r>
            <w:rPr>
              <w:rFonts w:ascii="Aptos" w:hAnsi="Aptos"/>
              <w:color w:val="6B7280"/>
              <w:sz w:val="16"/>
            </w:rPr>
            <w:t>Clinical Training Academy • Student Workbook</w:t>
          </w:r>
        </w:p>
      </w:tc>
      <w:tc>
        <w:tcPr>
          <w:tcW w:type="dxa" w:w="5040"/>
        </w:tcPr>
        <w:p>
          <w:pPr>
            <w:jc w:val="right"/>
          </w:pPr>
          <w:r>
            <w:t xml:space="preserve">Page </w:t>
          </w:r>
          <w:r>
            <w:fldChar w:fldCharType="begin"/>
            <w:instrText xml:space="preserve"> PAGE </w:instrText>
            <w:fldChar w:fldCharType="separate"/>
            <w:t>1</w:t>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667085"/>
        <w:sz w:val="18"/>
      </w:rPr>
      <w:t xml:space="preserve">   LMFT Workbook 11 • Theory, Groups, Referral, and Interdisciplinary Collaboration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E749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Caps">
    <w:name w:val="CTA Small Caps"/>
    <w:pPr>
      <w:spacing w:after="40"/>
    </w:pPr>
    <w:rPr>
      <w:rFonts w:ascii="Aptos" w:hAnsi="Aptos"/>
      <w:b/>
      <w:color w:val="0E749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Workbook 11: Theory, Groups, Referral, and Interdisciplinary Collaboration</dc:title>
  <dc:subject>LMFT Exam Preparation Program Student Workbook</dc:subject>
  <dc:creator>Clinical Training Academy</dc:creator>
  <cp:keywords>CTA, LMFT, exam preparation, Workbook 11</cp:keywords>
  <dc:description>Student-facing examination preparation workbook.</dc:description>
  <cp:lastModifiedBy>Clinical Training Academy</cp:lastModifiedBy>
  <cp:revision>1</cp:revision>
  <dcterms:created xsi:type="dcterms:W3CDTF">2013-12-23T23:15:00Z</dcterms:created>
  <dcterms:modified xsi:type="dcterms:W3CDTF">2013-12-23T23:15:00Z</dcterms:modified>
  <cp:category/>
</cp:coreProperties>
</file>