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321942"/>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CTA_Stacked_Logo(3).png"/>
                    <pic:cNvPicPr/>
                  </pic:nvPicPr>
                  <pic:blipFill>
                    <a:blip r:embed="rId9"/>
                    <a:stretch>
                      <a:fillRect/>
                    </a:stretch>
                  </pic:blipFill>
                  <pic:spPr>
                    <a:xfrm>
                      <a:off x="0" y="0"/>
                      <a:ext cx="1828800" cy="1321942"/>
                    </a:xfrm>
                    <a:prstGeom prst="rect"/>
                  </pic:spPr>
                </pic:pic>
              </a:graphicData>
            </a:graphic>
          </wp:inline>
        </w:drawing>
      </w:r>
    </w:p>
    <w:p>
      <w:pPr>
        <w:jc w:val="center"/>
      </w:pPr>
      <w:r>
        <w:t>LMFT CALIFORNIA CLINICAL EXAM PREPARATION PROGRAM</w:t>
      </w:r>
    </w:p>
    <w:p>
      <w:pPr>
        <w:jc w:val="center"/>
      </w:pPr>
      <w:r>
        <w:t>Student Workbook</w:t>
      </w:r>
    </w:p>
    <w:p>
      <w:pPr>
        <w:pStyle w:val="Title"/>
        <w:jc w:val="center"/>
      </w:pPr>
      <w:r>
        <w:t>CTA LMFT Workbook 3: Developmental, Psychosocial, and Diversity Assessment</w:t>
      </w:r>
    </w:p>
    <w:p>
      <w:pPr>
        <w:jc w:val="center"/>
      </w:pPr>
      <w:r>
        <w:rPr>
          <w:rFonts w:ascii="Aptos" w:hAnsi="Aptos"/>
          <w:i/>
          <w:color w:val="4B5563"/>
          <w:sz w:val="24"/>
        </w:rPr>
        <w:t>How to understand development, life transitions, identity, culture, and contextual stress through a systemic lens</w:t>
      </w:r>
    </w:p>
    <w:p/>
    <w:p>
      <w:pPr>
        <w:jc w:val="center"/>
      </w:pPr>
      <w:r>
        <w:t>Version 1.0 - July 2026</w:t>
      </w:r>
    </w:p>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p/>
    <w:p>
      <w:pPr>
        <w:jc w:val="center"/>
      </w:pPr>
      <w:r>
        <w:t>Clinical Training Academy</w:t>
      </w:r>
    </w:p>
    <w:p>
      <w:r>
        <w:br w:type="page"/>
      </w:r>
    </w:p>
    <w:p>
      <w:pPr>
        <w:pStyle w:val="Heading1"/>
      </w:pPr>
      <w:r>
        <w:t>How to Use This Workbook</w:t>
      </w:r>
    </w:p>
    <w:p>
      <w:r>
        <w:t>Use this workbook to interpret developmental and psychosocial information within family, cultural, socioeconomic, institutional, and environmental contexts. Study the contextual reasoning sequence, complete the Developmental-Systemic Context Map, answer all 10 questions before viewing the key, and use each rationale to identify whether an error came from stereotyping, premature diagnosis, individualizing a systemic concern, or intervening before assessment.</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FF2CC"/>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8A5A00"/>
                <w:sz w:val="19"/>
              </w:rPr>
              <w:t xml:space="preserve">IMPORTANT: </w:t>
            </w:r>
            <w:r>
              <w:rPr>
                <w:rFonts w:ascii="Aptos" w:hAnsi="Aptos"/>
                <w:color w:val="1F2937"/>
                <w:sz w:val="19"/>
              </w:rPr>
              <w:t>Developmental stage, culture, spirituality, disability, gender, sexuality, migration, military service, and socioeconomic status are assessment domains—not automatic explanations or diagnoses. Let the client’s functioning, meaning, relationships, and context determine clinical relevance.</w:t>
            </w:r>
          </w:p>
        </w:tc>
      </w:tr>
    </w:tbl>
    <w:p/>
    <w:p>
      <w:pPr>
        <w:pStyle w:val="Heading1"/>
      </w:pPr>
      <w:r>
        <w:t>Learning Objectives</w:t>
      </w:r>
    </w:p>
    <w:p>
      <w:pPr>
        <w:pStyle w:val="ListBullet"/>
      </w:pPr>
      <w:r>
        <w:t>Differentiate chronological age, developmental level, life stage, and family life-cycle position in clinical assessment.</w:t>
      </w:r>
    </w:p>
    <w:p>
      <w:pPr>
        <w:pStyle w:val="ListBullet"/>
      </w:pPr>
      <w:r>
        <w:t>Assess how biological, psychological, relational, cultural, socioeconomic, institutional, and environmental factors interact with presenting concerns.</w:t>
      </w:r>
    </w:p>
    <w:p>
      <w:pPr>
        <w:pStyle w:val="ListBullet"/>
      </w:pPr>
      <w:r>
        <w:t>Apply cultural humility when evaluating identity, spirituality, disability, migration, military experience, discrimination, and access needs.</w:t>
      </w:r>
    </w:p>
    <w:p>
      <w:pPr>
        <w:pStyle w:val="ListBullet"/>
      </w:pPr>
      <w:r>
        <w:t>Use a systemic lens to evaluate developmental transitions, family roles, relational patterns, stressors, strengths, and resilience.</w:t>
      </w:r>
    </w:p>
    <w:p>
      <w:pPr>
        <w:pStyle w:val="ListBullet"/>
      </w:pPr>
      <w:r>
        <w:t>Select the best FIRST or NEXT action by gathering essential contextual information before diagnosing, advising, referring, or intervening.</w:t>
      </w:r>
    </w:p>
    <w:p>
      <w:pPr>
        <w:pStyle w:val="Heading1"/>
      </w:pPr>
      <w:r>
        <w:t>Why This Topic Matters</w:t>
      </w:r>
    </w:p>
    <w:p>
      <w:r>
        <w:t>The same behavior can have different meanings at different ages, developmental levels, life stages, and points in a family transition. It may reflect expected adaptation, developmental delay, trauma, environmental stress, relational conflict, discrimination, illness, or several interacting factors. The exam therefore tests whether you gather the information needed to understand the client and family system before choosing a diagnosis or intervention.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CORE QUESTION: </w:t>
            </w:r>
            <w:r>
              <w:rPr>
                <w:rFonts w:ascii="Aptos" w:hAnsi="Aptos"/>
                <w:color w:val="1F2937"/>
                <w:sz w:val="19"/>
              </w:rPr>
              <w:t>What is happening, at what developmental point, within which relationships and systems, and with what effect on functioning, safety, and well-being?</w:t>
            </w:r>
          </w:p>
        </w:tc>
      </w:tr>
    </w:tbl>
    <w:p/>
    <w:p>
      <w:pPr>
        <w:pStyle w:val="Heading1"/>
      </w:pPr>
      <w:r>
        <w:t>1. Development Is Multidimensional</w:t>
      </w:r>
    </w:p>
    <w:p>
      <w:r>
        <w:t>A developmental assessment integrates current functioning, developmental history, milestones, delay or regression, health, relationships, identity, environment, strengths, and the client’s meaning. Chronological age is one data point; it does not automatically establish capacity, readiness, or expected behavior.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Domain</w:t>
            </w:r>
          </w:p>
        </w:tc>
        <w:tc>
          <w:tcPr>
            <w:tcW w:type="dxa" w:w="43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What to Assess</w:t>
            </w:r>
          </w:p>
        </w:tc>
        <w:tc>
          <w:tcPr>
            <w:tcW w:type="dxa" w:w="345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Exam Question</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Physical and health</w:t>
            </w:r>
          </w:p>
        </w:tc>
        <w:tc>
          <w:tcPr>
            <w:tcW w:type="dxa" w:w="432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Growth, illness, disability, sleep, nutrition, pain, medication, sensory or motor factors.</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Could health or physical ability explain or intensify the concern?</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Cognitive and learning</w:t>
            </w:r>
          </w:p>
        </w:tc>
        <w:tc>
          <w:tcPr>
            <w:tcW w:type="dxa" w:w="432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Attention, language, memory, executive functioning, academic history, and decision-making.</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Does the task or expectation fit the client’s demonstrated abilities?</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Emotional and behavioral</w:t>
            </w:r>
          </w:p>
        </w:tc>
        <w:tc>
          <w:tcPr>
            <w:tcW w:type="dxa" w:w="432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Emotion regulation, impulse control, coping, mood, behavior patterns, and trauma response.</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Is the behavior expected, stress-related, or clinically concerning?</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Relational and attachment</w:t>
            </w:r>
          </w:p>
        </w:tc>
        <w:tc>
          <w:tcPr>
            <w:tcW w:type="dxa" w:w="432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Caregiving, trust, boundaries, roles, conflict, support, and isolation.</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How do relationships shape or maintain the difficulty?</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Identity and meaning</w:t>
            </w:r>
          </w:p>
        </w:tc>
        <w:tc>
          <w:tcPr>
            <w:tcW w:type="dxa" w:w="432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Culture, faith, gender, sexuality, ability, class, immigration, and community.</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How does the client understand the experience?</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Environmental and structural</w:t>
            </w:r>
          </w:p>
        </w:tc>
        <w:tc>
          <w:tcPr>
            <w:tcW w:type="dxa" w:w="432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Housing, income, school, work, legal systems, military, access, discrimination, and policy.</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What barriers or supports exist outside the individual?</w:t>
            </w:r>
          </w:p>
        </w:tc>
      </w:tr>
    </w:tbl>
    <w:p/>
    <w:p>
      <w:pPr>
        <w:pStyle w:val="Heading1"/>
      </w:pPr>
      <w:r>
        <w:t>2. Typical, Atypical, Delayed, and Regressive Patterns</w:t>
      </w:r>
    </w:p>
    <w:p>
      <w:r>
        <w:t>Typical development describes broad patterns, not rigid deadlines. Atypical development may reflect neurodevelopmental variation, disability, illness, trauma, deprivation, disrupted attachment, limited opportunity, cultural differences in expectations, or other factors. Delay means a milestone or capacity has not developed as expected. Regression means a previously established ability has been lost or reduced.</w:t>
      </w:r>
    </w:p>
    <w:p>
      <w:pPr>
        <w:pStyle w:val="ListBullet"/>
        <w:spacing w:after="60"/>
      </w:pPr>
      <w:r>
        <w:t>Developmental fit: Match expectations, communication, consequences, and interventions to demonstrated capacities and life stage.</w:t>
      </w:r>
    </w:p>
    <w:p>
      <w:pPr>
        <w:pStyle w:val="ListBullet"/>
        <w:spacing w:after="60"/>
      </w:pPr>
      <w:r>
        <w:t>Functional impact: Assess effects on home, school, work, relationships, self-care, safety, and participation.</w:t>
      </w:r>
    </w:p>
    <w:p>
      <w:pPr>
        <w:pStyle w:val="ListBullet"/>
        <w:spacing w:after="60"/>
      </w:pPr>
      <w:r>
        <w:t>Multiple settings: A behavior limited to one setting may have a different meaning from a pattern across settings.</w:t>
      </w:r>
    </w:p>
    <w:p>
      <w:pPr>
        <w:pStyle w:val="ListBullet"/>
        <w:spacing w:after="60"/>
      </w:pPr>
      <w:r>
        <w:t>Change from baseline: Sudden change requires assessment of recent events, health, trauma, medication, substance use, or environmental disruption.</w:t>
      </w:r>
    </w:p>
    <w:p>
      <w:pPr>
        <w:pStyle w:val="ListBullet"/>
        <w:spacing w:after="60"/>
      </w:pPr>
      <w:r>
        <w:t>Client and collateral perspectives: Gather the client’s experience and, when appropriate and permitted, information from caregivers, school, medical, or other sources.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CE8E8"/>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9C1C2B"/>
                <w:sz w:val="19"/>
              </w:rPr>
              <w:t xml:space="preserve">COMMON TRAP: </w:t>
            </w:r>
            <w:r>
              <w:rPr>
                <w:rFonts w:ascii="Aptos" w:hAnsi="Aptos"/>
                <w:color w:val="1F2937"/>
                <w:sz w:val="19"/>
              </w:rPr>
              <w:t>Do not diagnose from one age-incongruent behavior without assessing duration, setting, change from baseline, functional impact, medical factors, trauma, and context.</w:t>
            </w:r>
          </w:p>
        </w:tc>
      </w:tr>
    </w:tbl>
    <w:p/>
    <w:p>
      <w:pPr>
        <w:pStyle w:val="Heading1"/>
      </w:pPr>
      <w:r>
        <w:t>3. Individual and Family Life Cycles</w:t>
      </w:r>
    </w:p>
    <w:p>
      <w:r>
        <w:t>Life-cycle thinking asks which developmental tasks, role changes, transitions, and losses are active for both the individual and the family system. Expected transitions can still create strain; disruptive transitions can reorganize roles, boundaries, attachment, and resources.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Life-Cycle Position</w:t>
            </w:r>
          </w:p>
        </w:tc>
        <w:tc>
          <w:tcPr>
            <w:tcW w:type="dxa" w:w="352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Common Tasks</w:t>
            </w:r>
          </w:p>
        </w:tc>
        <w:tc>
          <w:tcPr>
            <w:tcW w:type="dxa" w:w="403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High-Yield Assessment Questions</w:t>
            </w:r>
          </w:p>
        </w:tc>
      </w:tr>
      <w:tr>
        <w:trPr>
          <w:cantSplit/>
        </w:trPr>
        <w:tc>
          <w:tcPr>
            <w:tcW w:type="dxa" w:w="223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Childhood and school entry</w:t>
            </w:r>
          </w:p>
        </w:tc>
        <w:tc>
          <w:tcPr>
            <w:tcW w:type="dxa" w:w="352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Autonomy, learning, peers, caregiver-school coordination.</w:t>
            </w:r>
          </w:p>
        </w:tc>
        <w:tc>
          <w:tcPr>
            <w:tcW w:type="dxa" w:w="403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School fit, expectations, family stress, safety, and support.</w:t>
            </w:r>
          </w:p>
        </w:tc>
      </w:tr>
      <w:tr>
        <w:trPr>
          <w:cantSplit/>
        </w:trPr>
        <w:tc>
          <w:tcPr>
            <w:tcW w:type="dxa" w:w="223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Adolescence</w:t>
            </w:r>
          </w:p>
        </w:tc>
        <w:tc>
          <w:tcPr>
            <w:tcW w:type="dxa" w:w="352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Identity, autonomy, peer belonging, sexuality, risk, family renegotiation.</w:t>
            </w:r>
          </w:p>
        </w:tc>
        <w:tc>
          <w:tcPr>
            <w:tcW w:type="dxa" w:w="403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Capacity, privacy, family response, discrimination, school and peer context.</w:t>
            </w:r>
          </w:p>
        </w:tc>
      </w:tr>
      <w:tr>
        <w:trPr>
          <w:cantSplit/>
        </w:trPr>
        <w:tc>
          <w:tcPr>
            <w:tcW w:type="dxa" w:w="223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Launching and early adulthood</w:t>
            </w:r>
          </w:p>
        </w:tc>
        <w:tc>
          <w:tcPr>
            <w:tcW w:type="dxa" w:w="352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Separation, education/work, intimacy, independent living.</w:t>
            </w:r>
          </w:p>
        </w:tc>
        <w:tc>
          <w:tcPr>
            <w:tcW w:type="dxa" w:w="403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Economic access, family expectations, identity, support, and role transition.</w:t>
            </w:r>
          </w:p>
        </w:tc>
      </w:tr>
      <w:tr>
        <w:trPr>
          <w:cantSplit/>
        </w:trPr>
        <w:tc>
          <w:tcPr>
            <w:tcW w:type="dxa" w:w="223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Couple formation and parenting</w:t>
            </w:r>
          </w:p>
        </w:tc>
        <w:tc>
          <w:tcPr>
            <w:tcW w:type="dxa" w:w="352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Commitment, boundaries, caregiving, intimacy, role distribution.</w:t>
            </w:r>
          </w:p>
        </w:tc>
        <w:tc>
          <w:tcPr>
            <w:tcW w:type="dxa" w:w="403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Relationship patterns, attachment, resources, stress, and family-of-origin expectations.</w:t>
            </w:r>
          </w:p>
        </w:tc>
      </w:tr>
      <w:tr>
        <w:trPr>
          <w:cantSplit/>
        </w:trPr>
        <w:tc>
          <w:tcPr>
            <w:tcW w:type="dxa" w:w="223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Midlife and caregiving</w:t>
            </w:r>
          </w:p>
        </w:tc>
        <w:tc>
          <w:tcPr>
            <w:tcW w:type="dxa" w:w="352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Work, parenting transitions, aging parents, health changes, meaning.</w:t>
            </w:r>
          </w:p>
        </w:tc>
        <w:tc>
          <w:tcPr>
            <w:tcW w:type="dxa" w:w="403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Competing roles, caregiver burden, relationship impact, and supports.</w:t>
            </w:r>
          </w:p>
        </w:tc>
      </w:tr>
      <w:tr>
        <w:trPr>
          <w:cantSplit/>
        </w:trPr>
        <w:tc>
          <w:tcPr>
            <w:tcW w:type="dxa" w:w="223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Later life</w:t>
            </w:r>
          </w:p>
        </w:tc>
        <w:tc>
          <w:tcPr>
            <w:tcW w:type="dxa" w:w="352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Retirement, loss, health, autonomy, legacy, changing support needs.</w:t>
            </w:r>
          </w:p>
        </w:tc>
        <w:tc>
          <w:tcPr>
            <w:tcW w:type="dxa" w:w="403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Capacity, grief, isolation, caregiving, discrimination, access, and family reorganization.</w:t>
            </w:r>
          </w:p>
        </w:tc>
      </w:tr>
    </w:tbl>
    <w:p/>
    <w:p>
      <w:pPr>
        <w:pStyle w:val="Heading1"/>
      </w:pPr>
      <w:r>
        <w:t>4. Context Changes Clinical Meaning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Context</w:t>
            </w:r>
          </w:p>
        </w:tc>
        <w:tc>
          <w:tcPr>
            <w:tcW w:type="dxa" w:w="453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What May Matter</w:t>
            </w:r>
          </w:p>
        </w:tc>
        <w:tc>
          <w:tcPr>
            <w:tcW w:type="dxa" w:w="331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Exam Caution</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School or education</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Attendance, performance, behavior, bullying, learning needs, belonging, family-school interaction.</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Do not assume the identified student is the sole source of the problem.</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Employment</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Job loss, workload, discrimination, injury, retirement, meaning, and financial impact.</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Assess psychological and material consequences.</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Legal system</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Incarceration, probation, custody, dependency court, victimization, and legal stress.</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Clarify your role and do not give legal advice outside competence.</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Military</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Culture, deployment, combat exposure, reintegration, family separation, benefits, and supports.</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Assess experience rather than assuming trauma or pathology.</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Housing and income</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Affordability, food access, transportation, safety, benefits, and resource barriers.</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Do not frame structural stress as lack of motivation.</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Migration and displacement</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Loss, separation, language, legal or service barriers, trauma, and community connection.</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Do not equate cultural difference with dysfunction.</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Technology and social media</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Connection, isolation, identity, harassment, access, sleep, and school/work impact.</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Assess function and context rather than treating use alone as pathology.</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Environment and disaster</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Displacement, loss, exposure, community disruption, and resource inequity.</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Assess safety, functioning, resources, and collective impact.</w:t>
            </w:r>
          </w:p>
        </w:tc>
      </w:tr>
    </w:tbl>
    <w:p/>
    <w:p>
      <w:pPr>
        <w:pStyle w:val="Heading1"/>
      </w:pPr>
      <w:r>
        <w:t>5. Culture, Identity, Spirituality, and Meaning</w:t>
      </w:r>
    </w:p>
    <w:p>
      <w:r>
        <w:t>Culture influences how distress is described, what help is acceptable, how family roles are understood, and which explanations or interventions feel credible. Identity is multidimensional and changes across time and context. Explore meaning rather than assigning meaning based on group membership.</w:t>
      </w:r>
    </w:p>
    <w:p>
      <w:pPr>
        <w:pStyle w:val="ListBullet"/>
        <w:spacing w:after="60"/>
      </w:pPr>
      <w:r>
        <w:t>Ask which identities, communities, traditions, and relationships are most relevant to the current concern.</w:t>
      </w:r>
    </w:p>
    <w:p>
      <w:pPr>
        <w:pStyle w:val="ListBullet"/>
        <w:spacing w:after="60"/>
      </w:pPr>
      <w:r>
        <w:t>Explore support, conflict, discrimination, concealment, pressure, or belonging related to identity.</w:t>
      </w:r>
    </w:p>
    <w:p>
      <w:pPr>
        <w:pStyle w:val="ListBullet"/>
        <w:spacing w:after="60"/>
      </w:pPr>
      <w:r>
        <w:t>Assess language preference and whether qualified interpretation or accessibility support is needed.</w:t>
      </w:r>
    </w:p>
    <w:p>
      <w:pPr>
        <w:pStyle w:val="ListBullet"/>
        <w:spacing w:after="60"/>
      </w:pPr>
      <w:r>
        <w:t>Explore spiritual or religious beliefs when they affect coping, guilt, hope, treatment decisions, family expectations, or community support.</w:t>
      </w:r>
    </w:p>
    <w:p>
      <w:pPr>
        <w:pStyle w:val="ListBullet"/>
        <w:spacing w:after="60"/>
      </w:pPr>
      <w:r>
        <w:t>Identify within-group differences. Shared identity does not establish shared beliefs, roles, resources, or experiences.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DEB"/>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0E7490"/>
                <w:sz w:val="19"/>
              </w:rPr>
              <w:t xml:space="preserve">REMEMBER: </w:t>
            </w:r>
            <w:r>
              <w:rPr>
                <w:rFonts w:ascii="Aptos" w:hAnsi="Aptos"/>
                <w:color w:val="1F2937"/>
                <w:sz w:val="19"/>
              </w:rPr>
              <w:t>Cultural humility is an assessment stance: remain curious, acknowledge limits, invite correction, and use the client’s meaning—not a stereotype—as the clinical data.</w:t>
            </w:r>
          </w:p>
        </w:tc>
      </w:tr>
    </w:tbl>
    <w:p/>
    <w:p>
      <w:pPr>
        <w:pStyle w:val="Heading1"/>
      </w:pPr>
      <w:r>
        <w:t>6. Power, Accessibility, Trauma, and Resilience</w:t>
      </w:r>
    </w:p>
    <w:p>
      <w:r>
        <w:t>Power, privilege, discrimination, and exclusion can affect mental health, trust, family relationships, and service access. Accessibility includes language, communication, sensory, cognitive, physical, technological, and cultural access. Trauma may be acute, chronic, complex, intergenerational, historical, or collective. Resilience includes individual, family, cultural, spiritual, community, and institutional resources.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Access Area</w:t>
            </w:r>
          </w:p>
        </w:tc>
        <w:tc>
          <w:tcPr>
            <w:tcW w:type="dxa" w:w="439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Responsive Assessment</w:t>
            </w:r>
          </w:p>
        </w:tc>
        <w:tc>
          <w:tcPr>
            <w:tcW w:type="dxa" w:w="331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Common Error</w:t>
            </w:r>
          </w:p>
        </w:tc>
      </w:tr>
      <w:tr>
        <w:trPr>
          <w:cantSplit/>
        </w:trPr>
        <w:tc>
          <w:tcPr>
            <w:tcW w:type="dxa" w:w="208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Language</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Use qualified interpretation when needed; speak to the client, not only the interpreter.</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Do not rely automatically on a child or family member for sensitive interpretation.</w:t>
            </w:r>
          </w:p>
        </w:tc>
      </w:tr>
      <w:tr>
        <w:trPr>
          <w:cantSplit/>
        </w:trPr>
        <w:tc>
          <w:tcPr>
            <w:tcW w:type="dxa" w:w="208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Hearing or vision</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Ask about preferred communication and accessible materials.</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Do not assume one accommodation fits every client.</w:t>
            </w:r>
          </w:p>
        </w:tc>
      </w:tr>
      <w:tr>
        <w:trPr>
          <w:cantSplit/>
        </w:trPr>
        <w:tc>
          <w:tcPr>
            <w:tcW w:type="dxa" w:w="208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Mobility or chronic illness</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Assess access, fatigue, pain, transportation, scheduling, and care needs.</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Do not interpret missed appointments before assessing barriers.</w:t>
            </w:r>
          </w:p>
        </w:tc>
      </w:tr>
      <w:tr>
        <w:trPr>
          <w:cantSplit/>
        </w:trPr>
        <w:tc>
          <w:tcPr>
            <w:tcW w:type="dxa" w:w="208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Cognitive or learning needs</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Use clear language, repetition, visuals, pacing, and supported decision-making as appropriate.</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Do not confuse communication differences with lack of capacity.</w:t>
            </w:r>
          </w:p>
        </w:tc>
      </w:tr>
      <w:tr>
        <w:trPr>
          <w:cantSplit/>
        </w:trPr>
        <w:tc>
          <w:tcPr>
            <w:tcW w:type="dxa" w:w="208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Neurodiversity</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Assess sensory needs, communication style, executive functioning, strengths, and environmental fit.</w:t>
            </w:r>
          </w:p>
        </w:tc>
        <w:tc>
          <w:tcPr>
            <w:tcW w:type="dxa" w:w="331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Do not treat difference as a behavior problem without context.</w:t>
            </w:r>
          </w:p>
        </w:tc>
      </w:tr>
    </w:tbl>
    <w:p/>
    <w:p>
      <w:pPr>
        <w:pStyle w:val="ListBullet"/>
        <w:spacing w:after="60"/>
      </w:pPr>
      <w:r>
        <w:t>Safety: Identify current danger, instability, coercion, and basic needs.</w:t>
      </w:r>
    </w:p>
    <w:p>
      <w:pPr>
        <w:pStyle w:val="ListBullet"/>
        <w:spacing w:after="60"/>
      </w:pPr>
      <w:r>
        <w:t>Regulation: Assess sleep, arousal, avoidance, dissociation, emotion regulation, and coping.</w:t>
      </w:r>
    </w:p>
    <w:p>
      <w:pPr>
        <w:pStyle w:val="ListBullet"/>
        <w:spacing w:after="60"/>
      </w:pPr>
      <w:r>
        <w:t>Connection: Identify supportive relationships, community, culture, faith, and trusted systems.</w:t>
      </w:r>
    </w:p>
    <w:p>
      <w:pPr>
        <w:pStyle w:val="ListBullet"/>
        <w:spacing w:after="60"/>
      </w:pPr>
      <w:r>
        <w:t>Agency: Preserve choice, pacing, collaboration, and dignity.</w:t>
      </w:r>
    </w:p>
    <w:p>
      <w:pPr>
        <w:pStyle w:val="ListBullet"/>
        <w:spacing w:after="60"/>
      </w:pPr>
      <w:r>
        <w:t>Context: Determine whether discrimination, poverty, displacement, or institutional response continues the harm.</w:t>
      </w:r>
    </w:p>
    <w:p>
      <w:pPr>
        <w:pStyle w:val="ListBullet"/>
        <w:spacing w:after="60"/>
      </w:pPr>
      <w:r>
        <w:t>Strengths: Identify survival skills and resources without minimizing suffering or barriers.</w:t>
      </w:r>
    </w:p>
    <w:p>
      <w:pPr>
        <w:pStyle w:val="Heading1"/>
      </w:pPr>
      <w:r>
        <w:t>7. The LMFT Systemic Development Lens</w:t>
      </w:r>
    </w:p>
    <w:p>
      <w:r>
        <w:t>LMFT questions ask how the client’s developmental position interacts with the family life cycle, relational patterns, and contextual stress. A strong answer assesses both individual functioning and reciprocal family-system effects. It does not force conjoint treatment when safety, privacy, consent, developmental capacity, or individual assessment requires a different sequence.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24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Official Task Cluster</w:t>
            </w:r>
          </w:p>
        </w:tc>
        <w:tc>
          <w:tcPr>
            <w:tcW w:type="dxa" w:w="655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LMFT Assessment Focus</w:t>
            </w:r>
          </w:p>
        </w:tc>
      </w:tr>
      <w:tr>
        <w:trPr>
          <w:cantSplit/>
        </w:trPr>
        <w:tc>
          <w:tcPr>
            <w:tcW w:type="dxa" w:w="32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T10–T11: Development and life stage</w:t>
            </w:r>
          </w:p>
        </w:tc>
        <w:tc>
          <w:tcPr>
            <w:tcW w:type="dxa" w:w="655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Developmental level, milestones, delays, individual/family stages, transitions, and adjustment.</w:t>
            </w:r>
          </w:p>
        </w:tc>
      </w:tr>
      <w:tr>
        <w:trPr>
          <w:cantSplit/>
        </w:trPr>
        <w:tc>
          <w:tcPr>
            <w:tcW w:type="dxa" w:w="324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T12–T13: School and work</w:t>
            </w:r>
          </w:p>
        </w:tc>
        <w:tc>
          <w:tcPr>
            <w:tcW w:type="dxa" w:w="655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Academic or occupational functioning, stressors, and relational impact.</w:t>
            </w:r>
          </w:p>
        </w:tc>
      </w:tr>
      <w:tr>
        <w:trPr>
          <w:cantSplit/>
        </w:trPr>
        <w:tc>
          <w:tcPr>
            <w:tcW w:type="dxa" w:w="32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T14–T15: Legal and military</w:t>
            </w:r>
          </w:p>
        </w:tc>
        <w:tc>
          <w:tcPr>
            <w:tcW w:type="dxa" w:w="655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Court or justice involvement, service, deployment, combat, reintegration, and family impact.</w:t>
            </w:r>
          </w:p>
        </w:tc>
      </w:tr>
      <w:tr>
        <w:trPr>
          <w:cantSplit/>
        </w:trPr>
        <w:tc>
          <w:tcPr>
            <w:tcW w:type="dxa" w:w="324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T16–T17: Socioeconomic and psychosocial</w:t>
            </w:r>
          </w:p>
        </w:tc>
        <w:tc>
          <w:tcPr>
            <w:tcW w:type="dxa" w:w="655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Housing, economic vulnerability, employment change, major events, and social conditions.</w:t>
            </w:r>
          </w:p>
        </w:tc>
      </w:tr>
      <w:tr>
        <w:trPr>
          <w:cantSplit/>
        </w:trPr>
        <w:tc>
          <w:tcPr>
            <w:tcW w:type="dxa" w:w="32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T18: Religion and spirituality</w:t>
            </w:r>
          </w:p>
        </w:tc>
        <w:tc>
          <w:tcPr>
            <w:tcW w:type="dxa" w:w="655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Effects of beliefs, practices, and community on coping, functioning, relationships, and therapy.</w:t>
            </w:r>
          </w:p>
        </w:tc>
      </w:tr>
      <w:tr>
        <w:trPr>
          <w:cantSplit/>
        </w:trPr>
        <w:tc>
          <w:tcPr>
            <w:tcW w:type="dxa" w:w="324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T19–T20: Culture, migration, sexual and gender minority experiences</w:t>
            </w:r>
          </w:p>
        </w:tc>
        <w:tc>
          <w:tcPr>
            <w:tcW w:type="dxa" w:w="655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Identity, discrimination, oppression, acculturation, acceptance, family response, and relationships.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LMFT MEMORY AID: </w:t>
            </w:r>
            <w:r>
              <w:rPr>
                <w:rFonts w:ascii="Aptos" w:hAnsi="Aptos"/>
                <w:color w:val="1F2937"/>
                <w:sz w:val="19"/>
              </w:rPr>
              <w:t>DEVELOPMENTAL TASK + FAMILY STAGE + CONTEXTUAL STRESSOR + RELATIONAL PATTERN + CLIENT MEANING = SYSTEMIC ASSESSMENT</w:t>
            </w:r>
          </w:p>
        </w:tc>
      </w:tr>
    </w:tbl>
    <w:p/>
    <w:p>
      <w:pPr>
        <w:pStyle w:val="Heading1"/>
      </w:pPr>
      <w:r>
        <w:t>8. Contextual Reasoning Sequence</w:t>
      </w:r>
    </w:p>
    <w:p>
      <w:pPr>
        <w:spacing w:after="60"/>
        <w:ind w:left="259" w:hanging="259"/>
      </w:pPr>
      <w:r>
        <w:rPr>
          <w:rFonts w:ascii="Aptos" w:hAnsi="Aptos"/>
          <w:b/>
          <w:color w:val="17365D"/>
          <w:sz w:val="21"/>
        </w:rPr>
        <w:t xml:space="preserve">1.  </w:t>
      </w:r>
      <w:r>
        <w:t>Locate the client in time: age, developmental level, life stage, family transition, and recent change.</w:t>
      </w:r>
    </w:p>
    <w:p>
      <w:pPr>
        <w:spacing w:after="60"/>
        <w:ind w:left="259" w:hanging="259"/>
      </w:pPr>
      <w:r>
        <w:rPr>
          <w:rFonts w:ascii="Aptos" w:hAnsi="Aptos"/>
          <w:b/>
          <w:color w:val="17365D"/>
          <w:sz w:val="21"/>
        </w:rPr>
        <w:t xml:space="preserve">2.  </w:t>
      </w:r>
      <w:r>
        <w:t>Identify the systems: family, peers, school, work, health care, legal, military, community, culture, and services.</w:t>
      </w:r>
    </w:p>
    <w:p>
      <w:pPr>
        <w:spacing w:after="60"/>
        <w:ind w:left="259" w:hanging="259"/>
      </w:pPr>
      <w:r>
        <w:rPr>
          <w:rFonts w:ascii="Aptos" w:hAnsi="Aptos"/>
          <w:b/>
          <w:color w:val="17365D"/>
          <w:sz w:val="21"/>
        </w:rPr>
        <w:t xml:space="preserve">3.  </w:t>
      </w:r>
      <w:r>
        <w:t>Ask what changed: loss, conflict, discrimination, illness, displacement, role change, or access barrier.</w:t>
      </w:r>
    </w:p>
    <w:p>
      <w:pPr>
        <w:spacing w:after="60"/>
        <w:ind w:left="259" w:hanging="259"/>
      </w:pPr>
      <w:r>
        <w:rPr>
          <w:rFonts w:ascii="Aptos" w:hAnsi="Aptos"/>
          <w:b/>
          <w:color w:val="17365D"/>
          <w:sz w:val="21"/>
        </w:rPr>
        <w:t xml:space="preserve">4.  </w:t>
      </w:r>
      <w:r>
        <w:t>Assess meaning and impact: perspective, functioning, relationships, symptoms, safety, identity, and goals.</w:t>
      </w:r>
    </w:p>
    <w:p>
      <w:pPr>
        <w:spacing w:after="60"/>
        <w:ind w:left="259" w:hanging="259"/>
      </w:pPr>
      <w:r>
        <w:rPr>
          <w:rFonts w:ascii="Aptos" w:hAnsi="Aptos"/>
          <w:b/>
          <w:color w:val="17365D"/>
          <w:sz w:val="21"/>
        </w:rPr>
        <w:t xml:space="preserve">5.  </w:t>
      </w:r>
      <w:r>
        <w:t>Identify strengths and barriers: coping, support, resources, resilience, access, power, and structural constraints.</w:t>
      </w:r>
    </w:p>
    <w:p>
      <w:pPr>
        <w:spacing w:after="60"/>
        <w:ind w:left="259" w:hanging="259"/>
      </w:pPr>
      <w:r>
        <w:rPr>
          <w:rFonts w:ascii="Aptos" w:hAnsi="Aptos"/>
          <w:b/>
          <w:color w:val="17365D"/>
          <w:sz w:val="21"/>
        </w:rPr>
        <w:t xml:space="preserve">6.  </w:t>
      </w:r>
      <w:r>
        <w:t>Apply the systemic lens: examine reciprocal patterns, roles, boundaries, attachment, and the unit of treatment.</w:t>
      </w:r>
    </w:p>
    <w:p>
      <w:pPr>
        <w:spacing w:after="60"/>
        <w:ind w:left="259" w:hanging="259"/>
      </w:pPr>
      <w:r>
        <w:rPr>
          <w:rFonts w:ascii="Aptos" w:hAnsi="Aptos"/>
          <w:b/>
          <w:color w:val="17365D"/>
          <w:sz w:val="21"/>
        </w:rPr>
        <w:t xml:space="preserve">7.  </w:t>
      </w:r>
      <w:r>
        <w:t>Select the next action: gather missing information, protect safety, collaborate, plan, adapt, refer, or intervene.</w:t>
      </w:r>
    </w:p>
    <w:p>
      <w:pPr>
        <w:pStyle w:val="Heading1"/>
      </w:pPr>
      <w:r>
        <w:t>Worked Example</w:t>
      </w:r>
    </w:p>
    <w:p>
      <w:r>
        <w:t>A 16-year-old begins missing school after the family moves to a smaller apartment following a parent’s job loss. The parents describe the adolescent as defiant and demand an individual behavior plan.</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DEB"/>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0E7490"/>
                <w:sz w:val="19"/>
              </w:rPr>
              <w:t xml:space="preserve">BEST INITIAL RESPONSE: </w:t>
            </w:r>
            <w:r>
              <w:rPr>
                <w:rFonts w:ascii="Aptos" w:hAnsi="Aptos"/>
                <w:color w:val="1F2937"/>
                <w:sz w:val="19"/>
              </w:rPr>
              <w:t>Assess the adolescent’s developmental needs, school experience, peer disruption, housing stress, family role changes, parent conflict, and the adolescent’s understanding of the move. This neither dismisses the behavior nor assumes the adolescent is the sole problem.</w:t>
            </w:r>
          </w:p>
        </w:tc>
      </w:tr>
    </w:tbl>
    <w:p/>
    <w:p>
      <w:pPr>
        <w:pStyle w:val="Heading1"/>
      </w:pPr>
      <w:r>
        <w:t>Common Exam Traps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9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Trap</w:t>
            </w:r>
          </w:p>
        </w:tc>
        <w:tc>
          <w:tcPr>
            <w:tcW w:type="dxa" w:w="669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Why It Fails</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Stage stereotyping</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Assumes every person at a given age or family stage has the same task, capacity, or response.</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Cultural overgeneralization</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Uses group membership as an explanation without assessing the client’s beliefs and experience.</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Individualizing structural stress</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Treats poverty, inaccessible services, discrimination, or housing instability as personal failure.</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Pathologizing difference</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Labels identity, language, disability, neurodiversity, or spiritual practice as a symptom without evidence.</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Ignoring the environment</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Selects an intrapsychic intervention when school, work, family, health, legal, or resource factors are central.</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Assuming trauma</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Treats military service, migration, foster care, or identity status as proof of trauma.</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Advice before assessment</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Recommends action before clarifying developmental, relational, safety, and contextual information.</w:t>
            </w:r>
          </w:p>
        </w:tc>
      </w:tr>
      <w:tr>
        <w:trPr>
          <w:cantSplit/>
        </w:trPr>
        <w:tc>
          <w:tcPr>
            <w:tcW w:type="dxa" w:w="30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Identifying one person as the problem</w:t>
            </w:r>
          </w:p>
        </w:tc>
        <w:tc>
          <w:tcPr>
            <w:tcW w:type="dxa" w:w="669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Accepts the family’s label without examining reciprocal patterns and contextual stress.</w:t>
            </w:r>
          </w:p>
        </w:tc>
      </w:tr>
    </w:tbl>
    <w:p/>
    <w:p>
      <w:pPr>
        <w:pStyle w:val="Heading1"/>
      </w:pPr>
      <w:r>
        <w:t>Developmental-Systemic Context Map</w:t>
      </w:r>
    </w:p>
    <w:p>
      <w:r>
        <w:t>Use this worksheet to organize a vignette or practice case before choosing an answer.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FFFFFF"/>
                <w:sz w:val="18"/>
              </w:rPr>
              <w:t>Assessment Prompt</w:t>
            </w:r>
          </w:p>
        </w:tc>
        <w:tc>
          <w:tcPr>
            <w:tcW w:type="dxa" w:w="5040"/>
            <w:shd w:fill="17365D"/>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FFFFFF"/>
                <w:sz w:val="18"/>
              </w:rPr>
              <w:t>Student Notes</w:t>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Chronological age, developmental level, and current life stage</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Family life-cycle position and active transition</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Recent change in school, work, housing, health, legal status, military experience, caregiving, or community</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Client and family meanings, identities, culture, and spirituality</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Relational patterns, roles, boundaries, attachment, conflict, and support</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Safety, functioning, symptoms, and change from baseline</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Accessibility needs, discrimination, power, and structural barriers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Strengths, resilience, resources, and protective relationships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Most important information gap</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Best next systemic assessment or action</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bl>
    <w:p/>
    <w:p>
      <w:pPr>
        <w:pStyle w:val="Heading1"/>
      </w:pPr>
      <w:r>
        <w:t>Chapter Summary</w:t>
      </w:r>
    </w:p>
    <w:p>
      <w:pPr>
        <w:pStyle w:val="ListBullet"/>
      </w:pPr>
      <w:r>
        <w:t>Chronological age is one fact; developmental assessment also considers demonstrated capacities, functioning, history, and change from baseline.</w:t>
      </w:r>
    </w:p>
    <w:p>
      <w:pPr>
        <w:pStyle w:val="ListBullet"/>
      </w:pPr>
      <w:r>
        <w:t>Individual and family life-cycle transitions can reorganize roles, boundaries, attachment, expectations, and available resources.</w:t>
      </w:r>
    </w:p>
    <w:p>
      <w:pPr>
        <w:pStyle w:val="ListBullet"/>
      </w:pPr>
      <w:r>
        <w:t>Culture, identity, spirituality, disability, migration, military service, and socioeconomic conditions require respectful inquiry rather than assumptions.</w:t>
      </w:r>
    </w:p>
    <w:p>
      <w:pPr>
        <w:pStyle w:val="ListBullet"/>
      </w:pPr>
      <w:r>
        <w:t>Systemic assessment connects the individual with relationships, family organization, institutions, environmental stressors, access barriers, strengths, and client meaning.</w:t>
      </w:r>
    </w:p>
    <w:p>
      <w:pPr>
        <w:pStyle w:val="ListBullet"/>
      </w:pPr>
      <w:r>
        <w:t>When essential developmental or contextual information is missing, assessment generally comes before diagnosis, advice, referral, or intervention.</w:t>
      </w:r>
    </w:p>
    <w:p>
      <w:pPr>
        <w:pStyle w:val="Heading1"/>
      </w:pPr>
      <w:r>
        <w:t>Knowledge Check</w:t>
      </w:r>
    </w:p>
    <w:p>
      <w:r>
        <w:t>Complete all 10 original CTA practice questions before reviewing the answer key. Record confidence as 1 = low, 2 = moderate, or 3 = high.</w:t>
      </w:r>
    </w:p>
    <w:tbl>
      <w:tblPr>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Question</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My Answer</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Confidence (1–3)</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Review?</w:t>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1</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2</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3</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4</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5</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6</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7</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8</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9</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10</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bl>
    <w:p/>
    <w:p>
      <w:pPr>
        <w:keepNext/>
        <w:spacing w:before="160" w:after="80"/>
        <w:shd w:fill="0E7490" w:val="clear"/>
      </w:pPr>
      <w:r>
        <w:rPr>
          <w:rFonts w:ascii="Aptos" w:hAnsi="Aptos"/>
          <w:b/>
          <w:color w:val="FFFFFF"/>
          <w:sz w:val="17"/>
        </w:rPr>
        <w:t>LMFT-WB03-Q001 | Recall | Easy | Primary concept: Developmental level and chronological age</w:t>
      </w:r>
    </w:p>
    <w:p>
      <w:pPr>
        <w:keepNext/>
      </w:pPr>
      <w:r>
        <w:rPr>
          <w:rFonts w:ascii="Aptos" w:hAnsi="Aptos"/>
          <w:b/>
          <w:color w:val="17365D"/>
          <w:sz w:val="21"/>
        </w:rPr>
        <w:t>1. Which statement best distinguishes developmental level from chronological age?</w:t>
      </w:r>
    </w:p>
    <w:p>
      <w:pPr>
        <w:keepNext/>
        <w:keepLines/>
        <w:spacing w:after="40"/>
        <w:ind w:left="288"/>
      </w:pPr>
      <w:r>
        <w:t>A. Developmental level describes demonstrated capacities and functioning, while chronological age records time since birth</w:t>
      </w:r>
    </w:p>
    <w:p>
      <w:pPr>
        <w:keepNext/>
        <w:keepLines/>
        <w:spacing w:after="40"/>
        <w:ind w:left="288"/>
      </w:pPr>
      <w:r>
        <w:t>B. Developmental level and chronological age are interchangeable in clinical assessment</w:t>
      </w:r>
    </w:p>
    <w:p>
      <w:pPr>
        <w:keepNext/>
        <w:keepLines/>
        <w:spacing w:after="40"/>
        <w:ind w:left="288"/>
      </w:pPr>
      <w:r>
        <w:t>C. Chronological age is always more important than observed functioning</w:t>
      </w:r>
    </w:p>
    <w:p>
      <w:pPr>
        <w:keepNext/>
        <w:keepLines/>
        <w:spacing w:after="40"/>
        <w:ind w:left="288"/>
      </w:pPr>
      <w:r>
        <w:t>D. Developmental level can be determined from diagnosis alone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LMFT-WB03-Q002 | Recall | Easy | Primary concept: Family life-cycle assessment</w:t>
      </w:r>
    </w:p>
    <w:p>
      <w:pPr>
        <w:keepNext/>
      </w:pPr>
      <w:r>
        <w:rPr>
          <w:rFonts w:ascii="Aptos" w:hAnsi="Aptos"/>
          <w:b/>
          <w:color w:val="17365D"/>
          <w:sz w:val="21"/>
        </w:rPr>
        <w:t>2. A family life-cycle assessment primarily helps the therapist understand:</w:t>
      </w:r>
    </w:p>
    <w:p>
      <w:pPr>
        <w:keepNext/>
        <w:keepLines/>
        <w:spacing w:after="40"/>
        <w:ind w:left="288"/>
      </w:pPr>
      <w:r>
        <w:t>A. Which family member has the most severe diagnosis</w:t>
      </w:r>
    </w:p>
    <w:p>
      <w:pPr>
        <w:keepNext/>
        <w:keepLines/>
        <w:spacing w:after="40"/>
        <w:ind w:left="288"/>
      </w:pPr>
      <w:r>
        <w:t>B. Whether all family members share the same developmental task</w:t>
      </w:r>
    </w:p>
    <w:p>
      <w:pPr>
        <w:keepNext/>
        <w:keepLines/>
        <w:spacing w:after="40"/>
        <w:ind w:left="288"/>
      </w:pPr>
      <w:r>
        <w:t>C. The family’s stage, transitions, role changes, and adjustment demands</w:t>
      </w:r>
    </w:p>
    <w:p>
      <w:pPr>
        <w:keepNext/>
        <w:keepLines/>
        <w:spacing w:after="40"/>
        <w:ind w:left="288"/>
      </w:pPr>
      <w:r>
        <w:t>D. Which parent should control treatment decisions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LMFT-WB03-Q003 | Recall | Easy | Primary concept: Cultural humility</w:t>
      </w:r>
    </w:p>
    <w:p>
      <w:pPr>
        <w:keepNext/>
      </w:pPr>
      <w:r>
        <w:rPr>
          <w:rFonts w:ascii="Aptos" w:hAnsi="Aptos"/>
          <w:b/>
          <w:color w:val="17365D"/>
          <w:sz w:val="21"/>
        </w:rPr>
        <w:t>3. Which approach is most consistent with cultural humility?</w:t>
      </w:r>
    </w:p>
    <w:p>
      <w:pPr>
        <w:keepNext/>
        <w:keepLines/>
        <w:spacing w:after="40"/>
        <w:ind w:left="288"/>
      </w:pPr>
      <w:r>
        <w:t>A. Use knowledge about a cultural group to predict the client’s beliefs</w:t>
      </w:r>
    </w:p>
    <w:p>
      <w:pPr>
        <w:keepNext/>
        <w:keepLines/>
        <w:spacing w:after="40"/>
        <w:ind w:left="288"/>
      </w:pPr>
      <w:r>
        <w:t>B. Ask the client how identity, community, and experience shape the current concern</w:t>
      </w:r>
    </w:p>
    <w:p>
      <w:pPr>
        <w:keepNext/>
        <w:keepLines/>
        <w:spacing w:after="40"/>
        <w:ind w:left="288"/>
      </w:pPr>
      <w:r>
        <w:t>C. Avoid discussing culture unless the client raises it first</w:t>
      </w:r>
    </w:p>
    <w:p>
      <w:pPr>
        <w:keepNext/>
        <w:keepLines/>
        <w:spacing w:after="40"/>
        <w:ind w:left="288"/>
      </w:pPr>
      <w:r>
        <w:t>D. Assume shared ethnicity creates a shared worldview</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LMFT-WB03-Q004 | Application | Moderate | Primary concept: Developmental and school context</w:t>
      </w:r>
    </w:p>
    <w:p>
      <w:pPr>
        <w:keepNext/>
      </w:pPr>
      <w:r>
        <w:rPr>
          <w:rFonts w:ascii="Aptos" w:hAnsi="Aptos"/>
          <w:b/>
          <w:color w:val="17365D"/>
          <w:sz w:val="21"/>
        </w:rPr>
        <w:t>4. Parents bring an 8-year-old to therapy for recent fighting at school. The behavior began after a midyear school transfer. What should the therapist assess first?</w:t>
      </w:r>
    </w:p>
    <w:p>
      <w:pPr>
        <w:keepNext/>
        <w:keepLines/>
        <w:spacing w:after="40"/>
        <w:ind w:left="288"/>
      </w:pPr>
      <w:r>
        <w:t>A. Whether the child meets criteria for a conduct disorder</w:t>
      </w:r>
    </w:p>
    <w:p>
      <w:pPr>
        <w:keepNext/>
        <w:keepLines/>
        <w:spacing w:after="40"/>
        <w:ind w:left="288"/>
      </w:pPr>
      <w:r>
        <w:t>B. Which punishment the parents should use after each incident</w:t>
      </w:r>
    </w:p>
    <w:p>
      <w:pPr>
        <w:keepNext/>
        <w:keepLines/>
        <w:spacing w:after="40"/>
        <w:ind w:left="288"/>
      </w:pPr>
      <w:r>
        <w:t>C. Whether the school should permanently remove the child from recess</w:t>
      </w:r>
    </w:p>
    <w:p>
      <w:pPr>
        <w:keepNext/>
        <w:keepLines/>
        <w:spacing w:after="40"/>
        <w:ind w:left="288"/>
      </w:pPr>
      <w:r>
        <w:t>D. The child’s experience of the transfer, peer relationships, classroom demands, family stress, and behavior across settings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LMFT-WB03-Q005 | Application | Moderate | Primary concept: Transition to parenthood</w:t>
      </w:r>
    </w:p>
    <w:p>
      <w:pPr>
        <w:keepNext/>
      </w:pPr>
      <w:r>
        <w:rPr>
          <w:rFonts w:ascii="Aptos" w:hAnsi="Aptos"/>
          <w:b/>
          <w:color w:val="17365D"/>
          <w:sz w:val="21"/>
        </w:rPr>
        <w:t>5. A couple reports escalating conflict six months after the birth of their first child. What should the therapist initially explore?</w:t>
      </w:r>
    </w:p>
    <w:p>
      <w:pPr>
        <w:keepNext/>
        <w:keepLines/>
        <w:spacing w:after="40"/>
        <w:ind w:left="288"/>
      </w:pPr>
      <w:r>
        <w:t>A. Role expectations, sleep, caregiving distribution, intimacy changes, support, and each partner’s adjustment to the parenting transition</w:t>
      </w:r>
    </w:p>
    <w:p>
      <w:pPr>
        <w:keepNext/>
        <w:keepLines/>
        <w:spacing w:after="40"/>
        <w:ind w:left="288"/>
      </w:pPr>
      <w:r>
        <w:t>B. Which partner is more psychologically healthy</w:t>
      </w:r>
    </w:p>
    <w:p>
      <w:pPr>
        <w:keepNext/>
        <w:keepLines/>
        <w:spacing w:after="40"/>
        <w:ind w:left="288"/>
      </w:pPr>
      <w:r>
        <w:t>C. Whether the relationship should end</w:t>
      </w:r>
    </w:p>
    <w:p>
      <w:pPr>
        <w:keepNext/>
        <w:keepLines/>
        <w:spacing w:after="40"/>
        <w:ind w:left="288"/>
      </w:pPr>
      <w:r>
        <w:t>D. Only the infant’s feeding schedule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LMFT-WB03-Q006 | Application | Moderate | Primary concept: Spirituality and client meaning</w:t>
      </w:r>
    </w:p>
    <w:p>
      <w:pPr>
        <w:keepNext/>
      </w:pPr>
      <w:r>
        <w:rPr>
          <w:rFonts w:ascii="Aptos" w:hAnsi="Aptos"/>
          <w:b/>
          <w:color w:val="17365D"/>
          <w:sz w:val="21"/>
        </w:rPr>
        <w:t>6. A client says religious beliefs provide comfort but also intensify guilt about seeking divorce. What is the therapist’s best initial response?</w:t>
      </w:r>
    </w:p>
    <w:p>
      <w:pPr>
        <w:keepNext/>
        <w:keepLines/>
        <w:spacing w:after="40"/>
        <w:ind w:left="288"/>
      </w:pPr>
      <w:r>
        <w:t>A. Challenge the beliefs as the cause of distress</w:t>
      </w:r>
    </w:p>
    <w:p>
      <w:pPr>
        <w:keepNext/>
        <w:keepLines/>
        <w:spacing w:after="40"/>
        <w:ind w:left="288"/>
      </w:pPr>
      <w:r>
        <w:t>B. Avoid the topic because religion is outside psychotherapy</w:t>
      </w:r>
    </w:p>
    <w:p>
      <w:pPr>
        <w:keepNext/>
        <w:keepLines/>
        <w:spacing w:after="40"/>
        <w:ind w:left="288"/>
      </w:pPr>
      <w:r>
        <w:t>C. Explore the meaning of the beliefs, the sources of support and guilt, community influences, safety, and the client’s goals</w:t>
      </w:r>
    </w:p>
    <w:p>
      <w:pPr>
        <w:keepNext/>
        <w:keepLines/>
        <w:spacing w:after="40"/>
        <w:ind w:left="288"/>
      </w:pPr>
      <w:r>
        <w:t>D. Refer the client to clergy without further discussion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LMFT-WB03-Q007 | Scenario | Moderate | Primary concept: Housing instability and child functioning</w:t>
      </w:r>
    </w:p>
    <w:p>
      <w:pPr>
        <w:keepNext/>
      </w:pPr>
      <w:r>
        <w:rPr>
          <w:rFonts w:ascii="Aptos" w:hAnsi="Aptos"/>
          <w:b/>
          <w:color w:val="17365D"/>
          <w:sz w:val="21"/>
        </w:rPr>
        <w:t>7. A 10-year-old becomes irritable and withdrawn after the family receives an eviction notice. The parents request anger management for the child. What should the therapist do first?</w:t>
      </w:r>
    </w:p>
    <w:p>
      <w:pPr>
        <w:keepNext/>
        <w:keepLines/>
        <w:spacing w:after="40"/>
        <w:ind w:left="288"/>
      </w:pPr>
      <w:r>
        <w:t>A. Begin an anger-control curriculum with the child</w:t>
      </w:r>
    </w:p>
    <w:p>
      <w:pPr>
        <w:keepNext/>
        <w:keepLines/>
        <w:spacing w:after="40"/>
        <w:ind w:left="288"/>
      </w:pPr>
      <w:r>
        <w:t>B. Assess immediate housing and safety needs, the child’s understanding, changes in routines and relationships, parental stress, supports, and functioning at school and home</w:t>
      </w:r>
    </w:p>
    <w:p>
      <w:pPr>
        <w:keepNext/>
        <w:keepLines/>
        <w:spacing w:after="40"/>
        <w:ind w:left="288"/>
      </w:pPr>
      <w:r>
        <w:t>C. Tell the parents the child’s reaction is normal and no treatment is needed</w:t>
      </w:r>
    </w:p>
    <w:p>
      <w:pPr>
        <w:keepNext/>
        <w:keepLines/>
        <w:spacing w:after="40"/>
        <w:ind w:left="288"/>
      </w:pPr>
      <w:r>
        <w:t>D. Diagnose depression based on withdrawal</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LMFT-WB03-Q008 | Scenario | Moderate | Primary concept: Military reintegration and family adjustment</w:t>
      </w:r>
    </w:p>
    <w:p>
      <w:pPr>
        <w:keepNext/>
      </w:pPr>
      <w:r>
        <w:rPr>
          <w:rFonts w:ascii="Aptos" w:hAnsi="Aptos"/>
          <w:b/>
          <w:color w:val="17365D"/>
          <w:sz w:val="21"/>
        </w:rPr>
        <w:t>8. A service member returns from deployment and is increasingly distant from a spouse and children. The spouse says, “Deployment changed everything.” What should the therapist assess first?</w:t>
      </w:r>
    </w:p>
    <w:p>
      <w:pPr>
        <w:keepNext/>
        <w:keepLines/>
        <w:spacing w:after="40"/>
        <w:ind w:left="288"/>
      </w:pPr>
      <w:r>
        <w:t>A. Whether the service member has posttraumatic stress disorder</w:t>
      </w:r>
    </w:p>
    <w:p>
      <w:pPr>
        <w:keepNext/>
        <w:keepLines/>
        <w:spacing w:after="40"/>
        <w:ind w:left="288"/>
      </w:pPr>
      <w:r>
        <w:t>B. Whether the spouse is willing to forgive the service member</w:t>
      </w:r>
    </w:p>
    <w:p>
      <w:pPr>
        <w:keepNext/>
        <w:keepLines/>
        <w:spacing w:after="40"/>
        <w:ind w:left="288"/>
      </w:pPr>
      <w:r>
        <w:t>C. Whether the children should be excluded from all assessment</w:t>
      </w:r>
    </w:p>
    <w:p>
      <w:pPr>
        <w:keepNext/>
        <w:keepLines/>
        <w:spacing w:after="40"/>
        <w:ind w:left="288"/>
      </w:pPr>
      <w:r>
        <w:t>D. Deployment and reintegration experiences, safety, sleep and arousal, family role changes, communication, expectations, support, and each family member’s perspective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LMFT-WB03-Q009 | Scenario | Moderate | Primary concept: Gender identity, safety, and family support</w:t>
      </w:r>
    </w:p>
    <w:p>
      <w:pPr>
        <w:keepNext/>
      </w:pPr>
      <w:r>
        <w:rPr>
          <w:rFonts w:ascii="Aptos" w:hAnsi="Aptos"/>
          <w:b/>
          <w:color w:val="17365D"/>
          <w:sz w:val="21"/>
        </w:rPr>
        <w:t>9. Parents seek therapy because their transgender adolescent has become isolated and refuses family gatherings. What should the therapist initially explore?</w:t>
      </w:r>
    </w:p>
    <w:p>
      <w:pPr>
        <w:keepNext/>
        <w:keepLines/>
        <w:spacing w:after="40"/>
        <w:ind w:left="288"/>
      </w:pPr>
      <w:r>
        <w:t>A. The adolescent’s safety, mood, experiences of acceptance or discrimination, family responses, peer and school support, privacy, and goals for therapy</w:t>
      </w:r>
    </w:p>
    <w:p>
      <w:pPr>
        <w:keepNext/>
        <w:keepLines/>
        <w:spacing w:after="40"/>
        <w:ind w:left="288"/>
      </w:pPr>
      <w:r>
        <w:t>B. Whether gender identity is causing a mental disorder</w:t>
      </w:r>
    </w:p>
    <w:p>
      <w:pPr>
        <w:keepNext/>
        <w:keepLines/>
        <w:spacing w:after="40"/>
        <w:ind w:left="288"/>
      </w:pPr>
      <w:r>
        <w:t>C. How quickly the adolescent can be persuaded to attend family events</w:t>
      </w:r>
    </w:p>
    <w:p>
      <w:pPr>
        <w:keepNext/>
        <w:keepLines/>
        <w:spacing w:after="40"/>
        <w:ind w:left="288"/>
      </w:pPr>
      <w:r>
        <w:t>D. Whether the parents should impose a dress code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LMFT-WB03-Q010 | Integrated | Challenge | Primary concept: Development, migration, culture, work, and family roles</w:t>
      </w:r>
    </w:p>
    <w:p>
      <w:pPr>
        <w:keepNext/>
      </w:pPr>
      <w:r>
        <w:rPr>
          <w:rFonts w:ascii="Aptos" w:hAnsi="Aptos"/>
          <w:b/>
          <w:color w:val="17365D"/>
          <w:sz w:val="21"/>
        </w:rPr>
        <w:t>10. A 15-year-old from a recently immigrated multigenerational family is failing classes, working evenings in the family business, and arguing with grandparents about independence. The parents request individual therapy for “defiance.” What should the therapist do first?</w:t>
      </w:r>
    </w:p>
    <w:p>
      <w:pPr>
        <w:keepNext/>
        <w:keepLines/>
        <w:spacing w:after="40"/>
        <w:ind w:left="288"/>
      </w:pPr>
      <w:r>
        <w:t>A. Accept the defiance formulation and begin behavior modification</w:t>
      </w:r>
    </w:p>
    <w:p>
      <w:pPr>
        <w:keepNext/>
        <w:keepLines/>
        <w:spacing w:after="40"/>
        <w:ind w:left="288"/>
      </w:pPr>
      <w:r>
        <w:t>B. Assess developmental and academic functioning, work demands, migration and acculturation experiences, family roles and expectations, language and access needs, stress, strengths, safety, and the perspectives of the adolescent and family</w:t>
      </w:r>
    </w:p>
    <w:p>
      <w:pPr>
        <w:keepNext/>
        <w:keepLines/>
        <w:spacing w:after="40"/>
        <w:ind w:left="288"/>
      </w:pPr>
      <w:r>
        <w:t>C. Tell the family that adolescent independence should take priority over cultural expectations</w:t>
      </w:r>
    </w:p>
    <w:p>
      <w:pPr>
        <w:keepNext/>
        <w:keepLines/>
        <w:spacing w:after="40"/>
        <w:ind w:left="288"/>
      </w:pPr>
      <w:r>
        <w:t>D. Refer the grandparents for parenting classes</w:t>
      </w:r>
    </w:p>
    <w:p>
      <w:pPr>
        <w:spacing w:after="160"/>
      </w:pPr>
      <w:r>
        <w:rPr>
          <w:rFonts w:ascii="Aptos" w:hAnsi="Aptos"/>
          <w:i/>
          <w:color w:val="6B7280"/>
          <w:sz w:val="18"/>
        </w:rPr>
        <w:t>My answer: ______    Confidence: 1  2  3</w:t>
      </w:r>
    </w:p>
    <w:p>
      <w:r>
        <w:br w:type="page"/>
      </w:r>
    </w:p>
    <w:p>
      <w:pPr>
        <w:pStyle w:val="Heading1"/>
      </w:pPr>
      <w:r>
        <w:t>Answer Key and Detailed Rationales</w:t>
      </w:r>
    </w:p>
    <w:p>
      <w:pPr>
        <w:pStyle w:val="Heading2"/>
      </w:pPr>
      <w:r>
        <w:t>Question 1 (LMFT-WB03-Q001)</w:t>
      </w:r>
    </w:p>
    <w:p>
      <w:r>
        <w:t>Correct Answer: A</w:t>
      </w:r>
    </w:p>
    <w:p>
      <w:pPr>
        <w:spacing w:after="60"/>
        <w:ind w:left="216"/>
      </w:pPr>
      <w:r>
        <w:t>A. Developmental level is inferred from functioning and capacities across domains; chronological age is one contextual fact.</w:t>
      </w:r>
    </w:p>
    <w:p>
      <w:pPr>
        <w:spacing w:after="60"/>
        <w:ind w:left="216"/>
      </w:pPr>
      <w:r>
        <w:t>B. The two concepts may be related but are not interchangeable.</w:t>
      </w:r>
    </w:p>
    <w:p>
      <w:pPr>
        <w:spacing w:after="60"/>
        <w:ind w:left="216"/>
      </w:pPr>
      <w:r>
        <w:t>C. Age does not override observed abilities, history, context, or change from baseline.</w:t>
      </w:r>
    </w:p>
    <w:p>
      <w:pPr>
        <w:spacing w:after="60"/>
        <w:ind w:left="216"/>
      </w:pPr>
      <w:r>
        <w:t>D. A diagnosis does not by itself establish developmental capacities.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When age and functioning do not align, assess demonstrated capacities and context rather than forcing an age-based assumption.</w:t>
            </w:r>
          </w:p>
        </w:tc>
      </w:tr>
    </w:tbl>
    <w:p/>
    <w:p>
      <w:pPr>
        <w:pStyle w:val="Heading2"/>
      </w:pPr>
      <w:r>
        <w:t>Question 2 (LMFT-WB03-Q002)</w:t>
      </w:r>
    </w:p>
    <w:p>
      <w:r>
        <w:t>Correct Answer: C</w:t>
      </w:r>
    </w:p>
    <w:p>
      <w:pPr>
        <w:spacing w:after="60"/>
        <w:ind w:left="216"/>
      </w:pPr>
      <w:r>
        <w:t>A. Diagnosis may be relevant, but it is not the primary purpose of the family life-cycle lens.</w:t>
      </w:r>
    </w:p>
    <w:p>
      <w:pPr>
        <w:spacing w:after="60"/>
        <w:ind w:left="216"/>
      </w:pPr>
      <w:r>
        <w:t>B. Family members often occupy different developmental positions.</w:t>
      </w:r>
    </w:p>
    <w:p>
      <w:pPr>
        <w:spacing w:after="60"/>
        <w:ind w:left="216"/>
      </w:pPr>
      <w:r>
        <w:t>C. Family life-cycle assessment focuses on stages, transitions, developmental demands, and adaptation.</w:t>
      </w:r>
    </w:p>
    <w:p>
      <w:pPr>
        <w:spacing w:after="60"/>
        <w:ind w:left="216"/>
      </w:pPr>
      <w:r>
        <w:t>D. The framework does not assign control based on family role.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Life-cycle questions test transitions, role changes, and adaptation—not who should control the family.</w:t>
            </w:r>
          </w:p>
        </w:tc>
      </w:tr>
    </w:tbl>
    <w:p/>
    <w:p>
      <w:pPr>
        <w:pStyle w:val="Heading2"/>
      </w:pPr>
      <w:r>
        <w:t>Question 3 (LMFT-WB03-Q003)</w:t>
      </w:r>
    </w:p>
    <w:p>
      <w:r>
        <w:t>Correct Answer: B</w:t>
      </w:r>
    </w:p>
    <w:p>
      <w:pPr>
        <w:spacing w:after="60"/>
        <w:ind w:left="216"/>
      </w:pPr>
      <w:r>
        <w:t>A. Group knowledge cannot replace assessment of the individual client’s experience.</w:t>
      </w:r>
    </w:p>
    <w:p>
      <w:pPr>
        <w:spacing w:after="60"/>
        <w:ind w:left="216"/>
      </w:pPr>
      <w:r>
        <w:t>B. This approach invites the client’s meaning and avoids stereotyping.</w:t>
      </w:r>
    </w:p>
    <w:p>
      <w:pPr>
        <w:spacing w:after="60"/>
        <w:ind w:left="216"/>
      </w:pPr>
      <w:r>
        <w:t>C. Relevant context may be missed if the therapist never explores it.</w:t>
      </w:r>
    </w:p>
    <w:p>
      <w:pPr>
        <w:spacing w:after="60"/>
        <w:ind w:left="216"/>
      </w:pPr>
      <w:r>
        <w:t>D. Shared identity does not establish shared beliefs or experiences.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Choose curiosity and client-defined meaning over prediction, avoidance, or assumed similarity.</w:t>
            </w:r>
          </w:p>
        </w:tc>
      </w:tr>
    </w:tbl>
    <w:p/>
    <w:p>
      <w:pPr>
        <w:pStyle w:val="Heading2"/>
      </w:pPr>
      <w:r>
        <w:t>Question 4 (LMFT-WB03-Q004)</w:t>
      </w:r>
    </w:p>
    <w:p>
      <w:r>
        <w:t>Correct Answer: D</w:t>
      </w:r>
    </w:p>
    <w:p>
      <w:pPr>
        <w:spacing w:after="60"/>
        <w:ind w:left="216"/>
      </w:pPr>
      <w:r>
        <w:t>A. A diagnosis is premature without duration, pattern, context, and functional information.</w:t>
      </w:r>
    </w:p>
    <w:p>
      <w:pPr>
        <w:spacing w:after="60"/>
        <w:ind w:left="216"/>
      </w:pPr>
      <w:r>
        <w:t>B. A behavior plan should follow assessment of function and context.</w:t>
      </w:r>
    </w:p>
    <w:p>
      <w:pPr>
        <w:spacing w:after="60"/>
        <w:ind w:left="216"/>
      </w:pPr>
      <w:r>
        <w:t>C. The therapist lacks information to recommend a school consequence.</w:t>
      </w:r>
    </w:p>
    <w:p>
      <w:pPr>
        <w:spacing w:after="60"/>
        <w:ind w:left="216"/>
      </w:pPr>
      <w:r>
        <w:t>D. This fills the key developmental, educational, relational, and contextual information gap.</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A recent setting change plus new behavior points first to contextual and cross-setting assessment.</w:t>
            </w:r>
          </w:p>
        </w:tc>
      </w:tr>
    </w:tbl>
    <w:p/>
    <w:p>
      <w:pPr>
        <w:pStyle w:val="Heading2"/>
      </w:pPr>
      <w:r>
        <w:t>Question 5 (LMFT-WB03-Q005)</w:t>
      </w:r>
    </w:p>
    <w:p>
      <w:r>
        <w:t>Correct Answer: A</w:t>
      </w:r>
    </w:p>
    <w:p>
      <w:pPr>
        <w:spacing w:after="60"/>
        <w:ind w:left="216"/>
      </w:pPr>
      <w:r>
        <w:t>A. This assesses the couple and family life-cycle transition and its relational effects.</w:t>
      </w:r>
    </w:p>
    <w:p>
      <w:pPr>
        <w:spacing w:after="60"/>
        <w:ind w:left="216"/>
      </w:pPr>
      <w:r>
        <w:t>B. The goal is not to rank the partners.</w:t>
      </w:r>
    </w:p>
    <w:p>
      <w:pPr>
        <w:spacing w:after="60"/>
        <w:ind w:left="216"/>
      </w:pPr>
      <w:r>
        <w:t>C. Termination of the relationship is not supported by the facts.</w:t>
      </w:r>
    </w:p>
    <w:p>
      <w:pPr>
        <w:spacing w:after="60"/>
        <w:ind w:left="216"/>
      </w:pPr>
      <w:r>
        <w:t>D. Feeding may matter, but it is too narrow to explain the couple’s transition.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In transition vignettes, assess the new roles and relational reorganization created by the transition.</w:t>
            </w:r>
          </w:p>
        </w:tc>
      </w:tr>
    </w:tbl>
    <w:p/>
    <w:p>
      <w:pPr>
        <w:pStyle w:val="Heading2"/>
      </w:pPr>
      <w:r>
        <w:t>Question 6 (LMFT-WB03-Q006)</w:t>
      </w:r>
    </w:p>
    <w:p>
      <w:r>
        <w:t>Correct Answer: C</w:t>
      </w:r>
    </w:p>
    <w:p>
      <w:pPr>
        <w:spacing w:after="60"/>
        <w:ind w:left="216"/>
      </w:pPr>
      <w:r>
        <w:t>A. Challenging the belief imposes the therapist’s position and bypasses assessment.</w:t>
      </w:r>
    </w:p>
    <w:p>
      <w:pPr>
        <w:spacing w:after="60"/>
        <w:ind w:left="216"/>
      </w:pPr>
      <w:r>
        <w:t>B. The beliefs are directly relevant to the presenting concern.</w:t>
      </w:r>
    </w:p>
    <w:p>
      <w:pPr>
        <w:spacing w:after="60"/>
        <w:ind w:left="216"/>
      </w:pPr>
      <w:r>
        <w:t>C. This respects the client’s meaning and assesses both strengths and conflict.</w:t>
      </w:r>
    </w:p>
    <w:p>
      <w:pPr>
        <w:spacing w:after="60"/>
        <w:ind w:left="216"/>
      </w:pPr>
      <w:r>
        <w:t>D. Clergy consultation may later be considered with consent, but automatic referral is premature.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When spirituality is both a resource and a stressor, assess both functions without imposing or avoiding values.</w:t>
            </w:r>
          </w:p>
        </w:tc>
      </w:tr>
    </w:tbl>
    <w:p/>
    <w:p>
      <w:pPr>
        <w:pStyle w:val="Heading2"/>
      </w:pPr>
      <w:r>
        <w:t>Question 7 (LMFT-WB03-Q007)</w:t>
      </w:r>
    </w:p>
    <w:p>
      <w:r>
        <w:t>Correct Answer: B</w:t>
      </w:r>
    </w:p>
    <w:p>
      <w:pPr>
        <w:spacing w:after="60"/>
        <w:ind w:left="216"/>
      </w:pPr>
      <w:r>
        <w:t>A. The proposed intervention is premature and may individualize the family crisis.</w:t>
      </w:r>
    </w:p>
    <w:p>
      <w:pPr>
        <w:spacing w:after="60"/>
        <w:ind w:left="216"/>
      </w:pPr>
      <w:r>
        <w:t>B. This assesses the socioeconomic stressor, developmental meaning, family system, safety, and functional impact.</w:t>
      </w:r>
    </w:p>
    <w:p>
      <w:pPr>
        <w:spacing w:after="60"/>
        <w:ind w:left="216"/>
      </w:pPr>
      <w:r>
        <w:t>C. The response may be understandable, but the therapist still must assess impact and need.</w:t>
      </w:r>
    </w:p>
    <w:p>
      <w:pPr>
        <w:spacing w:after="60"/>
        <w:ind w:left="216"/>
      </w:pPr>
      <w:r>
        <w:t>D. A diagnosis cannot be made from the limited information.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When material instability and child symptoms occur together, assess the crisis and relational impact before narrowing the problem to the child.</w:t>
            </w:r>
          </w:p>
        </w:tc>
      </w:tr>
    </w:tbl>
    <w:p/>
    <w:p>
      <w:pPr>
        <w:pStyle w:val="Heading2"/>
      </w:pPr>
      <w:r>
        <w:t>Question 8 (LMFT-WB03-Q008)</w:t>
      </w:r>
    </w:p>
    <w:p>
      <w:r>
        <w:t>Correct Answer: D</w:t>
      </w:r>
    </w:p>
    <w:p>
      <w:pPr>
        <w:spacing w:after="60"/>
        <w:ind w:left="216"/>
      </w:pPr>
      <w:r>
        <w:t>A. Trauma symptoms may need assessment, but diagnosis should not be assumed from service history.</w:t>
      </w:r>
    </w:p>
    <w:p>
      <w:pPr>
        <w:spacing w:after="60"/>
        <w:ind w:left="216"/>
      </w:pPr>
      <w:r>
        <w:t>B. Forgiveness is not the initial assessment task and assigns blame.</w:t>
      </w:r>
    </w:p>
    <w:p>
      <w:pPr>
        <w:spacing w:after="60"/>
        <w:ind w:left="216"/>
      </w:pPr>
      <w:r>
        <w:t>C. Children’s functioning and perspectives may be relevant depending on age, consent, and treatment structure.</w:t>
      </w:r>
    </w:p>
    <w:p>
      <w:pPr>
        <w:spacing w:after="60"/>
        <w:ind w:left="216"/>
      </w:pPr>
      <w:r>
        <w:t>D. This addresses military context and reciprocal family-system adjustment.</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Military service is context, not a diagnosis. Assess exposure, reintegration, and family-system effects.</w:t>
            </w:r>
          </w:p>
        </w:tc>
      </w:tr>
    </w:tbl>
    <w:p/>
    <w:p>
      <w:pPr>
        <w:pStyle w:val="Heading2"/>
      </w:pPr>
      <w:r>
        <w:t>Question 9 (LMFT-WB03-Q009)</w:t>
      </w:r>
    </w:p>
    <w:p>
      <w:r>
        <w:t>Correct Answer: A</w:t>
      </w:r>
    </w:p>
    <w:p>
      <w:pPr>
        <w:spacing w:after="60"/>
        <w:ind w:left="216"/>
      </w:pPr>
      <w:r>
        <w:t>A. This assesses safety, minority stress, family relationships, supports, and client goals.</w:t>
      </w:r>
    </w:p>
    <w:p>
      <w:pPr>
        <w:spacing w:after="60"/>
        <w:ind w:left="216"/>
      </w:pPr>
      <w:r>
        <w:t>B. Gender identity is not itself a disorder, and the option pathologizes identity rather than assessing distress and context.</w:t>
      </w:r>
    </w:p>
    <w:p>
      <w:pPr>
        <w:spacing w:after="60"/>
        <w:ind w:left="216"/>
      </w:pPr>
      <w:r>
        <w:t>C. Participation should not be forced before understanding the reasons for isolation.</w:t>
      </w:r>
    </w:p>
    <w:p>
      <w:pPr>
        <w:spacing w:after="60"/>
        <w:ind w:left="216"/>
      </w:pPr>
      <w:r>
        <w:t>D. A dress code is not a clinically supported first response.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Assess acceptance, discrimination, safety, and family response; do not treat identity itself as pathology.</w:t>
            </w:r>
          </w:p>
        </w:tc>
      </w:tr>
    </w:tbl>
    <w:p/>
    <w:p>
      <w:pPr>
        <w:pStyle w:val="Heading2"/>
      </w:pPr>
      <w:r>
        <w:t>Question 10 (LMFT-WB03-Q010)</w:t>
      </w:r>
    </w:p>
    <w:p>
      <w:r>
        <w:t>Correct Answer: B</w:t>
      </w:r>
    </w:p>
    <w:p>
      <w:pPr>
        <w:spacing w:after="60"/>
        <w:ind w:left="216"/>
      </w:pPr>
      <w:r>
        <w:t>A. This accepts one family member’s formulation without adequate assessment.</w:t>
      </w:r>
    </w:p>
    <w:p>
      <w:pPr>
        <w:spacing w:after="60"/>
        <w:ind w:left="216"/>
      </w:pPr>
      <w:r>
        <w:t>B. This integrates development, school, employment, culture, migration, intergenerational relationships, access, and strengths.</w:t>
      </w:r>
    </w:p>
    <w:p>
      <w:pPr>
        <w:spacing w:after="60"/>
        <w:ind w:left="216"/>
      </w:pPr>
      <w:r>
        <w:t>C. The therapist should not impose a cultural value hierarchy.</w:t>
      </w:r>
    </w:p>
    <w:p>
      <w:pPr>
        <w:spacing w:after="60"/>
        <w:ind w:left="216"/>
      </w:pPr>
      <w:r>
        <w:t>D. Referral is premature and places responsibility on one part of the system.</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Integrated LMFT items reward assessment of developmental tasks and the relational, cultural, and material system before intervention.</w:t>
            </w:r>
          </w:p>
        </w:tc>
      </w:tr>
    </w:tbl>
    <w:p/>
    <w:p>
      <w:pPr>
        <w:pStyle w:val="Heading1"/>
      </w:pPr>
      <w:r>
        <w:t>Score and Study Plan</w:t>
      </w:r>
    </w:p>
    <w:p>
      <w:pPr/>
      <w:r>
        <w:t>Score: ______ / 10</w:t>
      </w:r>
    </w:p>
    <w:p>
      <w:pPr/>
      <w:r>
        <w:t>Questions I missed or guessed: ________________________________________________</w:t>
      </w:r>
    </w:p>
    <w:p>
      <w:pPr/>
      <w:r>
        <w:t>My three priority review topics:</w:t>
      </w:r>
    </w:p>
    <w:p>
      <w:pPr/>
      <w:r>
        <w:t>1. ___________________________________________________________________________</w:t>
      </w:r>
    </w:p>
    <w:p>
      <w:pPr/>
      <w:r>
        <w:t>2. ___________________________________________________________________________</w:t>
      </w:r>
    </w:p>
    <w:p>
      <w:pPr/>
      <w:r>
        <w:t>3. ___________________________________________________________________________</w:t>
      </w:r>
    </w:p>
    <w:p>
      <w:pPr/>
      <w:r>
        <w:t>One reasoning rule I will apply on my next practice set:</w:t>
      </w:r>
    </w:p>
    <w:p>
      <w:pPr/>
      <w:r>
        <w:t>______________________________________________________________________________</w:t>
      </w:r>
    </w:p>
    <w:p>
      <w:pPr>
        <w:pStyle w:val="Heading1"/>
      </w:pPr>
      <w:r>
        <w:t>Sources and Currency Note</w:t>
      </w:r>
    </w:p>
    <w:p>
      <w:pPr>
        <w:pStyle w:val="ListBullet"/>
      </w:pPr>
      <w:r>
        <w:t>California Board of Behavioral Sciences. Licensed Marriage and Family Therapist Written Clinical Examination Outline, effective January 1, 2021, Clinical Evaluation Tasks T10-T20.</w:t>
      </w:r>
    </w:p>
    <w:p>
      <w:pPr>
        <w:pStyle w:val="ListBullet"/>
      </w:pPr>
      <w:r>
        <w:t>California Board of Behavioral Sciences. Statutes and Regulations Relating to Marriage and Family Therapy and Clinical Social Work, January 2026.</w:t>
      </w:r>
    </w:p>
    <w:p>
      <w:pPr>
        <w:pStyle w:val="ListBullet"/>
      </w:pPr>
      <w:r>
        <w:t>Official examination outlines, laws, and testing policies may change. Verify current BBS and testing-vendor requirements before testing.</w:t>
      </w:r>
    </w:p>
    <w:p>
      <w:pPr/>
      <w:r>
        <w:t>All practice questions are original CTA items. Examination specifications and professional requirements may change; consult current official sources before testing or practice.</w:t>
      </w:r>
    </w:p>
    <w:sectPr w:rsidR="00FC693F" w:rsidRPr="0006063C" w:rsidSect="00034616">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t>Clinical Training Academy • Student Workbook</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 xml:space="preserve">   CTA LMFT Workbook 3 - Developmental, Psychosocial, and Diversity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3: Developmental, Psychosocial, and Diversity Assessment</dc:title>
  <dc:subject>CTA exam preparation student workbook</dc:subject>
  <dc:creator>Clinical Training and Supervision Academy</dc:creator>
  <cp:keywords>CTA, exam preparation, student workbook</cp:keywords>
  <dc:description/>
  <cp:lastModifiedBy>Clinical Training and Supervision Academy</cp:lastModifiedBy>
  <cp:revision>1</cp:revision>
  <dcterms:created xsi:type="dcterms:W3CDTF">2013-12-23T23:15:00Z</dcterms:created>
  <dcterms:modified xsi:type="dcterms:W3CDTF">2013-12-23T23:15:00Z</dcterms:modified>
  <cp:category/>
</cp:coreProperties>
</file>