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EXAM PREPARATION PROGRAM</w:t>
      </w:r>
    </w:p>
    <w:p>
      <w:pPr>
        <w:spacing w:after="240"/>
        <w:jc w:val="center"/>
      </w:pPr>
      <w:r>
        <w:rPr>
          <w:b/>
          <w:i w:val="0"/>
          <w:color w:val="C17C00"/>
          <w:sz w:val="30"/>
        </w:rPr>
        <w:t>Student Workbook</w:t>
      </w:r>
    </w:p>
    <w:p>
      <w:pPr>
        <w:pStyle w:val="Title"/>
        <w:spacing w:after="160"/>
        <w:jc w:val="center"/>
      </w:pPr>
      <w:r>
        <w:t>CTA LMFT Workbook 9: Trauma, Psychological, Behavioral, and Recovery Interventions</w:t>
      </w:r>
    </w:p>
    <w:p>
      <w:pPr>
        <w:spacing w:after="240"/>
        <w:jc w:val="center"/>
      </w:pPr>
      <w:r>
        <w:rPr>
          <w:b w:val="0"/>
          <w:i/>
          <w:color w:val="5B6573"/>
          <w:sz w:val="24"/>
        </w:rPr>
        <w:t>Selecting, sequencing, adapting, and evaluating interventions within relational systems</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Clinical and Legal Scope Notice</w:t>
            </w:r>
            <w:r>
              <w:br/>
              <w:t>The material is provided for examination preparation and professional education. It is not legal advice, clinical supervision, diagnosis, treatment, or a substitute for consultation with qualified legal, clinical, regulatory, or professional experts. California examination and professional-practice references were reviewed against current official sources on July 24, 2026. Candidates should verify current Board requirements and setting-specific procedures.</w:t>
            </w:r>
          </w:p>
        </w:tc>
      </w:tr>
    </w:tbl>
    <w:p>
      <w:pPr>
        <w:pStyle w:val="Heading1"/>
      </w:pPr>
      <w:r>
        <w:t>How to Use This Workbook</w:t>
      </w:r>
    </w:p>
    <w:p>
      <w:r>
        <w:rPr>
          <w:i w:val="0"/>
        </w:rPr>
        <w:t>This workbook develops applied treatment reasoning after assessment, diagnosis, safety, and planning have established a clinical direction. Read each section, practice stating the target mechanism in one sentence, complete the worksheet, then answer the knowledge check without reviewing the rationales. The goal is not to memorize a list of techniques. It is to select the intervention that fits the client, relationship system, stage of treatment, safety conditions, and clinician competence.</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Core Exam Question</w:t>
            </w:r>
          </w:p>
          <w:p>
            <w:pPr>
              <w:spacing w:after="0"/>
            </w:pPr>
            <w:r>
              <w:t>What should the therapist do at this stage, for this target, with this client or client system, under these safety and scope conditions?</w:t>
            </w:r>
          </w:p>
        </w:tc>
      </w:tr>
    </w:tbl>
    <w:p>
      <w:pPr>
        <w:spacing w:after="0"/>
      </w:pPr>
    </w:p>
    <w:p>
      <w:pPr>
        <w:pStyle w:val="Heading1"/>
      </w:pPr>
      <w:r>
        <w:t>Learning Objectives</w:t>
      </w:r>
    </w:p>
    <w:p>
      <w:pPr>
        <w:pStyle w:val="ListBullet"/>
      </w:pPr>
      <w:r>
        <w:t>Use the FITS sequence to select and time trauma, cognitive, behavioral, motivational, grief, recovery, developmental, and systemic interventions from the assessment and treatment target.</w:t>
      </w:r>
    </w:p>
    <w:p>
      <w:pPr>
        <w:pStyle w:val="ListBullet"/>
      </w:pPr>
      <w:r>
        <w:t>Differentiate stabilization, skills training, cognitive and behavioral methods, motivational interviewing, grief support, psychoeducation, harm reduction, recovery support, and theory-consistent relational interventions.</w:t>
      </w:r>
    </w:p>
    <w:p>
      <w:pPr>
        <w:pStyle w:val="ListBullet"/>
      </w:pPr>
      <w:r>
        <w:t>Integrate symptoms with relationship cycles, caregiving, parenting, development, culture, health, disability, substance use, environmental barriers, and client or client-system preferences.</w:t>
      </w:r>
    </w:p>
    <w:p>
      <w:pPr>
        <w:pStyle w:val="ListBullet"/>
      </w:pPr>
      <w:r>
        <w:t>Identify when medical or psychiatric evaluation, consultation, specialty referral, coordinated treatment, or a higher level of care must precede or accompany psychotherapy.</w:t>
      </w:r>
    </w:p>
    <w:p>
      <w:pPr>
        <w:pStyle w:val="ListBullet"/>
      </w:pPr>
      <w:r>
        <w:t>Evaluate nonresponse by reassessing safety, formulation, diagnosis, alliance, implementation, accessibility, treatment unit, competence, and level of care before repeating or adding techniques.</w:t>
      </w:r>
    </w:p>
    <w:p>
      <w:pPr>
        <w:pStyle w:val="Heading1"/>
      </w:pPr>
      <w:r>
        <w:t>Why This Topic Matters</w:t>
      </w:r>
    </w:p>
    <w:p>
      <w:r>
        <w:rPr>
          <w:i w:val="0"/>
        </w:rPr>
        <w:t>Treatment questions commonly present several interventions that could be useful in some setting. The best answer is the one that is safest, best timed, most directly connected to the maintaining mechanism, and appropriate to the treatment unit. A sophisticated-sounding technique is not automatically correct. The examination rewards disciplined sequencing and fit.</w:t>
      </w:r>
    </w:p>
    <w:p>
      <w:pPr>
        <w:pStyle w:val="Heading1"/>
      </w:pPr>
      <w:r>
        <w:t>1. The FITS Intervention Sequence</w:t>
      </w:r>
    </w:p>
    <w:tbl>
      <w:tblPr>
        <w:tblStyle w:val="TableGrid"/>
        <w:tblW w:type="auto" w:w="0"/>
        <w:jc w:val="center"/>
        <w:tblLayout w:type="fixed"/>
        <w:tblLook w:firstColumn="1" w:firstRow="1" w:lastColumn="0" w:lastRow="0" w:noHBand="0" w:noVBand="1" w:val="04A0"/>
      </w:tblPr>
      <w:tblGrid>
        <w:gridCol w:w="1800"/>
        <w:gridCol w:w="813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Step</w:t>
            </w:r>
          </w:p>
        </w:tc>
        <w:tc>
          <w:tcPr>
            <w:tcW w:type="dxa" w:w="5040"/>
            <w:shd w:fill="17365D"/>
            <w:tcMar>
              <w:top w:w="100" w:type="dxa"/>
              <w:start w:w="120" w:type="dxa"/>
              <w:bottom w:w="100" w:type="dxa"/>
              <w:end w:w="120" w:type="dxa"/>
            </w:tcMar>
          </w:tcPr>
          <w:p>
            <w:pPr>
              <w:spacing w:after="0"/>
            </w:pPr>
            <w:r>
              <w:rPr>
                <w:b/>
                <w:color w:val="FFFFFF"/>
                <w:sz w:val="17"/>
              </w:rPr>
              <w:t>Exam Question</w:t>
            </w:r>
          </w:p>
        </w:tc>
      </w:tr>
      <w:tr>
        <w:trPr>
          <w:cantSplit/>
        </w:trPr>
        <w:tc>
          <w:tcPr>
            <w:tcW w:type="dxa" w:w="1800"/>
            <w:tcMar>
              <w:top w:w="100" w:type="dxa"/>
              <w:start w:w="120" w:type="dxa"/>
              <w:bottom w:w="100" w:type="dxa"/>
              <w:end w:w="120" w:type="dxa"/>
            </w:tcMar>
          </w:tcPr>
          <w:p>
            <w:pPr>
              <w:spacing w:after="0"/>
            </w:pPr>
            <w:r>
              <w:rPr>
                <w:sz w:val="17"/>
              </w:rPr>
              <w:t>F — Formulation</w:t>
            </w:r>
          </w:p>
        </w:tc>
        <w:tc>
          <w:tcPr>
            <w:tcW w:type="dxa" w:w="8136"/>
            <w:tcMar>
              <w:top w:w="100" w:type="dxa"/>
              <w:start w:w="120" w:type="dxa"/>
              <w:bottom w:w="100" w:type="dxa"/>
              <w:end w:w="120" w:type="dxa"/>
            </w:tcMar>
          </w:tcPr>
          <w:p>
            <w:pPr>
              <w:spacing w:after="0"/>
            </w:pPr>
            <w:r>
              <w:rPr>
                <w:sz w:val="17"/>
              </w:rPr>
              <w:t>What problem pattern and maintaining mechanism are supported by the assessment?</w:t>
            </w:r>
          </w:p>
        </w:tc>
      </w:tr>
      <w:tr>
        <w:trPr>
          <w:cantSplit/>
        </w:trPr>
        <w:tc>
          <w:tcPr>
            <w:tcW w:type="dxa" w:w="1800"/>
            <w:tcMar>
              <w:top w:w="100" w:type="dxa"/>
              <w:start w:w="120" w:type="dxa"/>
              <w:bottom w:w="100" w:type="dxa"/>
              <w:end w:w="120" w:type="dxa"/>
            </w:tcMar>
            <w:shd w:fill="F7F8FA"/>
          </w:tcPr>
          <w:p>
            <w:pPr>
              <w:spacing w:after="0"/>
            </w:pPr>
            <w:r>
              <w:rPr>
                <w:sz w:val="17"/>
              </w:rPr>
              <w:t>I — Immediacy</w:t>
            </w:r>
          </w:p>
        </w:tc>
        <w:tc>
          <w:tcPr>
            <w:tcW w:type="dxa" w:w="8136"/>
            <w:tcMar>
              <w:top w:w="100" w:type="dxa"/>
              <w:start w:w="120" w:type="dxa"/>
              <w:bottom w:w="100" w:type="dxa"/>
              <w:end w:w="120" w:type="dxa"/>
            </w:tcMar>
            <w:shd w:fill="F7F8FA"/>
          </w:tcPr>
          <w:p>
            <w:pPr>
              <w:spacing w:after="0"/>
            </w:pPr>
            <w:r>
              <w:rPr>
                <w:sz w:val="17"/>
              </w:rPr>
              <w:t>Does safety, medical risk, intoxication, withdrawal, severe instability, or a higher level of care come first?</w:t>
            </w:r>
          </w:p>
        </w:tc>
      </w:tr>
      <w:tr>
        <w:trPr>
          <w:cantSplit/>
        </w:trPr>
        <w:tc>
          <w:tcPr>
            <w:tcW w:type="dxa" w:w="1800"/>
            <w:tcMar>
              <w:top w:w="100" w:type="dxa"/>
              <w:start w:w="120" w:type="dxa"/>
              <w:bottom w:w="100" w:type="dxa"/>
              <w:end w:w="120" w:type="dxa"/>
            </w:tcMar>
          </w:tcPr>
          <w:p>
            <w:pPr>
              <w:spacing w:after="0"/>
            </w:pPr>
            <w:r>
              <w:rPr>
                <w:sz w:val="17"/>
              </w:rPr>
              <w:t>T — Target</w:t>
            </w:r>
          </w:p>
        </w:tc>
        <w:tc>
          <w:tcPr>
            <w:tcW w:type="dxa" w:w="8136"/>
            <w:tcMar>
              <w:top w:w="100" w:type="dxa"/>
              <w:start w:w="120" w:type="dxa"/>
              <w:bottom w:w="100" w:type="dxa"/>
              <w:end w:w="120" w:type="dxa"/>
            </w:tcMar>
          </w:tcPr>
          <w:p>
            <w:pPr>
              <w:spacing w:after="0"/>
            </w:pPr>
            <w:r>
              <w:rPr>
                <w:sz w:val="17"/>
              </w:rPr>
              <w:t>What must change now: avoidance, belief, reinforcement, dysregulation, grief process, relationship cycle, skill deficit, or environmental barrier?</w:t>
            </w:r>
          </w:p>
        </w:tc>
      </w:tr>
      <w:tr>
        <w:trPr>
          <w:cantSplit/>
        </w:trPr>
        <w:tc>
          <w:tcPr>
            <w:tcW w:type="dxa" w:w="1800"/>
            <w:tcMar>
              <w:top w:w="100" w:type="dxa"/>
              <w:start w:w="120" w:type="dxa"/>
              <w:bottom w:w="100" w:type="dxa"/>
              <w:end w:w="120" w:type="dxa"/>
            </w:tcMar>
            <w:shd w:fill="F7F8FA"/>
          </w:tcPr>
          <w:p>
            <w:pPr>
              <w:spacing w:after="0"/>
            </w:pPr>
            <w:r>
              <w:rPr>
                <w:sz w:val="17"/>
              </w:rPr>
              <w:t>S — Suitability</w:t>
            </w:r>
          </w:p>
        </w:tc>
        <w:tc>
          <w:tcPr>
            <w:tcW w:type="dxa" w:w="8136"/>
            <w:tcMar>
              <w:top w:w="100" w:type="dxa"/>
              <w:start w:w="120" w:type="dxa"/>
              <w:bottom w:w="100" w:type="dxa"/>
              <w:end w:w="120" w:type="dxa"/>
            </w:tcMar>
            <w:shd w:fill="F7F8FA"/>
          </w:tcPr>
          <w:p>
            <w:pPr>
              <w:spacing w:after="0"/>
            </w:pPr>
            <w:r>
              <w:rPr>
                <w:sz w:val="17"/>
              </w:rPr>
              <w:t>Does the method fit development, culture, language, readiness, preference, access, unit of treatment, and therapist competence?</w:t>
            </w:r>
          </w:p>
        </w:tc>
      </w:tr>
      <w:tr>
        <w:trPr>
          <w:cantSplit/>
        </w:trPr>
        <w:tc>
          <w:tcPr>
            <w:tcW w:type="dxa" w:w="1800"/>
            <w:tcMar>
              <w:top w:w="100" w:type="dxa"/>
              <w:start w:w="120" w:type="dxa"/>
              <w:bottom w:w="100" w:type="dxa"/>
              <w:end w:w="120" w:type="dxa"/>
            </w:tcMar>
          </w:tcPr>
          <w:p>
            <w:pPr>
              <w:spacing w:after="0"/>
            </w:pPr>
            <w:r>
              <w:rPr>
                <w:sz w:val="17"/>
              </w:rPr>
              <w:t>Response Check</w:t>
            </w:r>
          </w:p>
        </w:tc>
        <w:tc>
          <w:tcPr>
            <w:tcW w:type="dxa" w:w="8136"/>
            <w:tcMar>
              <w:top w:w="100" w:type="dxa"/>
              <w:start w:w="120" w:type="dxa"/>
              <w:bottom w:w="100" w:type="dxa"/>
              <w:end w:w="120" w:type="dxa"/>
            </w:tcMar>
          </w:tcPr>
          <w:p>
            <w:pPr>
              <w:spacing w:after="0"/>
            </w:pPr>
            <w:r>
              <w:rPr>
                <w:sz w:val="17"/>
              </w:rPr>
              <w:t>What observable change will show that the intervention is helping, and when will the plan be reviewed?</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FITS prevents “technique shopping.” Name the formulation, urgency, target, fit, and response measure before choosing the answer.</w:t>
            </w:r>
          </w:p>
        </w:tc>
      </w:tr>
    </w:tbl>
    <w:p>
      <w:pPr>
        <w:spacing w:after="0"/>
      </w:pPr>
    </w:p>
    <w:p>
      <w:pPr>
        <w:pStyle w:val="Heading1"/>
      </w:pPr>
      <w:r>
        <w:t>2. Trauma-Informed Treatment and Pacing</w:t>
      </w:r>
    </w:p>
    <w:p>
      <w:r>
        <w:rPr>
          <w:i w:val="0"/>
        </w:rPr>
        <w:t>Trauma-informed care emphasizes safety, transparency, collaboration, choice, regulation, and avoidance of unnecessary re-traumatization. Detailed trauma processing is not the first response when the client is acutely dysregulated, unsafe, unable to remain oriented, or not adequately informed and prepared. Present-moment grounding, stabilization, sleep and routine support, coping skills, and safety planning may need to precede memory-focused work.</w:t>
      </w:r>
    </w:p>
    <w:tbl>
      <w:tblPr>
        <w:tblStyle w:val="TableGrid"/>
        <w:tblW w:type="auto" w:w="0"/>
        <w:jc w:val="center"/>
        <w:tblLayout w:type="fixed"/>
        <w:tblLook w:firstColumn="1" w:firstRow="1" w:lastColumn="0" w:lastRow="0" w:noHBand="0" w:noVBand="1" w:val="04A0"/>
      </w:tblPr>
      <w:tblGrid>
        <w:gridCol w:w="3456"/>
        <w:gridCol w:w="648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Clinical Presentation</w:t>
            </w:r>
          </w:p>
        </w:tc>
        <w:tc>
          <w:tcPr>
            <w:tcW w:type="dxa" w:w="5040"/>
            <w:shd w:fill="17365D"/>
            <w:tcMar>
              <w:top w:w="100" w:type="dxa"/>
              <w:start w:w="120" w:type="dxa"/>
              <w:bottom w:w="100" w:type="dxa"/>
              <w:end w:w="120" w:type="dxa"/>
            </w:tcMar>
          </w:tcPr>
          <w:p>
            <w:pPr>
              <w:spacing w:after="0"/>
            </w:pPr>
            <w:r>
              <w:rPr>
                <w:b/>
                <w:color w:val="FFFFFF"/>
                <w:sz w:val="17"/>
              </w:rPr>
              <w:t>Stronger Initial Response</w:t>
            </w:r>
          </w:p>
        </w:tc>
      </w:tr>
      <w:tr>
        <w:trPr>
          <w:cantSplit/>
        </w:trPr>
        <w:tc>
          <w:tcPr>
            <w:tcW w:type="dxa" w:w="3456"/>
            <w:tcMar>
              <w:top w:w="100" w:type="dxa"/>
              <w:start w:w="120" w:type="dxa"/>
              <w:bottom w:w="100" w:type="dxa"/>
              <w:end w:w="120" w:type="dxa"/>
            </w:tcMar>
          </w:tcPr>
          <w:p>
            <w:pPr>
              <w:spacing w:after="0"/>
            </w:pPr>
            <w:r>
              <w:rPr>
                <w:sz w:val="17"/>
              </w:rPr>
              <w:t>Acute disorientation or panic during disclosure</w:t>
            </w:r>
          </w:p>
        </w:tc>
        <w:tc>
          <w:tcPr>
            <w:tcW w:type="dxa" w:w="6480"/>
            <w:tcMar>
              <w:top w:w="100" w:type="dxa"/>
              <w:start w:w="120" w:type="dxa"/>
              <w:bottom w:w="100" w:type="dxa"/>
              <w:end w:w="120" w:type="dxa"/>
            </w:tcMar>
          </w:tcPr>
          <w:p>
            <w:pPr>
              <w:spacing w:after="0"/>
            </w:pPr>
            <w:r>
              <w:rPr>
                <w:sz w:val="17"/>
              </w:rPr>
              <w:t>Orient to the present, slow the pace, support grounding, and restore choice.</w:t>
            </w:r>
          </w:p>
        </w:tc>
      </w:tr>
      <w:tr>
        <w:trPr>
          <w:cantSplit/>
        </w:trPr>
        <w:tc>
          <w:tcPr>
            <w:tcW w:type="dxa" w:w="3456"/>
            <w:tcMar>
              <w:top w:w="100" w:type="dxa"/>
              <w:start w:w="120" w:type="dxa"/>
              <w:bottom w:w="100" w:type="dxa"/>
              <w:end w:w="120" w:type="dxa"/>
            </w:tcMar>
            <w:shd w:fill="F7F8FA"/>
          </w:tcPr>
          <w:p>
            <w:pPr>
              <w:spacing w:after="0"/>
            </w:pPr>
            <w:r>
              <w:rPr>
                <w:sz w:val="17"/>
              </w:rPr>
              <w:t>Avoidance maintaining trauma symptoms after stabilization</w:t>
            </w:r>
          </w:p>
        </w:tc>
        <w:tc>
          <w:tcPr>
            <w:tcW w:type="dxa" w:w="6480"/>
            <w:tcMar>
              <w:top w:w="100" w:type="dxa"/>
              <w:start w:w="120" w:type="dxa"/>
              <w:bottom w:w="100" w:type="dxa"/>
              <w:end w:w="120" w:type="dxa"/>
            </w:tcMar>
            <w:shd w:fill="F7F8FA"/>
          </w:tcPr>
          <w:p>
            <w:pPr>
              <w:spacing w:after="0"/>
            </w:pPr>
            <w:r>
              <w:rPr>
                <w:sz w:val="17"/>
              </w:rPr>
              <w:t>Use a competent, collaborative evidence-informed plan that targets avoidance without coercion.</w:t>
            </w:r>
          </w:p>
        </w:tc>
      </w:tr>
      <w:tr>
        <w:trPr>
          <w:cantSplit/>
        </w:trPr>
        <w:tc>
          <w:tcPr>
            <w:tcW w:type="dxa" w:w="3456"/>
            <w:tcMar>
              <w:top w:w="100" w:type="dxa"/>
              <w:start w:w="120" w:type="dxa"/>
              <w:bottom w:w="100" w:type="dxa"/>
              <w:end w:w="120" w:type="dxa"/>
            </w:tcMar>
          </w:tcPr>
          <w:p>
            <w:pPr>
              <w:spacing w:after="0"/>
            </w:pPr>
            <w:r>
              <w:rPr>
                <w:sz w:val="17"/>
              </w:rPr>
              <w:t>Partner overprotection reinforcing fear</w:t>
            </w:r>
          </w:p>
        </w:tc>
        <w:tc>
          <w:tcPr>
            <w:tcW w:type="dxa" w:w="6480"/>
            <w:tcMar>
              <w:top w:w="100" w:type="dxa"/>
              <w:start w:w="120" w:type="dxa"/>
              <w:bottom w:w="100" w:type="dxa"/>
              <w:end w:w="120" w:type="dxa"/>
            </w:tcMar>
          </w:tcPr>
          <w:p>
            <w:pPr>
              <w:spacing w:after="0"/>
            </w:pPr>
            <w:r>
              <w:rPr>
                <w:sz w:val="17"/>
              </w:rPr>
              <w:t>Address the reassurance or avoidance cycle while protecting the trauma survivor’s control and safety.</w:t>
            </w:r>
          </w:p>
        </w:tc>
      </w:tr>
      <w:tr>
        <w:trPr>
          <w:cantSplit/>
        </w:trPr>
        <w:tc>
          <w:tcPr>
            <w:tcW w:type="dxa" w:w="3456"/>
            <w:tcMar>
              <w:top w:w="100" w:type="dxa"/>
              <w:start w:w="120" w:type="dxa"/>
              <w:bottom w:w="100" w:type="dxa"/>
              <w:end w:w="120" w:type="dxa"/>
            </w:tcMar>
            <w:shd w:fill="F7F8FA"/>
          </w:tcPr>
          <w:p>
            <w:pPr>
              <w:spacing w:after="0"/>
            </w:pPr>
            <w:r>
              <w:rPr>
                <w:sz w:val="17"/>
              </w:rPr>
              <w:t>Unsafe home or coercive relationship</w:t>
            </w:r>
          </w:p>
        </w:tc>
        <w:tc>
          <w:tcPr>
            <w:tcW w:type="dxa" w:w="6480"/>
            <w:tcMar>
              <w:top w:w="100" w:type="dxa"/>
              <w:start w:w="120" w:type="dxa"/>
              <w:bottom w:w="100" w:type="dxa"/>
              <w:end w:w="120" w:type="dxa"/>
            </w:tcMar>
            <w:shd w:fill="F7F8FA"/>
          </w:tcPr>
          <w:p>
            <w:pPr>
              <w:spacing w:after="0"/>
            </w:pPr>
            <w:r>
              <w:rPr>
                <w:sz w:val="17"/>
              </w:rPr>
              <w:t>Prioritize safety and appropriate resources before conjoint processing.</w:t>
            </w:r>
          </w:p>
        </w:tc>
      </w:tr>
    </w:tbl>
    <w:p>
      <w:pPr>
        <w:spacing w:after="0"/>
      </w:pPr>
    </w:p>
    <w:p>
      <w:pPr>
        <w:pStyle w:val="Heading1"/>
      </w:pPr>
      <w:r>
        <w:t>3. Cognitive and Behavioral Methods</w:t>
      </w:r>
    </w:p>
    <w:p>
      <w:r>
        <w:rPr>
          <w:i w:val="0"/>
        </w:rPr>
        <w:t>Cognitive interventions examine interpretations, assumptions, and predictions that intensify distress or maintain ineffective behavior. Behavioral methods target avoidance, reinforcement, routines, exposure, activation, skills, and environmental contingencies. The therapist should be able to state the mechanism: what thought-behavior pattern is expected to change and why the selected method fits the current formulation.</w:t>
      </w:r>
    </w:p>
    <w:tbl>
      <w:tblPr>
        <w:tblStyle w:val="TableGrid"/>
        <w:tblW w:type="auto" w:w="0"/>
        <w:jc w:val="center"/>
        <w:tblLayout w:type="fixed"/>
        <w:tblLook w:firstColumn="1" w:firstRow="1" w:lastColumn="0" w:lastRow="0" w:noHBand="0" w:noVBand="1" w:val="04A0"/>
      </w:tblPr>
      <w:tblGrid>
        <w:gridCol w:w="3816"/>
        <w:gridCol w:w="612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Maintaining Pattern</w:t>
            </w:r>
          </w:p>
        </w:tc>
        <w:tc>
          <w:tcPr>
            <w:tcW w:type="dxa" w:w="5040"/>
            <w:shd w:fill="17365D"/>
            <w:tcMar>
              <w:top w:w="100" w:type="dxa"/>
              <w:start w:w="120" w:type="dxa"/>
              <w:bottom w:w="100" w:type="dxa"/>
              <w:end w:w="120" w:type="dxa"/>
            </w:tcMar>
          </w:tcPr>
          <w:p>
            <w:pPr>
              <w:spacing w:after="0"/>
            </w:pPr>
            <w:r>
              <w:rPr>
                <w:b/>
                <w:color w:val="FFFFFF"/>
                <w:sz w:val="17"/>
              </w:rPr>
              <w:t>Possible Function</w:t>
            </w:r>
          </w:p>
        </w:tc>
      </w:tr>
      <w:tr>
        <w:trPr>
          <w:cantSplit/>
        </w:trPr>
        <w:tc>
          <w:tcPr>
            <w:tcW w:type="dxa" w:w="3816"/>
            <w:tcMar>
              <w:top w:w="100" w:type="dxa"/>
              <w:start w:w="120" w:type="dxa"/>
              <w:bottom w:w="100" w:type="dxa"/>
              <w:end w:w="120" w:type="dxa"/>
            </w:tcMar>
          </w:tcPr>
          <w:p>
            <w:pPr>
              <w:spacing w:after="0"/>
            </w:pPr>
            <w:r>
              <w:rPr>
                <w:sz w:val="17"/>
              </w:rPr>
              <w:t>Withdrawal reduces short-term anxiety but deepens depression</w:t>
            </w:r>
          </w:p>
        </w:tc>
        <w:tc>
          <w:tcPr>
            <w:tcW w:type="dxa" w:w="6120"/>
            <w:tcMar>
              <w:top w:w="100" w:type="dxa"/>
              <w:start w:w="120" w:type="dxa"/>
              <w:bottom w:w="100" w:type="dxa"/>
              <w:end w:w="120" w:type="dxa"/>
            </w:tcMar>
          </w:tcPr>
          <w:p>
            <w:pPr>
              <w:spacing w:after="0"/>
            </w:pPr>
            <w:r>
              <w:rPr>
                <w:sz w:val="17"/>
              </w:rPr>
              <w:t>Behavioral activation and graded re-engagement.</w:t>
            </w:r>
          </w:p>
        </w:tc>
      </w:tr>
      <w:tr>
        <w:trPr>
          <w:cantSplit/>
        </w:trPr>
        <w:tc>
          <w:tcPr>
            <w:tcW w:type="dxa" w:w="3816"/>
            <w:tcMar>
              <w:top w:w="100" w:type="dxa"/>
              <w:start w:w="120" w:type="dxa"/>
              <w:bottom w:w="100" w:type="dxa"/>
              <w:end w:w="120" w:type="dxa"/>
            </w:tcMar>
            <w:shd w:fill="F7F8FA"/>
          </w:tcPr>
          <w:p>
            <w:pPr>
              <w:spacing w:after="0"/>
            </w:pPr>
            <w:r>
              <w:rPr>
                <w:sz w:val="17"/>
              </w:rPr>
              <w:t>Catastrophic interpretation increases panic and reassurance seeking</w:t>
            </w:r>
          </w:p>
        </w:tc>
        <w:tc>
          <w:tcPr>
            <w:tcW w:type="dxa" w:w="6120"/>
            <w:tcMar>
              <w:top w:w="100" w:type="dxa"/>
              <w:start w:w="120" w:type="dxa"/>
              <w:bottom w:w="100" w:type="dxa"/>
              <w:end w:w="120" w:type="dxa"/>
            </w:tcMar>
            <w:shd w:fill="F7F8FA"/>
          </w:tcPr>
          <w:p>
            <w:pPr>
              <w:spacing w:after="0"/>
            </w:pPr>
            <w:r>
              <w:rPr>
                <w:sz w:val="17"/>
              </w:rPr>
              <w:t>Cognitive reappraisal, interoceptive or situational exposure when appropriate, and reduction of maintaining reassurance patterns.</w:t>
            </w:r>
          </w:p>
        </w:tc>
      </w:tr>
      <w:tr>
        <w:trPr>
          <w:cantSplit/>
        </w:trPr>
        <w:tc>
          <w:tcPr>
            <w:tcW w:type="dxa" w:w="3816"/>
            <w:tcMar>
              <w:top w:w="100" w:type="dxa"/>
              <w:start w:w="120" w:type="dxa"/>
              <w:bottom w:w="100" w:type="dxa"/>
              <w:end w:w="120" w:type="dxa"/>
            </w:tcMar>
          </w:tcPr>
          <w:p>
            <w:pPr>
              <w:spacing w:after="0"/>
            </w:pPr>
            <w:r>
              <w:rPr>
                <w:sz w:val="17"/>
              </w:rPr>
              <w:t>Caregivers unintentionally reinforce avoidance</w:t>
            </w:r>
          </w:p>
        </w:tc>
        <w:tc>
          <w:tcPr>
            <w:tcW w:type="dxa" w:w="6120"/>
            <w:tcMar>
              <w:top w:w="100" w:type="dxa"/>
              <w:start w:w="120" w:type="dxa"/>
              <w:bottom w:w="100" w:type="dxa"/>
              <w:end w:w="120" w:type="dxa"/>
            </w:tcMar>
          </w:tcPr>
          <w:p>
            <w:pPr>
              <w:spacing w:after="0"/>
            </w:pPr>
            <w:r>
              <w:rPr>
                <w:sz w:val="17"/>
              </w:rPr>
              <w:t>Psychoeducation, reinforcement planning, modeling, and graded practice.</w:t>
            </w:r>
          </w:p>
        </w:tc>
      </w:tr>
      <w:tr>
        <w:trPr>
          <w:cantSplit/>
        </w:trPr>
        <w:tc>
          <w:tcPr>
            <w:tcW w:type="dxa" w:w="3816"/>
            <w:tcMar>
              <w:top w:w="100" w:type="dxa"/>
              <w:start w:w="120" w:type="dxa"/>
              <w:bottom w:w="100" w:type="dxa"/>
              <w:end w:w="120" w:type="dxa"/>
            </w:tcMar>
            <w:shd w:fill="F7F8FA"/>
          </w:tcPr>
          <w:p>
            <w:pPr>
              <w:spacing w:after="0"/>
            </w:pPr>
            <w:r>
              <w:rPr>
                <w:sz w:val="17"/>
              </w:rPr>
              <w:t>Escalating criticism and defensiveness</w:t>
            </w:r>
          </w:p>
        </w:tc>
        <w:tc>
          <w:tcPr>
            <w:tcW w:type="dxa" w:w="6120"/>
            <w:tcMar>
              <w:top w:w="100" w:type="dxa"/>
              <w:start w:w="120" w:type="dxa"/>
              <w:bottom w:w="100" w:type="dxa"/>
              <w:end w:w="120" w:type="dxa"/>
            </w:tcMar>
            <w:shd w:fill="F7F8FA"/>
          </w:tcPr>
          <w:p>
            <w:pPr>
              <w:spacing w:after="0"/>
            </w:pPr>
            <w:r>
              <w:rPr>
                <w:sz w:val="17"/>
              </w:rPr>
              <w:t>Cue recognition, time-limited pause, communication rehearsal, and relational cycle work.</w:t>
            </w:r>
          </w:p>
        </w:tc>
      </w:tr>
    </w:tbl>
    <w:p>
      <w:pPr>
        <w:spacing w:after="0"/>
      </w:pPr>
    </w:p>
    <w:p>
      <w:pPr>
        <w:pStyle w:val="Heading1"/>
      </w:pPr>
      <w:r>
        <w:t>4. Emotional Regulation, DBT-Informed Skills, and Relationship Safety</w:t>
      </w:r>
    </w:p>
    <w:p>
      <w:r>
        <w:rPr>
          <w:i w:val="0"/>
        </w:rPr>
        <w:t>DBT-informed functions include mindfulness, distress tolerance, emotion regulation, interpersonal effectiveness, behavioral chain analysis, and balancing acceptance with change. Examination questions may call for one skill function without implying a complete DBT program. When the pattern involves rapid escalation, impulsive behavior, or relationship rupture, the therapist often teaches regulation and safety skills before asking for deeper insight or emotionally intense conjoint work.</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Problem</w:t>
            </w:r>
          </w:p>
        </w:tc>
        <w:tc>
          <w:tcPr>
            <w:tcW w:type="dxa" w:w="5040"/>
            <w:shd w:fill="17365D"/>
            <w:tcMar>
              <w:top w:w="100" w:type="dxa"/>
              <w:start w:w="120" w:type="dxa"/>
              <w:bottom w:w="100" w:type="dxa"/>
              <w:end w:w="120" w:type="dxa"/>
            </w:tcMar>
          </w:tcPr>
          <w:p>
            <w:pPr>
              <w:spacing w:after="0"/>
            </w:pPr>
            <w:r>
              <w:rPr>
                <w:b/>
                <w:color w:val="FFFFFF"/>
                <w:sz w:val="17"/>
              </w:rPr>
              <w:t>Useful Function</w:t>
            </w:r>
          </w:p>
        </w:tc>
      </w:tr>
      <w:tr>
        <w:trPr>
          <w:cantSplit/>
        </w:trPr>
        <w:tc>
          <w:tcPr>
            <w:tcW w:type="dxa" w:w="3672"/>
            <w:tcMar>
              <w:top w:w="100" w:type="dxa"/>
              <w:start w:w="120" w:type="dxa"/>
              <w:bottom w:w="100" w:type="dxa"/>
              <w:end w:w="120" w:type="dxa"/>
            </w:tcMar>
          </w:tcPr>
          <w:p>
            <w:pPr>
              <w:spacing w:after="0"/>
            </w:pPr>
            <w:r>
              <w:rPr>
                <w:sz w:val="17"/>
              </w:rPr>
              <w:t>Escalation occurs before either partner notices cues</w:t>
            </w:r>
          </w:p>
        </w:tc>
        <w:tc>
          <w:tcPr>
            <w:tcW w:type="dxa" w:w="6264"/>
            <w:tcMar>
              <w:top w:w="100" w:type="dxa"/>
              <w:start w:w="120" w:type="dxa"/>
              <w:bottom w:w="100" w:type="dxa"/>
              <w:end w:w="120" w:type="dxa"/>
            </w:tcMar>
          </w:tcPr>
          <w:p>
            <w:pPr>
              <w:spacing w:after="0"/>
            </w:pPr>
            <w:r>
              <w:rPr>
                <w:sz w:val="17"/>
              </w:rPr>
              <w:t>Track vulnerability factors, body signals, prompting events, and early warning signs.</w:t>
            </w:r>
          </w:p>
        </w:tc>
      </w:tr>
      <w:tr>
        <w:trPr>
          <w:cantSplit/>
        </w:trPr>
        <w:tc>
          <w:tcPr>
            <w:tcW w:type="dxa" w:w="3672"/>
            <w:tcMar>
              <w:top w:w="100" w:type="dxa"/>
              <w:start w:w="120" w:type="dxa"/>
              <w:bottom w:w="100" w:type="dxa"/>
              <w:end w:w="120" w:type="dxa"/>
            </w:tcMar>
            <w:shd w:fill="F7F8FA"/>
          </w:tcPr>
          <w:p>
            <w:pPr>
              <w:spacing w:after="0"/>
            </w:pPr>
            <w:r>
              <w:rPr>
                <w:sz w:val="17"/>
              </w:rPr>
              <w:t>Client acts impulsively during intense emotion</w:t>
            </w:r>
          </w:p>
        </w:tc>
        <w:tc>
          <w:tcPr>
            <w:tcW w:type="dxa" w:w="6264"/>
            <w:tcMar>
              <w:top w:w="100" w:type="dxa"/>
              <w:start w:w="120" w:type="dxa"/>
              <w:bottom w:w="100" w:type="dxa"/>
              <w:end w:w="120" w:type="dxa"/>
            </w:tcMar>
            <w:shd w:fill="F7F8FA"/>
          </w:tcPr>
          <w:p>
            <w:pPr>
              <w:spacing w:after="0"/>
            </w:pPr>
            <w:r>
              <w:rPr>
                <w:sz w:val="17"/>
              </w:rPr>
              <w:t>Use distress-tolerance and delay strategies while continuing safety assessment.</w:t>
            </w:r>
          </w:p>
        </w:tc>
      </w:tr>
      <w:tr>
        <w:trPr>
          <w:cantSplit/>
        </w:trPr>
        <w:tc>
          <w:tcPr>
            <w:tcW w:type="dxa" w:w="3672"/>
            <w:tcMar>
              <w:top w:w="100" w:type="dxa"/>
              <w:start w:w="120" w:type="dxa"/>
              <w:bottom w:w="100" w:type="dxa"/>
              <w:end w:w="120" w:type="dxa"/>
            </w:tcMar>
          </w:tcPr>
          <w:p>
            <w:pPr>
              <w:spacing w:after="0"/>
            </w:pPr>
            <w:r>
              <w:rPr>
                <w:sz w:val="17"/>
              </w:rPr>
              <w:t>Client cannot communicate a boundary under stress</w:t>
            </w:r>
          </w:p>
        </w:tc>
        <w:tc>
          <w:tcPr>
            <w:tcW w:type="dxa" w:w="6264"/>
            <w:tcMar>
              <w:top w:w="100" w:type="dxa"/>
              <w:start w:w="120" w:type="dxa"/>
              <w:bottom w:w="100" w:type="dxa"/>
              <w:end w:w="120" w:type="dxa"/>
            </w:tcMar>
          </w:tcPr>
          <w:p>
            <w:pPr>
              <w:spacing w:after="0"/>
            </w:pPr>
            <w:r>
              <w:rPr>
                <w:sz w:val="17"/>
              </w:rPr>
              <w:t>Model, role-play, coach, and reinforce interpersonal-effectiveness skills.</w:t>
            </w:r>
          </w:p>
        </w:tc>
      </w:tr>
      <w:tr>
        <w:trPr>
          <w:cantSplit/>
        </w:trPr>
        <w:tc>
          <w:tcPr>
            <w:tcW w:type="dxa" w:w="3672"/>
            <w:tcMar>
              <w:top w:w="100" w:type="dxa"/>
              <w:start w:w="120" w:type="dxa"/>
              <w:bottom w:w="100" w:type="dxa"/>
              <w:end w:w="120" w:type="dxa"/>
            </w:tcMar>
            <w:shd w:fill="F7F8FA"/>
          </w:tcPr>
          <w:p>
            <w:pPr>
              <w:spacing w:after="0"/>
            </w:pPr>
            <w:r>
              <w:rPr>
                <w:sz w:val="17"/>
              </w:rPr>
              <w:t>Repeated behavior pattern remains unclear</w:t>
            </w:r>
          </w:p>
        </w:tc>
        <w:tc>
          <w:tcPr>
            <w:tcW w:type="dxa" w:w="6264"/>
            <w:tcMar>
              <w:top w:w="100" w:type="dxa"/>
              <w:start w:w="120" w:type="dxa"/>
              <w:bottom w:w="100" w:type="dxa"/>
              <w:end w:w="120" w:type="dxa"/>
            </w:tcMar>
            <w:shd w:fill="F7F8FA"/>
          </w:tcPr>
          <w:p>
            <w:pPr>
              <w:spacing w:after="0"/>
            </w:pPr>
            <w:r>
              <w:rPr>
                <w:sz w:val="17"/>
              </w:rPr>
              <w:t>Complete a chain analysis and identify alternative links and consequences.</w:t>
            </w:r>
          </w:p>
        </w:tc>
      </w:tr>
    </w:tbl>
    <w:p>
      <w:pPr>
        <w:spacing w:after="0"/>
      </w:pPr>
    </w:p>
    <w:p>
      <w:pPr>
        <w:pStyle w:val="Heading1"/>
      </w:pPr>
      <w:r>
        <w:t>5. Motivational Interviewing and Readiness</w:t>
      </w:r>
    </w:p>
    <w:p>
      <w:r>
        <w:rPr>
          <w:i w:val="0"/>
        </w:rPr>
        <w:t>Motivational interviewing is especially useful when a client is ambivalent, externally pressured, or uncertain about change. The therapist uses partnership, acceptance, compassion, and evocation; explores discrepancy without argument; and elicits the client’s own values, reasons, and confidence. Ambivalence is information, not proof of defiance.</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Weak Response</w:t>
            </w:r>
          </w:p>
        </w:tc>
        <w:tc>
          <w:tcPr>
            <w:tcW w:type="dxa" w:w="5040"/>
            <w:shd w:fill="17365D"/>
            <w:tcMar>
              <w:top w:w="100" w:type="dxa"/>
              <w:start w:w="120" w:type="dxa"/>
              <w:bottom w:w="100" w:type="dxa"/>
              <w:end w:w="120" w:type="dxa"/>
            </w:tcMar>
          </w:tcPr>
          <w:p>
            <w:pPr>
              <w:spacing w:after="0"/>
            </w:pPr>
            <w:r>
              <w:rPr>
                <w:b/>
                <w:color w:val="FFFFFF"/>
                <w:sz w:val="17"/>
              </w:rPr>
              <w:t>Stronger Response</w:t>
            </w:r>
          </w:p>
        </w:tc>
      </w:tr>
      <w:tr>
        <w:trPr>
          <w:cantSplit/>
        </w:trPr>
        <w:tc>
          <w:tcPr>
            <w:tcW w:type="dxa" w:w="3672"/>
            <w:tcMar>
              <w:top w:w="100" w:type="dxa"/>
              <w:start w:w="120" w:type="dxa"/>
              <w:bottom w:w="100" w:type="dxa"/>
              <w:end w:w="120" w:type="dxa"/>
            </w:tcMar>
          </w:tcPr>
          <w:p>
            <w:pPr>
              <w:spacing w:after="0"/>
            </w:pPr>
            <w:r>
              <w:rPr>
                <w:sz w:val="17"/>
              </w:rPr>
              <w:t>Lecture about why the client must change</w:t>
            </w:r>
          </w:p>
        </w:tc>
        <w:tc>
          <w:tcPr>
            <w:tcW w:type="dxa" w:w="6264"/>
            <w:tcMar>
              <w:top w:w="100" w:type="dxa"/>
              <w:start w:w="120" w:type="dxa"/>
              <w:bottom w:w="100" w:type="dxa"/>
              <w:end w:w="120" w:type="dxa"/>
            </w:tcMar>
          </w:tcPr>
          <w:p>
            <w:pPr>
              <w:spacing w:after="0"/>
            </w:pPr>
            <w:r>
              <w:rPr>
                <w:sz w:val="17"/>
              </w:rPr>
              <w:t>Ask what the client wants to be different and how the current pattern helps and harms those goals.</w:t>
            </w:r>
          </w:p>
        </w:tc>
      </w:tr>
      <w:tr>
        <w:trPr>
          <w:cantSplit/>
        </w:trPr>
        <w:tc>
          <w:tcPr>
            <w:tcW w:type="dxa" w:w="3672"/>
            <w:tcMar>
              <w:top w:w="100" w:type="dxa"/>
              <w:start w:w="120" w:type="dxa"/>
              <w:bottom w:w="100" w:type="dxa"/>
              <w:end w:w="120" w:type="dxa"/>
            </w:tcMar>
            <w:shd w:fill="F7F8FA"/>
          </w:tcPr>
          <w:p>
            <w:pPr>
              <w:spacing w:after="0"/>
            </w:pPr>
            <w:r>
              <w:rPr>
                <w:sz w:val="17"/>
              </w:rPr>
              <w:t>Label reluctance as resistance</w:t>
            </w:r>
          </w:p>
        </w:tc>
        <w:tc>
          <w:tcPr>
            <w:tcW w:type="dxa" w:w="6264"/>
            <w:tcMar>
              <w:top w:w="100" w:type="dxa"/>
              <w:start w:w="120" w:type="dxa"/>
              <w:bottom w:w="100" w:type="dxa"/>
              <w:end w:w="120" w:type="dxa"/>
            </w:tcMar>
            <w:shd w:fill="F7F8FA"/>
          </w:tcPr>
          <w:p>
            <w:pPr>
              <w:spacing w:after="0"/>
            </w:pPr>
            <w:r>
              <w:rPr>
                <w:sz w:val="17"/>
              </w:rPr>
              <w:t>Assess readiness, prior experiences, confidence, barriers, and competing values.</w:t>
            </w:r>
          </w:p>
        </w:tc>
      </w:tr>
      <w:tr>
        <w:trPr>
          <w:cantSplit/>
        </w:trPr>
        <w:tc>
          <w:tcPr>
            <w:tcW w:type="dxa" w:w="3672"/>
            <w:tcMar>
              <w:top w:w="100" w:type="dxa"/>
              <w:start w:w="120" w:type="dxa"/>
              <w:bottom w:w="100" w:type="dxa"/>
              <w:end w:w="120" w:type="dxa"/>
            </w:tcMar>
          </w:tcPr>
          <w:p>
            <w:pPr>
              <w:spacing w:after="0"/>
            </w:pPr>
            <w:r>
              <w:rPr>
                <w:sz w:val="17"/>
              </w:rPr>
              <w:t>Recruit a partner to pressure the client</w:t>
            </w:r>
          </w:p>
        </w:tc>
        <w:tc>
          <w:tcPr>
            <w:tcW w:type="dxa" w:w="6264"/>
            <w:tcMar>
              <w:top w:w="100" w:type="dxa"/>
              <w:start w:w="120" w:type="dxa"/>
              <w:bottom w:w="100" w:type="dxa"/>
              <w:end w:w="120" w:type="dxa"/>
            </w:tcMar>
          </w:tcPr>
          <w:p>
            <w:pPr>
              <w:spacing w:after="0"/>
            </w:pPr>
            <w:r>
              <w:rPr>
                <w:sz w:val="17"/>
              </w:rPr>
              <w:t>Maintain the therapeutic alliance and avoid turning one member into an enforcer.</w:t>
            </w:r>
          </w:p>
        </w:tc>
      </w:tr>
      <w:tr>
        <w:trPr>
          <w:cantSplit/>
        </w:trPr>
        <w:tc>
          <w:tcPr>
            <w:tcW w:type="dxa" w:w="3672"/>
            <w:tcMar>
              <w:top w:w="100" w:type="dxa"/>
              <w:start w:w="120" w:type="dxa"/>
              <w:bottom w:w="100" w:type="dxa"/>
              <w:end w:w="120" w:type="dxa"/>
            </w:tcMar>
            <w:shd w:fill="F7F8FA"/>
          </w:tcPr>
          <w:p>
            <w:pPr>
              <w:spacing w:after="0"/>
            </w:pPr>
            <w:r>
              <w:rPr>
                <w:sz w:val="17"/>
              </w:rPr>
              <w:t>Offer a complex plan before commitment exists</w:t>
            </w:r>
          </w:p>
        </w:tc>
        <w:tc>
          <w:tcPr>
            <w:tcW w:type="dxa" w:w="6264"/>
            <w:tcMar>
              <w:top w:w="100" w:type="dxa"/>
              <w:start w:w="120" w:type="dxa"/>
              <w:bottom w:w="100" w:type="dxa"/>
              <w:end w:w="120" w:type="dxa"/>
            </w:tcMar>
            <w:shd w:fill="F7F8FA"/>
          </w:tcPr>
          <w:p>
            <w:pPr>
              <w:spacing w:after="0"/>
            </w:pPr>
            <w:r>
              <w:rPr>
                <w:sz w:val="17"/>
              </w:rPr>
              <w:t>Elicit a small, client-endorsed next step and review the response.</w:t>
            </w:r>
          </w:p>
        </w:tc>
      </w:tr>
    </w:tbl>
    <w:p>
      <w:pPr>
        <w:spacing w:after="0"/>
      </w:pPr>
    </w:p>
    <w:p>
      <w:pPr>
        <w:pStyle w:val="Heading1"/>
      </w:pPr>
      <w:r>
        <w:t>6. Grief, Loss, and Meaning</w:t>
      </w:r>
    </w:p>
    <w:p>
      <w:r>
        <w:rPr>
          <w:i w:val="0"/>
        </w:rPr>
        <w:t>Grief intervention may include validation, remembrance, meaning-making, restoration of routines, cultural or spiritual resources, and assessment of functioning and safety. The therapist avoids premature diagnosis while also avoiding the assumption that every grief response is uncomplicated. Loss may affect identity, roles, parenting, intimacy, finances, health, and family organization.</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Exam 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3672"/>
            <w:tcMar>
              <w:top w:w="100" w:type="dxa"/>
              <w:start w:w="120" w:type="dxa"/>
              <w:bottom w:w="100" w:type="dxa"/>
              <w:end w:w="120" w:type="dxa"/>
            </w:tcMar>
          </w:tcPr>
          <w:p>
            <w:pPr>
              <w:spacing w:after="0"/>
            </w:pPr>
            <w:r>
              <w:rPr>
                <w:sz w:val="17"/>
              </w:rPr>
              <w:t>Diagnose solely because sadness follows a loss</w:t>
            </w:r>
          </w:p>
        </w:tc>
        <w:tc>
          <w:tcPr>
            <w:tcW w:type="dxa" w:w="6264"/>
            <w:tcMar>
              <w:top w:w="100" w:type="dxa"/>
              <w:start w:w="120" w:type="dxa"/>
              <w:bottom w:w="100" w:type="dxa"/>
              <w:end w:w="120" w:type="dxa"/>
            </w:tcMar>
          </w:tcPr>
          <w:p>
            <w:pPr>
              <w:spacing w:after="0"/>
            </w:pPr>
            <w:r>
              <w:rPr>
                <w:sz w:val="17"/>
              </w:rPr>
              <w:t>Assess duration, intensity, functioning, risk, and the broader symptom pattern.</w:t>
            </w:r>
          </w:p>
        </w:tc>
      </w:tr>
      <w:tr>
        <w:trPr>
          <w:cantSplit/>
        </w:trPr>
        <w:tc>
          <w:tcPr>
            <w:tcW w:type="dxa" w:w="3672"/>
            <w:tcMar>
              <w:top w:w="100" w:type="dxa"/>
              <w:start w:w="120" w:type="dxa"/>
              <w:bottom w:w="100" w:type="dxa"/>
              <w:end w:w="120" w:type="dxa"/>
            </w:tcMar>
            <w:shd w:fill="F7F8FA"/>
          </w:tcPr>
          <w:p>
            <w:pPr>
              <w:spacing w:after="0"/>
            </w:pPr>
            <w:r>
              <w:rPr>
                <w:sz w:val="17"/>
              </w:rPr>
              <w:t>Push emotional expression as the only healthy response</w:t>
            </w:r>
          </w:p>
        </w:tc>
        <w:tc>
          <w:tcPr>
            <w:tcW w:type="dxa" w:w="6264"/>
            <w:tcMar>
              <w:top w:w="100" w:type="dxa"/>
              <w:start w:w="120" w:type="dxa"/>
              <w:bottom w:w="100" w:type="dxa"/>
              <w:end w:w="120" w:type="dxa"/>
            </w:tcMar>
            <w:shd w:fill="F7F8FA"/>
          </w:tcPr>
          <w:p>
            <w:pPr>
              <w:spacing w:after="0"/>
            </w:pPr>
            <w:r>
              <w:rPr>
                <w:sz w:val="17"/>
              </w:rPr>
              <w:t>Respect cultural, spiritual, relational, and individual forms of grieving.</w:t>
            </w:r>
          </w:p>
        </w:tc>
      </w:tr>
      <w:tr>
        <w:trPr>
          <w:cantSplit/>
        </w:trPr>
        <w:tc>
          <w:tcPr>
            <w:tcW w:type="dxa" w:w="3672"/>
            <w:tcMar>
              <w:top w:w="100" w:type="dxa"/>
              <w:start w:w="120" w:type="dxa"/>
              <w:bottom w:w="100" w:type="dxa"/>
              <w:end w:w="120" w:type="dxa"/>
            </w:tcMar>
          </w:tcPr>
          <w:p>
            <w:pPr>
              <w:spacing w:after="0"/>
            </w:pPr>
            <w:r>
              <w:rPr>
                <w:sz w:val="17"/>
              </w:rPr>
              <w:t>Focus only on feelings</w:t>
            </w:r>
          </w:p>
        </w:tc>
        <w:tc>
          <w:tcPr>
            <w:tcW w:type="dxa" w:w="6264"/>
            <w:tcMar>
              <w:top w:w="100" w:type="dxa"/>
              <w:start w:w="120" w:type="dxa"/>
              <w:bottom w:w="100" w:type="dxa"/>
              <w:end w:w="120" w:type="dxa"/>
            </w:tcMar>
          </w:tcPr>
          <w:p>
            <w:pPr>
              <w:spacing w:after="0"/>
            </w:pPr>
            <w:r>
              <w:rPr>
                <w:sz w:val="17"/>
              </w:rPr>
              <w:t>Assess sleep, nutrition, routines, caregiving, support, work, finances, and safety.</w:t>
            </w:r>
          </w:p>
        </w:tc>
      </w:tr>
      <w:tr>
        <w:trPr>
          <w:cantSplit/>
        </w:trPr>
        <w:tc>
          <w:tcPr>
            <w:tcW w:type="dxa" w:w="3672"/>
            <w:tcMar>
              <w:top w:w="100" w:type="dxa"/>
              <w:start w:w="120" w:type="dxa"/>
              <w:bottom w:w="100" w:type="dxa"/>
              <w:end w:w="120" w:type="dxa"/>
            </w:tcMar>
            <w:shd w:fill="F7F8FA"/>
          </w:tcPr>
          <w:p>
            <w:pPr>
              <w:spacing w:after="0"/>
            </w:pPr>
            <w:r>
              <w:rPr>
                <w:sz w:val="17"/>
              </w:rPr>
              <w:t>Ignore family reorganization after loss</w:t>
            </w:r>
          </w:p>
        </w:tc>
        <w:tc>
          <w:tcPr>
            <w:tcW w:type="dxa" w:w="6264"/>
            <w:tcMar>
              <w:top w:w="100" w:type="dxa"/>
              <w:start w:w="120" w:type="dxa"/>
              <w:bottom w:w="100" w:type="dxa"/>
              <w:end w:w="120" w:type="dxa"/>
            </w:tcMar>
            <w:shd w:fill="F7F8FA"/>
          </w:tcPr>
          <w:p>
            <w:pPr>
              <w:spacing w:after="0"/>
            </w:pPr>
            <w:r>
              <w:rPr>
                <w:sz w:val="17"/>
              </w:rPr>
              <w:t>Clarify roles, boundaries, communication, rituals, and support needs.</w:t>
            </w:r>
          </w:p>
        </w:tc>
      </w:tr>
    </w:tbl>
    <w:p>
      <w:pPr>
        <w:spacing w:after="0"/>
      </w:pPr>
    </w:p>
    <w:p>
      <w:pPr>
        <w:pStyle w:val="Heading1"/>
      </w:pPr>
      <w:r>
        <w:t>7. Mood, Severe Mental Illness, and Recovery</w:t>
      </w:r>
    </w:p>
    <w:p>
      <w:r>
        <w:rPr>
          <w:i w:val="0"/>
        </w:rPr>
        <w:t>Treatment may combine symptom management, psychoeducation, coping skills, relapse-sign monitoring, family support, medication coordination, routine development, recovery goals, supported role functioning, and crisis planning. The LMFT remains attentive to relationship patterns without attributing serious symptoms to family behavior. Rapid change, psychosis, mania, severe depression, or medication concerns may require psychiatric or medical coordination and a different level of care.</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Recovery Principle</w:t>
            </w:r>
          </w:p>
          <w:p>
            <w:pPr>
              <w:spacing w:after="0"/>
            </w:pPr>
            <w:r>
              <w:t>Support hope, agency, meaningful roles, connection, and practical functioning while coordinating appropriate clinical and medical care.</w:t>
            </w:r>
          </w:p>
        </w:tc>
      </w:tr>
    </w:tbl>
    <w:p>
      <w:pPr>
        <w:spacing w:after="0"/>
      </w:pPr>
    </w:p>
    <w:p>
      <w:pPr>
        <w:pStyle w:val="Heading1"/>
      </w:pPr>
      <w:r>
        <w:t>8. Childhood, Developmental, and Behavioral Interventions</w:t>
      </w:r>
    </w:p>
    <w:p>
      <w:r>
        <w:rPr>
          <w:i w:val="0"/>
        </w:rPr>
        <w:t>Interventions should match developmental capacity and usually include the caregiving environment when it maintains or can help change the problem. Useful functions may include caregiver psychoeducation, predictable routines, emotion coaching, modeling, reinforcement, parent-child interaction practice, school collaboration, and developmentally appropriate individual skills. Abstract insight alone is often a weak answer for a young child.</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Need</w:t>
            </w:r>
          </w:p>
        </w:tc>
        <w:tc>
          <w:tcPr>
            <w:tcW w:type="dxa" w:w="5040"/>
            <w:shd w:fill="17365D"/>
            <w:tcMar>
              <w:top w:w="100" w:type="dxa"/>
              <w:start w:w="120" w:type="dxa"/>
              <w:bottom w:w="100" w:type="dxa"/>
              <w:end w:w="120" w:type="dxa"/>
            </w:tcMar>
          </w:tcPr>
          <w:p>
            <w:pPr>
              <w:spacing w:after="0"/>
            </w:pPr>
            <w:r>
              <w:rPr>
                <w:b/>
                <w:color w:val="FFFFFF"/>
                <w:sz w:val="17"/>
              </w:rPr>
              <w:t>Developmentally Matched Response</w:t>
            </w:r>
          </w:p>
        </w:tc>
      </w:tr>
      <w:tr>
        <w:trPr>
          <w:cantSplit/>
        </w:trPr>
        <w:tc>
          <w:tcPr>
            <w:tcW w:type="dxa" w:w="3672"/>
            <w:tcMar>
              <w:top w:w="100" w:type="dxa"/>
              <w:start w:w="120" w:type="dxa"/>
              <w:bottom w:w="100" w:type="dxa"/>
              <w:end w:w="120" w:type="dxa"/>
            </w:tcMar>
          </w:tcPr>
          <w:p>
            <w:pPr>
              <w:spacing w:after="0"/>
            </w:pPr>
            <w:r>
              <w:rPr>
                <w:sz w:val="17"/>
              </w:rPr>
              <w:t>Young child cannot verbalize complex internal states</w:t>
            </w:r>
          </w:p>
        </w:tc>
        <w:tc>
          <w:tcPr>
            <w:tcW w:type="dxa" w:w="6264"/>
            <w:tcMar>
              <w:top w:w="100" w:type="dxa"/>
              <w:start w:w="120" w:type="dxa"/>
              <w:bottom w:w="100" w:type="dxa"/>
              <w:end w:w="120" w:type="dxa"/>
            </w:tcMar>
          </w:tcPr>
          <w:p>
            <w:pPr>
              <w:spacing w:after="0"/>
            </w:pPr>
            <w:r>
              <w:rPr>
                <w:sz w:val="17"/>
              </w:rPr>
              <w:t>Use play, observation, concrete language, visual supports, and caregiver participation.</w:t>
            </w:r>
          </w:p>
        </w:tc>
      </w:tr>
      <w:tr>
        <w:trPr>
          <w:cantSplit/>
        </w:trPr>
        <w:tc>
          <w:tcPr>
            <w:tcW w:type="dxa" w:w="3672"/>
            <w:tcMar>
              <w:top w:w="100" w:type="dxa"/>
              <w:start w:w="120" w:type="dxa"/>
              <w:bottom w:w="100" w:type="dxa"/>
              <w:end w:w="120" w:type="dxa"/>
            </w:tcMar>
            <w:shd w:fill="F7F8FA"/>
          </w:tcPr>
          <w:p>
            <w:pPr>
              <w:spacing w:after="0"/>
            </w:pPr>
            <w:r>
              <w:rPr>
                <w:sz w:val="17"/>
              </w:rPr>
              <w:t>Caregivers respond inconsistently to behavior</w:t>
            </w:r>
          </w:p>
        </w:tc>
        <w:tc>
          <w:tcPr>
            <w:tcW w:type="dxa" w:w="6264"/>
            <w:tcMar>
              <w:top w:w="100" w:type="dxa"/>
              <w:start w:w="120" w:type="dxa"/>
              <w:bottom w:w="100" w:type="dxa"/>
              <w:end w:w="120" w:type="dxa"/>
            </w:tcMar>
            <w:shd w:fill="F7F8FA"/>
          </w:tcPr>
          <w:p>
            <w:pPr>
              <w:spacing w:after="0"/>
            </w:pPr>
            <w:r>
              <w:rPr>
                <w:sz w:val="17"/>
              </w:rPr>
              <w:t>Clarify expectations, rehearse consistent responses, and reinforce desired behavior.</w:t>
            </w:r>
          </w:p>
        </w:tc>
      </w:tr>
      <w:tr>
        <w:trPr>
          <w:cantSplit/>
        </w:trPr>
        <w:tc>
          <w:tcPr>
            <w:tcW w:type="dxa" w:w="3672"/>
            <w:tcMar>
              <w:top w:w="100" w:type="dxa"/>
              <w:start w:w="120" w:type="dxa"/>
              <w:bottom w:w="100" w:type="dxa"/>
              <w:end w:w="120" w:type="dxa"/>
            </w:tcMar>
          </w:tcPr>
          <w:p>
            <w:pPr>
              <w:spacing w:after="0"/>
            </w:pPr>
            <w:r>
              <w:rPr>
                <w:sz w:val="17"/>
              </w:rPr>
              <w:t>Adolescent disengages from a parent-directed plan</w:t>
            </w:r>
          </w:p>
        </w:tc>
        <w:tc>
          <w:tcPr>
            <w:tcW w:type="dxa" w:w="6264"/>
            <w:tcMar>
              <w:top w:w="100" w:type="dxa"/>
              <w:start w:w="120" w:type="dxa"/>
              <w:bottom w:w="100" w:type="dxa"/>
              <w:end w:w="120" w:type="dxa"/>
            </w:tcMar>
          </w:tcPr>
          <w:p>
            <w:pPr>
              <w:spacing w:after="0"/>
            </w:pPr>
            <w:r>
              <w:rPr>
                <w:sz w:val="17"/>
              </w:rPr>
              <w:t>Clarify the adolescent’s goals, autonomy, privacy limits, and meaningful choices.</w:t>
            </w:r>
          </w:p>
        </w:tc>
      </w:tr>
      <w:tr>
        <w:trPr>
          <w:cantSplit/>
        </w:trPr>
        <w:tc>
          <w:tcPr>
            <w:tcW w:type="dxa" w:w="3672"/>
            <w:tcMar>
              <w:top w:w="100" w:type="dxa"/>
              <w:start w:w="120" w:type="dxa"/>
              <w:bottom w:w="100" w:type="dxa"/>
              <w:end w:w="120" w:type="dxa"/>
            </w:tcMar>
            <w:shd w:fill="F7F8FA"/>
          </w:tcPr>
          <w:p>
            <w:pPr>
              <w:spacing w:after="0"/>
            </w:pPr>
            <w:r>
              <w:rPr>
                <w:sz w:val="17"/>
              </w:rPr>
              <w:t>School and home observations conflict</w:t>
            </w:r>
          </w:p>
        </w:tc>
        <w:tc>
          <w:tcPr>
            <w:tcW w:type="dxa" w:w="6264"/>
            <w:tcMar>
              <w:top w:w="100" w:type="dxa"/>
              <w:start w:w="120" w:type="dxa"/>
              <w:bottom w:w="100" w:type="dxa"/>
              <w:end w:w="120" w:type="dxa"/>
            </w:tcMar>
            <w:shd w:fill="F7F8FA"/>
          </w:tcPr>
          <w:p>
            <w:pPr>
              <w:spacing w:after="0"/>
            </w:pPr>
            <w:r>
              <w:rPr>
                <w:sz w:val="17"/>
              </w:rPr>
              <w:t>Gather collateral information and assess context before assigning a single explanation.</w:t>
            </w:r>
          </w:p>
        </w:tc>
      </w:tr>
    </w:tbl>
    <w:p>
      <w:pPr>
        <w:spacing w:after="0"/>
      </w:pPr>
    </w:p>
    <w:p>
      <w:pPr>
        <w:pStyle w:val="Heading1"/>
      </w:pPr>
      <w:r>
        <w:t>9. Caregiver Stress, Health, Disability, and Family Burden</w:t>
      </w:r>
    </w:p>
    <w:p>
      <w:r>
        <w:rPr>
          <w:i w:val="0"/>
        </w:rPr>
        <w:t>Caregiver stress is not merely an individual coping deficit. Assessment may reveal sleep loss, role overload, financial strain, conflict, isolation, health limitations, inaccessible services, and unrealistic family expectations. Intervention can include validation, role negotiation, respite, support mobilization, problem solving, boundary work, psychoeducation, referrals, and coordination with health or community providers.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AF3F8"/>
            <w:tcMar>
              <w:top w:w="150" w:type="dxa"/>
              <w:start w:w="180" w:type="dxa"/>
              <w:bottom w:w="150" w:type="dxa"/>
              <w:end w:w="180" w:type="dxa"/>
            </w:tcMar>
          </w:tcPr>
          <w:p>
            <w:pPr>
              <w:spacing w:after="80"/>
            </w:pPr>
            <w:r>
              <w:rPr>
                <w:b/>
                <w:i w:val="0"/>
                <w:color w:val="1F4E78"/>
              </w:rPr>
              <w:t>Systemic Rule</w:t>
            </w:r>
          </w:p>
          <w:p>
            <w:pPr>
              <w:spacing w:after="0"/>
            </w:pPr>
            <w:r>
              <w:t>When one person’s symptoms reorganize the household, assess burden, roles, resources, communication, and support—not just the identified client’s symptoms.</w:t>
            </w:r>
          </w:p>
        </w:tc>
      </w:tr>
    </w:tbl>
    <w:p>
      <w:pPr>
        <w:spacing w:after="0"/>
      </w:pPr>
    </w:p>
    <w:p>
      <w:pPr>
        <w:pStyle w:val="Heading1"/>
      </w:pPr>
      <w:r>
        <w:t>10. Addiction, Harm Reduction, and Relational Recovery</w:t>
      </w:r>
    </w:p>
    <w:p>
      <w:r>
        <w:rPr>
          <w:i w:val="0"/>
        </w:rPr>
        <w:t>Addiction intervention may include motivational interviewing, relapse prevention, coping skills, recovery supports, family psychoeducation, reinforcement changes, medication or medical referral, overdose prevention, and level-of-care placement. Harm reduction reduces current risk and preserves engagement when abstinence is not yet chosen or feasible. It does not replace assessment of overdose, withdrawal, impaired capacity, danger, child safety, or other emergencies.</w:t>
      </w:r>
    </w:p>
    <w:tbl>
      <w:tblPr>
        <w:tblStyle w:val="TableGrid"/>
        <w:tblW w:type="auto" w:w="0"/>
        <w:jc w:val="center"/>
        <w:tblLayout w:type="fixed"/>
        <w:tblLook w:firstColumn="1" w:firstRow="1" w:lastColumn="0" w:lastRow="0" w:noHBand="0" w:noVBand="1" w:val="04A0"/>
      </w:tblPr>
      <w:tblGrid>
        <w:gridCol w:w="3672"/>
        <w:gridCol w:w="626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Situation</w:t>
            </w:r>
          </w:p>
        </w:tc>
        <w:tc>
          <w:tcPr>
            <w:tcW w:type="dxa" w:w="5040"/>
            <w:shd w:fill="17365D"/>
            <w:tcMar>
              <w:top w:w="100" w:type="dxa"/>
              <w:start w:w="120" w:type="dxa"/>
              <w:bottom w:w="100" w:type="dxa"/>
              <w:end w:w="120" w:type="dxa"/>
            </w:tcMar>
          </w:tcPr>
          <w:p>
            <w:pPr>
              <w:spacing w:after="0"/>
            </w:pPr>
            <w:r>
              <w:rPr>
                <w:b/>
                <w:color w:val="FFFFFF"/>
                <w:sz w:val="17"/>
              </w:rPr>
              <w:t>Priority</w:t>
            </w:r>
          </w:p>
        </w:tc>
      </w:tr>
      <w:tr>
        <w:trPr>
          <w:cantSplit/>
        </w:trPr>
        <w:tc>
          <w:tcPr>
            <w:tcW w:type="dxa" w:w="3672"/>
            <w:tcMar>
              <w:top w:w="100" w:type="dxa"/>
              <w:start w:w="120" w:type="dxa"/>
              <w:bottom w:w="100" w:type="dxa"/>
              <w:end w:w="120" w:type="dxa"/>
            </w:tcMar>
          </w:tcPr>
          <w:p>
            <w:pPr>
              <w:spacing w:after="0"/>
            </w:pPr>
            <w:r>
              <w:rPr>
                <w:sz w:val="17"/>
              </w:rPr>
              <w:t>Possible overdose or dangerous withdrawal</w:t>
            </w:r>
          </w:p>
        </w:tc>
        <w:tc>
          <w:tcPr>
            <w:tcW w:type="dxa" w:w="6264"/>
            <w:tcMar>
              <w:top w:w="100" w:type="dxa"/>
              <w:start w:w="120" w:type="dxa"/>
              <w:bottom w:w="100" w:type="dxa"/>
              <w:end w:w="120" w:type="dxa"/>
            </w:tcMar>
          </w:tcPr>
          <w:p>
            <w:pPr>
              <w:spacing w:after="0"/>
            </w:pPr>
            <w:r>
              <w:rPr>
                <w:sz w:val="17"/>
              </w:rPr>
              <w:t>Medical or emergency response before routine therapy.</w:t>
            </w:r>
          </w:p>
        </w:tc>
      </w:tr>
      <w:tr>
        <w:trPr>
          <w:cantSplit/>
        </w:trPr>
        <w:tc>
          <w:tcPr>
            <w:tcW w:type="dxa" w:w="3672"/>
            <w:tcMar>
              <w:top w:w="100" w:type="dxa"/>
              <w:start w:w="120" w:type="dxa"/>
              <w:bottom w:w="100" w:type="dxa"/>
              <w:end w:w="120" w:type="dxa"/>
            </w:tcMar>
            <w:shd w:fill="F7F8FA"/>
          </w:tcPr>
          <w:p>
            <w:pPr>
              <w:spacing w:after="0"/>
            </w:pPr>
            <w:r>
              <w:rPr>
                <w:sz w:val="17"/>
              </w:rPr>
              <w:t>Client not ready for abstinence</w:t>
            </w:r>
          </w:p>
        </w:tc>
        <w:tc>
          <w:tcPr>
            <w:tcW w:type="dxa" w:w="6264"/>
            <w:tcMar>
              <w:top w:w="100" w:type="dxa"/>
              <w:start w:w="120" w:type="dxa"/>
              <w:bottom w:w="100" w:type="dxa"/>
              <w:end w:w="120" w:type="dxa"/>
            </w:tcMar>
            <w:shd w:fill="F7F8FA"/>
          </w:tcPr>
          <w:p>
            <w:pPr>
              <w:spacing w:after="0"/>
            </w:pPr>
            <w:r>
              <w:rPr>
                <w:sz w:val="17"/>
              </w:rPr>
              <w:t>Reduce immediate harm, explore goals, and keep treatment options available.</w:t>
            </w:r>
          </w:p>
        </w:tc>
      </w:tr>
      <w:tr>
        <w:trPr>
          <w:cantSplit/>
        </w:trPr>
        <w:tc>
          <w:tcPr>
            <w:tcW w:type="dxa" w:w="3672"/>
            <w:tcMar>
              <w:top w:w="100" w:type="dxa"/>
              <w:start w:w="120" w:type="dxa"/>
              <w:bottom w:w="100" w:type="dxa"/>
              <w:end w:w="120" w:type="dxa"/>
            </w:tcMar>
          </w:tcPr>
          <w:p>
            <w:pPr>
              <w:spacing w:after="0"/>
            </w:pPr>
            <w:r>
              <w:rPr>
                <w:sz w:val="17"/>
              </w:rPr>
              <w:t>Family alternates between rescuing and punitive withdrawal</w:t>
            </w:r>
          </w:p>
        </w:tc>
        <w:tc>
          <w:tcPr>
            <w:tcW w:type="dxa" w:w="6264"/>
            <w:tcMar>
              <w:top w:w="100" w:type="dxa"/>
              <w:start w:w="120" w:type="dxa"/>
              <w:bottom w:w="100" w:type="dxa"/>
              <w:end w:w="120" w:type="dxa"/>
            </w:tcMar>
          </w:tcPr>
          <w:p>
            <w:pPr>
              <w:spacing w:after="0"/>
            </w:pPr>
            <w:r>
              <w:rPr>
                <w:sz w:val="17"/>
              </w:rPr>
              <w:t>Assess the cycle, safety, boundaries, reinforcement, and recovery supports.</w:t>
            </w:r>
          </w:p>
        </w:tc>
      </w:tr>
      <w:tr>
        <w:trPr>
          <w:cantSplit/>
        </w:trPr>
        <w:tc>
          <w:tcPr>
            <w:tcW w:type="dxa" w:w="3672"/>
            <w:tcMar>
              <w:top w:w="100" w:type="dxa"/>
              <w:start w:w="120" w:type="dxa"/>
              <w:bottom w:w="100" w:type="dxa"/>
              <w:end w:w="120" w:type="dxa"/>
            </w:tcMar>
            <w:shd w:fill="F7F8FA"/>
          </w:tcPr>
          <w:p>
            <w:pPr>
              <w:spacing w:after="0"/>
            </w:pPr>
            <w:r>
              <w:rPr>
                <w:sz w:val="17"/>
              </w:rPr>
              <w:t>Repeated return to use</w:t>
            </w:r>
          </w:p>
        </w:tc>
        <w:tc>
          <w:tcPr>
            <w:tcW w:type="dxa" w:w="6264"/>
            <w:tcMar>
              <w:top w:w="100" w:type="dxa"/>
              <w:start w:w="120" w:type="dxa"/>
              <w:bottom w:w="100" w:type="dxa"/>
              <w:end w:w="120" w:type="dxa"/>
            </w:tcMar>
            <w:shd w:fill="F7F8FA"/>
          </w:tcPr>
          <w:p>
            <w:pPr>
              <w:spacing w:after="0"/>
            </w:pPr>
            <w:r>
              <w:rPr>
                <w:sz w:val="17"/>
              </w:rPr>
              <w:t>Review triggers, environment, coping, treatment intensity, medication options, and access rather than moralizing.</w:t>
            </w:r>
          </w:p>
        </w:tc>
      </w:tr>
    </w:tbl>
    <w:p>
      <w:pPr>
        <w:spacing w:after="0"/>
      </w:pPr>
    </w:p>
    <w:p>
      <w:pPr>
        <w:pStyle w:val="Heading1"/>
      </w:pPr>
      <w:r>
        <w:t>11. Body Image, Eating Concerns, and Medical Risk</w:t>
      </w:r>
    </w:p>
    <w:p>
      <w:r>
        <w:rPr>
          <w:i w:val="0"/>
        </w:rPr>
        <w:t>Body image and eating concerns require careful attention to medical risk, weight change, fainting, purging, restriction, exercise patterns, substance use, cultural context, family responses, and therapist competence. Medical instability or specialty needs may require prompt coordinated evaluation. The therapist can preserve continuity and relational support while specialty providers address nutrition, medicine, or intensive treatment.</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FCE8E6"/>
            <w:tcMar>
              <w:top w:w="150" w:type="dxa"/>
              <w:start w:w="180" w:type="dxa"/>
              <w:bottom w:w="150" w:type="dxa"/>
              <w:end w:w="180" w:type="dxa"/>
            </w:tcMar>
          </w:tcPr>
          <w:p>
            <w:pPr>
              <w:spacing w:after="80"/>
            </w:pPr>
            <w:r>
              <w:rPr>
                <w:b/>
                <w:i w:val="0"/>
                <w:color w:val="9C2B2E"/>
              </w:rPr>
              <w:t>Scope and Safety Rule</w:t>
            </w:r>
          </w:p>
          <w:p>
            <w:pPr>
              <w:spacing w:after="0"/>
            </w:pPr>
            <w:r>
              <w:t>Medical warning signs and rapid deterioration take priority over routine insight work. Coordinate competent specialty care without abandoning the client or family.</w:t>
            </w:r>
          </w:p>
        </w:tc>
      </w:tr>
    </w:tbl>
    <w:p>
      <w:pPr>
        <w:spacing w:after="0"/>
      </w:pPr>
    </w:p>
    <w:p>
      <w:pPr>
        <w:pStyle w:val="Heading1"/>
      </w:pPr>
      <w:r>
        <w:t>12. Theory-Consistent Selection</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Model or Lens</w:t>
            </w:r>
          </w:p>
        </w:tc>
        <w:tc>
          <w:tcPr>
            <w:tcW w:type="dxa" w:w="5040"/>
            <w:shd w:fill="17365D"/>
            <w:tcMar>
              <w:top w:w="100" w:type="dxa"/>
              <w:start w:w="120" w:type="dxa"/>
              <w:bottom w:w="100" w:type="dxa"/>
              <w:end w:w="120" w:type="dxa"/>
            </w:tcMar>
          </w:tcPr>
          <w:p>
            <w:pPr>
              <w:spacing w:after="0"/>
            </w:pPr>
            <w:r>
              <w:rPr>
                <w:b/>
                <w:color w:val="FFFFFF"/>
                <w:sz w:val="17"/>
              </w:rPr>
              <w:t>Primary Mechanism Emphasized</w:t>
            </w:r>
          </w:p>
        </w:tc>
      </w:tr>
      <w:tr>
        <w:trPr>
          <w:cantSplit/>
        </w:trPr>
        <w:tc>
          <w:tcPr>
            <w:tcW w:type="dxa" w:w="2880"/>
            <w:tcMar>
              <w:top w:w="100" w:type="dxa"/>
              <w:start w:w="120" w:type="dxa"/>
              <w:bottom w:w="100" w:type="dxa"/>
              <w:end w:w="120" w:type="dxa"/>
            </w:tcMar>
          </w:tcPr>
          <w:p>
            <w:pPr>
              <w:spacing w:after="0"/>
            </w:pPr>
            <w:r>
              <w:rPr>
                <w:sz w:val="17"/>
              </w:rPr>
              <w:t>CBT / behavioral</w:t>
            </w:r>
          </w:p>
        </w:tc>
        <w:tc>
          <w:tcPr>
            <w:tcW w:type="dxa" w:w="7056"/>
            <w:tcMar>
              <w:top w:w="100" w:type="dxa"/>
              <w:start w:w="120" w:type="dxa"/>
              <w:bottom w:w="100" w:type="dxa"/>
              <w:end w:w="120" w:type="dxa"/>
            </w:tcMar>
          </w:tcPr>
          <w:p>
            <w:pPr>
              <w:spacing w:after="0"/>
            </w:pPr>
            <w:r>
              <w:rPr>
                <w:sz w:val="17"/>
              </w:rPr>
              <w:t>Thought-behavior cycles, avoidance, reinforcement, skills, and learning.</w:t>
            </w:r>
          </w:p>
        </w:tc>
      </w:tr>
      <w:tr>
        <w:trPr>
          <w:cantSplit/>
        </w:trPr>
        <w:tc>
          <w:tcPr>
            <w:tcW w:type="dxa" w:w="2880"/>
            <w:tcMar>
              <w:top w:w="100" w:type="dxa"/>
              <w:start w:w="120" w:type="dxa"/>
              <w:bottom w:w="100" w:type="dxa"/>
              <w:end w:w="120" w:type="dxa"/>
            </w:tcMar>
            <w:shd w:fill="F7F8FA"/>
          </w:tcPr>
          <w:p>
            <w:pPr>
              <w:spacing w:after="0"/>
            </w:pPr>
            <w:r>
              <w:rPr>
                <w:sz w:val="17"/>
              </w:rPr>
              <w:t>DBT-informed</w:t>
            </w:r>
          </w:p>
        </w:tc>
        <w:tc>
          <w:tcPr>
            <w:tcW w:type="dxa" w:w="7056"/>
            <w:tcMar>
              <w:top w:w="100" w:type="dxa"/>
              <w:start w:w="120" w:type="dxa"/>
              <w:bottom w:w="100" w:type="dxa"/>
              <w:end w:w="120" w:type="dxa"/>
            </w:tcMar>
            <w:shd w:fill="F7F8FA"/>
          </w:tcPr>
          <w:p>
            <w:pPr>
              <w:spacing w:after="0"/>
            </w:pPr>
            <w:r>
              <w:rPr>
                <w:sz w:val="17"/>
              </w:rPr>
              <w:t>Mindfulness, regulation, distress tolerance, interpersonal effectiveness, and behavioral chains.</w:t>
            </w:r>
          </w:p>
        </w:tc>
      </w:tr>
      <w:tr>
        <w:trPr>
          <w:cantSplit/>
        </w:trPr>
        <w:tc>
          <w:tcPr>
            <w:tcW w:type="dxa" w:w="2880"/>
            <w:tcMar>
              <w:top w:w="100" w:type="dxa"/>
              <w:start w:w="120" w:type="dxa"/>
              <w:bottom w:w="100" w:type="dxa"/>
              <w:end w:w="120" w:type="dxa"/>
            </w:tcMar>
          </w:tcPr>
          <w:p>
            <w:pPr>
              <w:spacing w:after="0"/>
            </w:pPr>
            <w:r>
              <w:rPr>
                <w:sz w:val="17"/>
              </w:rPr>
              <w:t>Motivational interviewing</w:t>
            </w:r>
          </w:p>
        </w:tc>
        <w:tc>
          <w:tcPr>
            <w:tcW w:type="dxa" w:w="7056"/>
            <w:tcMar>
              <w:top w:w="100" w:type="dxa"/>
              <w:start w:w="120" w:type="dxa"/>
              <w:bottom w:w="100" w:type="dxa"/>
              <w:end w:w="120" w:type="dxa"/>
            </w:tcMar>
          </w:tcPr>
          <w:p>
            <w:pPr>
              <w:spacing w:after="0"/>
            </w:pPr>
            <w:r>
              <w:rPr>
                <w:sz w:val="17"/>
              </w:rPr>
              <w:t>Ambivalence, discrepancy, autonomy, confidence, and change talk.</w:t>
            </w:r>
          </w:p>
        </w:tc>
      </w:tr>
      <w:tr>
        <w:trPr>
          <w:cantSplit/>
        </w:trPr>
        <w:tc>
          <w:tcPr>
            <w:tcW w:type="dxa" w:w="2880"/>
            <w:tcMar>
              <w:top w:w="100" w:type="dxa"/>
              <w:start w:w="120" w:type="dxa"/>
              <w:bottom w:w="100" w:type="dxa"/>
              <w:end w:w="120" w:type="dxa"/>
            </w:tcMar>
            <w:shd w:fill="F7F8FA"/>
          </w:tcPr>
          <w:p>
            <w:pPr>
              <w:spacing w:after="0"/>
            </w:pPr>
            <w:r>
              <w:rPr>
                <w:sz w:val="17"/>
              </w:rPr>
              <w:t>Structural / strategic</w:t>
            </w:r>
          </w:p>
        </w:tc>
        <w:tc>
          <w:tcPr>
            <w:tcW w:type="dxa" w:w="7056"/>
            <w:tcMar>
              <w:top w:w="100" w:type="dxa"/>
              <w:start w:w="120" w:type="dxa"/>
              <w:bottom w:w="100" w:type="dxa"/>
              <w:end w:w="120" w:type="dxa"/>
            </w:tcMar>
            <w:shd w:fill="F7F8FA"/>
          </w:tcPr>
          <w:p>
            <w:pPr>
              <w:spacing w:after="0"/>
            </w:pPr>
            <w:r>
              <w:rPr>
                <w:sz w:val="17"/>
              </w:rPr>
              <w:t>Hierarchy, boundaries, subsystems, sequences, and interactional organization.</w:t>
            </w:r>
          </w:p>
        </w:tc>
      </w:tr>
      <w:tr>
        <w:trPr>
          <w:cantSplit/>
        </w:trPr>
        <w:tc>
          <w:tcPr>
            <w:tcW w:type="dxa" w:w="2880"/>
            <w:tcMar>
              <w:top w:w="100" w:type="dxa"/>
              <w:start w:w="120" w:type="dxa"/>
              <w:bottom w:w="100" w:type="dxa"/>
              <w:end w:w="120" w:type="dxa"/>
            </w:tcMar>
          </w:tcPr>
          <w:p>
            <w:pPr>
              <w:spacing w:after="0"/>
            </w:pPr>
            <w:r>
              <w:rPr>
                <w:sz w:val="17"/>
              </w:rPr>
              <w:t>Attachment / emotion focused</w:t>
            </w:r>
          </w:p>
        </w:tc>
        <w:tc>
          <w:tcPr>
            <w:tcW w:type="dxa" w:w="7056"/>
            <w:tcMar>
              <w:top w:w="100" w:type="dxa"/>
              <w:start w:w="120" w:type="dxa"/>
              <w:bottom w:w="100" w:type="dxa"/>
              <w:end w:w="120" w:type="dxa"/>
            </w:tcMar>
          </w:tcPr>
          <w:p>
            <w:pPr>
              <w:spacing w:after="0"/>
            </w:pPr>
            <w:r>
              <w:rPr>
                <w:sz w:val="17"/>
              </w:rPr>
              <w:t>Safety, accessibility, responsiveness, primary emotion, and attachment cycles.</w:t>
            </w:r>
          </w:p>
        </w:tc>
      </w:tr>
      <w:tr>
        <w:trPr>
          <w:cantSplit/>
        </w:trPr>
        <w:tc>
          <w:tcPr>
            <w:tcW w:type="dxa" w:w="2880"/>
            <w:tcMar>
              <w:top w:w="100" w:type="dxa"/>
              <w:start w:w="120" w:type="dxa"/>
              <w:bottom w:w="100" w:type="dxa"/>
              <w:end w:w="120" w:type="dxa"/>
            </w:tcMar>
            <w:shd w:fill="F7F8FA"/>
          </w:tcPr>
          <w:p>
            <w:pPr>
              <w:spacing w:after="0"/>
            </w:pPr>
            <w:r>
              <w:rPr>
                <w:sz w:val="17"/>
              </w:rPr>
              <w:t>Narrative / solution focused</w:t>
            </w:r>
          </w:p>
        </w:tc>
        <w:tc>
          <w:tcPr>
            <w:tcW w:type="dxa" w:w="7056"/>
            <w:tcMar>
              <w:top w:w="100" w:type="dxa"/>
              <w:start w:w="120" w:type="dxa"/>
              <w:bottom w:w="100" w:type="dxa"/>
              <w:end w:w="120" w:type="dxa"/>
            </w:tcMar>
            <w:shd w:fill="F7F8FA"/>
          </w:tcPr>
          <w:p>
            <w:pPr>
              <w:spacing w:after="0"/>
            </w:pPr>
            <w:r>
              <w:rPr>
                <w:sz w:val="17"/>
              </w:rPr>
              <w:t>Meaning, identity, exceptions, preferred outcomes, strengths, and small change.</w:t>
            </w:r>
          </w:p>
        </w:tc>
      </w:tr>
      <w:tr>
        <w:trPr>
          <w:cantSplit/>
        </w:trPr>
        <w:tc>
          <w:tcPr>
            <w:tcW w:type="dxa" w:w="2880"/>
            <w:tcMar>
              <w:top w:w="100" w:type="dxa"/>
              <w:start w:w="120" w:type="dxa"/>
              <w:bottom w:w="100" w:type="dxa"/>
              <w:end w:w="120" w:type="dxa"/>
            </w:tcMar>
          </w:tcPr>
          <w:p>
            <w:pPr>
              <w:spacing w:after="0"/>
            </w:pPr>
            <w:r>
              <w:rPr>
                <w:sz w:val="17"/>
              </w:rPr>
              <w:t>Recovery / harm reduction</w:t>
            </w:r>
          </w:p>
        </w:tc>
        <w:tc>
          <w:tcPr>
            <w:tcW w:type="dxa" w:w="7056"/>
            <w:tcMar>
              <w:top w:w="100" w:type="dxa"/>
              <w:start w:w="120" w:type="dxa"/>
              <w:bottom w:w="100" w:type="dxa"/>
              <w:end w:w="120" w:type="dxa"/>
            </w:tcMar>
          </w:tcPr>
          <w:p>
            <w:pPr>
              <w:spacing w:after="0"/>
            </w:pPr>
            <w:r>
              <w:rPr>
                <w:sz w:val="17"/>
              </w:rPr>
              <w:t>Agency, functioning, support, risk reduction, and sustained engagement.</w:t>
            </w:r>
          </w:p>
        </w:tc>
      </w:tr>
    </w:tbl>
    <w:p>
      <w:pPr>
        <w:spacing w:after="0"/>
      </w:pPr>
    </w:p>
    <w:p>
      <w:r>
        <w:rPr>
          <w:i w:val="0"/>
        </w:rPr>
        <w:t>The best answer names a theory only when the vignette supports the mechanism that theory is designed to change. A model should not be selected solely because it is familiar or because the client carries a particular diagnosis.</w:t>
      </w:r>
    </w:p>
    <w:p>
      <w:pPr>
        <w:pStyle w:val="Heading1"/>
      </w:pPr>
      <w:r>
        <w:t>13. When Treatment Is Not Working</w:t>
      </w:r>
    </w:p>
    <w:p>
      <w:pPr>
        <w:pStyle w:val="ListNumber"/>
      </w:pPr>
      <w:r>
        <w:t>Reassess safety, medical and substance factors, diagnosis, and whether a higher level of care is required.</w:t>
      </w:r>
    </w:p>
    <w:p>
      <w:pPr>
        <w:pStyle w:val="ListNumber"/>
      </w:pPr>
      <w:r>
        <w:t>Review the therapeutic alliance with each participant and ask whether the target remains meaningful.</w:t>
      </w:r>
    </w:p>
    <w:p>
      <w:pPr>
        <w:pStyle w:val="ListNumber"/>
      </w:pPr>
      <w:r>
        <w:t>Determine whether the intervention was implemented, understood, practiced, and accessible.</w:t>
      </w:r>
    </w:p>
    <w:p>
      <w:pPr>
        <w:pStyle w:val="ListNumber"/>
      </w:pPr>
      <w:r>
        <w:t>Reconsider development, culture, language, disability, finances, transportation, and family burden.</w:t>
      </w:r>
    </w:p>
    <w:p>
      <w:pPr>
        <w:pStyle w:val="ListNumber"/>
      </w:pPr>
      <w:r>
        <w:t>Review whether the chosen treatment unit is appropriate and whether conjoint work remains safe.</w:t>
      </w:r>
    </w:p>
    <w:p>
      <w:pPr>
        <w:pStyle w:val="ListNumber"/>
      </w:pPr>
      <w:r>
        <w:t>Modify the method, pace, consultation, referral, coordination, or treatment intensity and set a new response check.</w:t>
      </w:r>
    </w:p>
    <w:p>
      <w:pPr>
        <w:pStyle w:val="Heading1"/>
      </w:pPr>
      <w:r>
        <w:t>Common Exam Traps</w:t>
      </w:r>
    </w:p>
    <w:tbl>
      <w:tblPr>
        <w:tblStyle w:val="TableGrid"/>
        <w:tblW w:type="auto" w:w="0"/>
        <w:jc w:val="center"/>
        <w:tblLayout w:type="fixed"/>
        <w:tblLook w:firstColumn="1" w:firstRow="1" w:lastColumn="0" w:lastRow="0" w:noHBand="0" w:noVBand="1" w:val="04A0"/>
      </w:tblPr>
      <w:tblGrid>
        <w:gridCol w:w="4104"/>
        <w:gridCol w:w="583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4104"/>
            <w:tcMar>
              <w:top w:w="100" w:type="dxa"/>
              <w:start w:w="120" w:type="dxa"/>
              <w:bottom w:w="100" w:type="dxa"/>
              <w:end w:w="120" w:type="dxa"/>
            </w:tcMar>
          </w:tcPr>
          <w:p>
            <w:pPr>
              <w:spacing w:after="0"/>
            </w:pPr>
            <w:r>
              <w:rPr>
                <w:sz w:val="17"/>
              </w:rPr>
              <w:t>Choosing a named technique before the target is clear</w:t>
            </w:r>
          </w:p>
        </w:tc>
        <w:tc>
          <w:tcPr>
            <w:tcW w:type="dxa" w:w="5832"/>
            <w:tcMar>
              <w:top w:w="100" w:type="dxa"/>
              <w:start w:w="120" w:type="dxa"/>
              <w:bottom w:w="100" w:type="dxa"/>
              <w:end w:w="120" w:type="dxa"/>
            </w:tcMar>
          </w:tcPr>
          <w:p>
            <w:pPr>
              <w:spacing w:after="0"/>
            </w:pPr>
            <w:r>
              <w:rPr>
                <w:sz w:val="17"/>
              </w:rPr>
              <w:t>Use FITS and identify the maintaining mechanism first.</w:t>
            </w:r>
          </w:p>
        </w:tc>
      </w:tr>
      <w:tr>
        <w:trPr>
          <w:cantSplit/>
        </w:trPr>
        <w:tc>
          <w:tcPr>
            <w:tcW w:type="dxa" w:w="4104"/>
            <w:tcMar>
              <w:top w:w="100" w:type="dxa"/>
              <w:start w:w="120" w:type="dxa"/>
              <w:bottom w:w="100" w:type="dxa"/>
              <w:end w:w="120" w:type="dxa"/>
            </w:tcMar>
            <w:shd w:fill="F7F8FA"/>
          </w:tcPr>
          <w:p>
            <w:pPr>
              <w:spacing w:after="0"/>
            </w:pPr>
            <w:r>
              <w:rPr>
                <w:sz w:val="17"/>
              </w:rPr>
              <w:t>Processing trauma during acute dysregulation</w:t>
            </w:r>
          </w:p>
        </w:tc>
        <w:tc>
          <w:tcPr>
            <w:tcW w:type="dxa" w:w="5832"/>
            <w:tcMar>
              <w:top w:w="100" w:type="dxa"/>
              <w:start w:w="120" w:type="dxa"/>
              <w:bottom w:w="100" w:type="dxa"/>
              <w:end w:w="120" w:type="dxa"/>
            </w:tcMar>
            <w:shd w:fill="F7F8FA"/>
          </w:tcPr>
          <w:p>
            <w:pPr>
              <w:spacing w:after="0"/>
            </w:pPr>
            <w:r>
              <w:rPr>
                <w:sz w:val="17"/>
              </w:rPr>
              <w:t>Stabilize, orient, restore choice, and assess safety.</w:t>
            </w:r>
          </w:p>
        </w:tc>
      </w:tr>
      <w:tr>
        <w:trPr>
          <w:cantSplit/>
        </w:trPr>
        <w:tc>
          <w:tcPr>
            <w:tcW w:type="dxa" w:w="4104"/>
            <w:tcMar>
              <w:top w:w="100" w:type="dxa"/>
              <w:start w:w="120" w:type="dxa"/>
              <w:bottom w:w="100" w:type="dxa"/>
              <w:end w:w="120" w:type="dxa"/>
            </w:tcMar>
          </w:tcPr>
          <w:p>
            <w:pPr>
              <w:spacing w:after="0"/>
            </w:pPr>
            <w:r>
              <w:rPr>
                <w:sz w:val="17"/>
              </w:rPr>
              <w:t>Treating ambivalence as defiance</w:t>
            </w:r>
          </w:p>
        </w:tc>
        <w:tc>
          <w:tcPr>
            <w:tcW w:type="dxa" w:w="5832"/>
            <w:tcMar>
              <w:top w:w="100" w:type="dxa"/>
              <w:start w:w="120" w:type="dxa"/>
              <w:bottom w:w="100" w:type="dxa"/>
              <w:end w:w="120" w:type="dxa"/>
            </w:tcMar>
          </w:tcPr>
          <w:p>
            <w:pPr>
              <w:spacing w:after="0"/>
            </w:pPr>
            <w:r>
              <w:rPr>
                <w:sz w:val="17"/>
              </w:rPr>
              <w:t>Explore readiness and evoke the client’s own reasons for change.</w:t>
            </w:r>
          </w:p>
        </w:tc>
      </w:tr>
      <w:tr>
        <w:trPr>
          <w:cantSplit/>
        </w:trPr>
        <w:tc>
          <w:tcPr>
            <w:tcW w:type="dxa" w:w="4104"/>
            <w:tcMar>
              <w:top w:w="100" w:type="dxa"/>
              <w:start w:w="120" w:type="dxa"/>
              <w:bottom w:w="100" w:type="dxa"/>
              <w:end w:w="120" w:type="dxa"/>
            </w:tcMar>
            <w:shd w:fill="F7F8FA"/>
          </w:tcPr>
          <w:p>
            <w:pPr>
              <w:spacing w:after="0"/>
            </w:pPr>
            <w:r>
              <w:rPr>
                <w:sz w:val="17"/>
              </w:rPr>
              <w:t>Using conjoint treatment because the problem affects a relationship</w:t>
            </w:r>
          </w:p>
        </w:tc>
        <w:tc>
          <w:tcPr>
            <w:tcW w:type="dxa" w:w="5832"/>
            <w:tcMar>
              <w:top w:w="100" w:type="dxa"/>
              <w:start w:w="120" w:type="dxa"/>
              <w:bottom w:w="100" w:type="dxa"/>
              <w:end w:w="120" w:type="dxa"/>
            </w:tcMar>
            <w:shd w:fill="F7F8FA"/>
          </w:tcPr>
          <w:p>
            <w:pPr>
              <w:spacing w:after="0"/>
            </w:pPr>
            <w:r>
              <w:rPr>
                <w:sz w:val="17"/>
              </w:rPr>
              <w:t>Assess safety, voluntariness, goals, and the appropriate treatment unit.</w:t>
            </w:r>
          </w:p>
        </w:tc>
      </w:tr>
      <w:tr>
        <w:trPr>
          <w:cantSplit/>
        </w:trPr>
        <w:tc>
          <w:tcPr>
            <w:tcW w:type="dxa" w:w="4104"/>
            <w:tcMar>
              <w:top w:w="100" w:type="dxa"/>
              <w:start w:w="120" w:type="dxa"/>
              <w:bottom w:w="100" w:type="dxa"/>
              <w:end w:w="120" w:type="dxa"/>
            </w:tcMar>
          </w:tcPr>
          <w:p>
            <w:pPr>
              <w:spacing w:after="0"/>
            </w:pPr>
            <w:r>
              <w:rPr>
                <w:sz w:val="17"/>
              </w:rPr>
              <w:t>Ignoring medical or specialty risk</w:t>
            </w:r>
          </w:p>
        </w:tc>
        <w:tc>
          <w:tcPr>
            <w:tcW w:type="dxa" w:w="5832"/>
            <w:tcMar>
              <w:top w:w="100" w:type="dxa"/>
              <w:start w:w="120" w:type="dxa"/>
              <w:bottom w:w="100" w:type="dxa"/>
              <w:end w:w="120" w:type="dxa"/>
            </w:tcMar>
          </w:tcPr>
          <w:p>
            <w:pPr>
              <w:spacing w:after="0"/>
            </w:pPr>
            <w:r>
              <w:rPr>
                <w:sz w:val="17"/>
              </w:rPr>
              <w:t>Coordinate prompt evaluation and remain within competence.</w:t>
            </w:r>
          </w:p>
        </w:tc>
      </w:tr>
      <w:tr>
        <w:trPr>
          <w:cantSplit/>
        </w:trPr>
        <w:tc>
          <w:tcPr>
            <w:tcW w:type="dxa" w:w="4104"/>
            <w:tcMar>
              <w:top w:w="100" w:type="dxa"/>
              <w:start w:w="120" w:type="dxa"/>
              <w:bottom w:w="100" w:type="dxa"/>
              <w:end w:w="120" w:type="dxa"/>
            </w:tcMar>
            <w:shd w:fill="F7F8FA"/>
          </w:tcPr>
          <w:p>
            <w:pPr>
              <w:spacing w:after="0"/>
            </w:pPr>
            <w:r>
              <w:rPr>
                <w:sz w:val="17"/>
              </w:rPr>
              <w:t>Adding several unrelated methods after nonresponse</w:t>
            </w:r>
          </w:p>
        </w:tc>
        <w:tc>
          <w:tcPr>
            <w:tcW w:type="dxa" w:w="5832"/>
            <w:tcMar>
              <w:top w:w="100" w:type="dxa"/>
              <w:start w:w="120" w:type="dxa"/>
              <w:bottom w:w="100" w:type="dxa"/>
              <w:end w:w="120" w:type="dxa"/>
            </w:tcMar>
            <w:shd w:fill="F7F8FA"/>
          </w:tcPr>
          <w:p>
            <w:pPr>
              <w:spacing w:after="0"/>
            </w:pPr>
            <w:r>
              <w:rPr>
                <w:sz w:val="17"/>
              </w:rPr>
              <w:t>Reassess formulation, alliance, implementation, access, and intensity.</w:t>
            </w:r>
          </w:p>
        </w:tc>
      </w:tr>
    </w:tbl>
    <w:p>
      <w:pPr>
        <w:spacing w:after="0"/>
      </w:pPr>
    </w:p>
    <w:p>
      <w:pPr>
        <w:pStyle w:val="Heading1"/>
      </w:pPr>
      <w:r>
        <w:t>Worked Example 1: Trauma and Couple Reassurance</w:t>
      </w:r>
    </w:p>
    <w:p>
      <w:r>
        <w:rPr>
          <w:i w:val="0"/>
        </w:rPr>
        <w:t>A client with trauma-related panic repeatedly calls a partner for reassurance. The partner cancels work and remains physically present, which reduces distress briefly but increases long-term dependence and avoidance. After confirming safety and stabilization, the therapist can collaboratively target the reassurance cycle while teaching regulation and graded independent coping. The partner is not blamed; the pattern is reframed as understandable but maintaining.</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Target the maintaining relational cycle while preserving safety, choice, and attachment support.</w:t>
            </w:r>
          </w:p>
        </w:tc>
      </w:tr>
    </w:tbl>
    <w:p>
      <w:pPr>
        <w:spacing w:after="0"/>
      </w:pPr>
    </w:p>
    <w:p>
      <w:pPr>
        <w:pStyle w:val="Heading1"/>
      </w:pPr>
      <w:r>
        <w:t>Worked Example 2: Caregiver Burnout</w:t>
      </w:r>
    </w:p>
    <w:p>
      <w:r>
        <w:rPr>
          <w:i w:val="0"/>
        </w:rPr>
        <w:t>A spouse caring for a partner with a disabling illness reports irritability, sleep loss, isolation, and guilt. The strongest response is not merely relaxation training. The therapist assesses burden, health, role expectations, family support, respite, finances, and communication, then combines coping skills with systemic and resource interventions.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Treat the individual distress and the caregiving system that is producing and maintaining overload.</w:t>
            </w:r>
          </w:p>
        </w:tc>
      </w:tr>
    </w:tbl>
    <w:p>
      <w:pPr>
        <w:spacing w:after="0"/>
      </w:pPr>
    </w:p>
    <w:p>
      <w:pPr>
        <w:pStyle w:val="Heading1"/>
        <w:pageBreakBefore/>
      </w:pPr>
      <w:r>
        <w:t>Intervention Selection Worksheet</w:t>
      </w:r>
    </w:p>
    <w:tbl>
      <w:tblPr>
        <w:tblStyle w:val="TableGrid"/>
        <w:tblW w:type="auto" w:w="0"/>
        <w:jc w:val="center"/>
        <w:tblLayout w:type="fixed"/>
        <w:tblLook w:firstColumn="1" w:firstRow="1" w:lastColumn="0" w:lastRow="0" w:noHBand="0" w:noVBand="1" w:val="04A0"/>
      </w:tblPr>
      <w:tblGrid>
        <w:gridCol w:w="5832"/>
        <w:gridCol w:w="41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5832"/>
            <w:tcMar>
              <w:top w:w="100" w:type="dxa"/>
              <w:start w:w="120" w:type="dxa"/>
              <w:bottom w:w="100" w:type="dxa"/>
              <w:end w:w="120" w:type="dxa"/>
            </w:tcMar>
          </w:tcPr>
          <w:p>
            <w:pPr>
              <w:spacing w:after="0"/>
            </w:pPr>
            <w:r>
              <w:rPr>
                <w:sz w:val="17"/>
              </w:rPr>
              <w:t>Formulation and maintaining mechanism</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Immediate safety, medical, substance, or level-of-care needs</w:t>
            </w:r>
          </w:p>
        </w:tc>
        <w:tc>
          <w:tcPr>
            <w:tcW w:type="dxa" w:w="4104"/>
            <w:tcMar>
              <w:top w:w="100" w:type="dxa"/>
              <w:start w:w="120" w:type="dxa"/>
              <w:bottom w:w="100" w:type="dxa"/>
              <w:end w:w="120" w:type="dxa"/>
            </w:tcMar>
            <w:shd w:fill="F7F8FA"/>
          </w:tcPr>
          <w:p>
            <w:pPr>
              <w:spacing w:after="0"/>
            </w:pPr>
            <w:r>
              <w:rPr>
                <w:sz w:val="17"/>
              </w:rPr>
            </w:r>
          </w:p>
        </w:tc>
      </w:tr>
      <w:tr>
        <w:trPr>
          <w:cantSplit/>
        </w:trPr>
        <w:tc>
          <w:tcPr>
            <w:tcW w:type="dxa" w:w="5832"/>
            <w:tcMar>
              <w:top w:w="100" w:type="dxa"/>
              <w:start w:w="120" w:type="dxa"/>
              <w:bottom w:w="100" w:type="dxa"/>
              <w:end w:w="120" w:type="dxa"/>
            </w:tcMar>
          </w:tcPr>
          <w:p>
            <w:pPr>
              <w:spacing w:after="0"/>
            </w:pPr>
            <w:r>
              <w:rPr>
                <w:sz w:val="17"/>
              </w:rPr>
              <w:t>Primary target for the next intervention</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Relevant couple, family, caregiving, parenting, or environmental cycle</w:t>
            </w:r>
          </w:p>
        </w:tc>
        <w:tc>
          <w:tcPr>
            <w:tcW w:type="dxa" w:w="4104"/>
            <w:tcMar>
              <w:top w:w="100" w:type="dxa"/>
              <w:start w:w="120" w:type="dxa"/>
              <w:bottom w:w="100" w:type="dxa"/>
              <w:end w:w="120" w:type="dxa"/>
            </w:tcMar>
            <w:shd w:fill="F7F8FA"/>
          </w:tcPr>
          <w:p>
            <w:pPr>
              <w:spacing w:after="0"/>
            </w:pPr>
            <w:r>
              <w:rPr>
                <w:sz w:val="17"/>
              </w:rPr>
            </w:r>
          </w:p>
        </w:tc>
      </w:tr>
      <w:tr>
        <w:trPr>
          <w:cantSplit/>
        </w:trPr>
        <w:tc>
          <w:tcPr>
            <w:tcW w:type="dxa" w:w="5832"/>
            <w:tcMar>
              <w:top w:w="100" w:type="dxa"/>
              <w:start w:w="120" w:type="dxa"/>
              <w:bottom w:w="100" w:type="dxa"/>
              <w:end w:w="120" w:type="dxa"/>
            </w:tcMar>
          </w:tcPr>
          <w:p>
            <w:pPr>
              <w:spacing w:after="0"/>
            </w:pPr>
            <w:r>
              <w:rPr>
                <w:sz w:val="17"/>
              </w:rPr>
              <w:t>Development, culture, language, readiness, preference, and access</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Selected intervention and expected mechanism of change</w:t>
            </w:r>
          </w:p>
        </w:tc>
        <w:tc>
          <w:tcPr>
            <w:tcW w:type="dxa" w:w="4104"/>
            <w:tcMar>
              <w:top w:w="100" w:type="dxa"/>
              <w:start w:w="120" w:type="dxa"/>
              <w:bottom w:w="100" w:type="dxa"/>
              <w:end w:w="120" w:type="dxa"/>
            </w:tcMar>
            <w:shd w:fill="F7F8FA"/>
          </w:tcPr>
          <w:p>
            <w:pPr>
              <w:spacing w:after="0"/>
            </w:pPr>
            <w:r>
              <w:rPr>
                <w:sz w:val="17"/>
              </w:rPr>
            </w:r>
          </w:p>
        </w:tc>
      </w:tr>
      <w:tr>
        <w:trPr>
          <w:cantSplit/>
        </w:trPr>
        <w:tc>
          <w:tcPr>
            <w:tcW w:type="dxa" w:w="5832"/>
            <w:tcMar>
              <w:top w:w="100" w:type="dxa"/>
              <w:start w:w="120" w:type="dxa"/>
              <w:bottom w:w="100" w:type="dxa"/>
              <w:end w:w="120" w:type="dxa"/>
            </w:tcMar>
          </w:tcPr>
          <w:p>
            <w:pPr>
              <w:spacing w:after="0"/>
            </w:pPr>
            <w:r>
              <w:rPr>
                <w:sz w:val="17"/>
              </w:rPr>
              <w:t>Treatment unit, competence, consultation, referral, and coordination</w:t>
            </w:r>
          </w:p>
        </w:tc>
        <w:tc>
          <w:tcPr>
            <w:tcW w:type="dxa" w:w="4104"/>
            <w:tcMar>
              <w:top w:w="100" w:type="dxa"/>
              <w:start w:w="120" w:type="dxa"/>
              <w:bottom w:w="100" w:type="dxa"/>
              <w:end w:w="120" w:type="dxa"/>
            </w:tcMar>
          </w:tcPr>
          <w:p>
            <w:pPr>
              <w:spacing w:after="0"/>
            </w:pPr>
            <w:r>
              <w:rPr>
                <w:sz w:val="17"/>
              </w:rPr>
            </w:r>
          </w:p>
        </w:tc>
      </w:tr>
      <w:tr>
        <w:trPr>
          <w:cantSplit/>
        </w:trPr>
        <w:tc>
          <w:tcPr>
            <w:tcW w:type="dxa" w:w="5832"/>
            <w:tcMar>
              <w:top w:w="100" w:type="dxa"/>
              <w:start w:w="120" w:type="dxa"/>
              <w:bottom w:w="100" w:type="dxa"/>
              <w:end w:w="120" w:type="dxa"/>
            </w:tcMar>
            <w:shd w:fill="F7F8FA"/>
          </w:tcPr>
          <w:p>
            <w:pPr>
              <w:spacing w:after="0"/>
            </w:pPr>
            <w:r>
              <w:rPr>
                <w:sz w:val="17"/>
              </w:rPr>
              <w:t>Observable response indicators and review date</w:t>
            </w:r>
          </w:p>
        </w:tc>
        <w:tc>
          <w:tcPr>
            <w:tcW w:type="dxa" w:w="4104"/>
            <w:tcMar>
              <w:top w:w="100" w:type="dxa"/>
              <w:start w:w="120" w:type="dxa"/>
              <w:bottom w:w="100" w:type="dxa"/>
              <w:end w:w="120" w:type="dxa"/>
            </w:tcMar>
            <w:shd w:fill="F7F8FA"/>
          </w:tcPr>
          <w:p>
            <w:pPr>
              <w:spacing w:after="0"/>
            </w:pPr>
            <w:r>
              <w:rPr>
                <w:sz w:val="17"/>
              </w:rPr>
            </w:r>
          </w:p>
        </w:tc>
      </w:tr>
    </w:tbl>
    <w:p>
      <w:pPr>
        <w:spacing w:after="0"/>
      </w:pPr>
    </w:p>
    <w:p>
      <w:pPr>
        <w:pStyle w:val="Heading1"/>
      </w:pPr>
      <w:r>
        <w:t>Chapter Summary</w:t>
      </w:r>
    </w:p>
    <w:p>
      <w:pPr>
        <w:pStyle w:val="ListBullet"/>
      </w:pPr>
      <w:r>
        <w:t>Use FITS: identify the formulation, check immediacy, name the target mechanism, evaluate suitability, and define a response check before selecting an intervention.</w:t>
      </w:r>
    </w:p>
    <w:p>
      <w:pPr>
        <w:pStyle w:val="ListBullet"/>
      </w:pPr>
      <w:r>
        <w:t>Stabilization and present-moment regulation precede detailed trauma processing when safety, orientation, arousal, or informed readiness is insufficient.</w:t>
      </w:r>
    </w:p>
    <w:p>
      <w:pPr>
        <w:pStyle w:val="ListBullet"/>
      </w:pPr>
      <w:r>
        <w:t>Choose cognitive, behavioral, motivational, emotional-regulation, grief, developmental, recovery, or systemic methods because their mechanism fits the maintaining pattern—not because the label sounds advanced.</w:t>
      </w:r>
    </w:p>
    <w:p>
      <w:pPr>
        <w:pStyle w:val="ListBullet"/>
      </w:pPr>
      <w:r>
        <w:t>Integrate relationship, caregiver, parenting, developmental, cultural, medical, disability, substance-use, and access factors without blaming the client or family system.</w:t>
      </w:r>
    </w:p>
    <w:p>
      <w:pPr>
        <w:pStyle w:val="ListBullet"/>
      </w:pPr>
      <w:r>
        <w:t>When progress is absent, reassess the problem and treatment fit, address barriers, and use consultation, referral, coordination, or a different level of care while preserving continuity.</w:t>
      </w:r>
    </w:p>
    <w:p>
      <w:pPr>
        <w:pStyle w:val="Heading1"/>
        <w:pageBreakBefore/>
      </w:pPr>
      <w:r>
        <w:t>Knowledge Check</w:t>
      </w:r>
    </w:p>
    <w:p>
      <w:r>
        <w:rPr>
          <w:i w:val="0"/>
        </w:rPr>
        <w:t>Complete all 10 original CTA practice questions before reviewing the answer key. Record your answer and confidence level. The set emphasizes intervention sequencing, CBT, motivational interviewing, emotional regulation, grief, caregiver stress, harm reduction, developmental fit, theory fit, and treatment nonresponse.</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LMFT-WB09-Q001 | Scenario | Moderate | Primary concept: Trauma stabilization and sequencing</w:t>
      </w:r>
    </w:p>
    <w:p>
      <w:pPr>
        <w:keepNext/>
        <w:keepLines/>
        <w:spacing w:before="60"/>
      </w:pPr>
      <w:r>
        <w:rPr>
          <w:b/>
          <w:i w:val="0"/>
        </w:rPr>
        <w:t>1. A client with a history of trauma becomes visibly disoriented while describing a recent trigger. What should the therapist do FIRST?</w:t>
      </w:r>
    </w:p>
    <w:p>
      <w:pPr>
        <w:keepNext/>
        <w:keepLines/>
        <w:spacing w:after="20"/>
        <w:ind w:left="259"/>
      </w:pPr>
      <w:r>
        <w:t>A. Ask the client to continue the narrative so the memory can be processed completely.</w:t>
      </w:r>
    </w:p>
    <w:p>
      <w:pPr>
        <w:keepNext/>
        <w:keepLines/>
        <w:spacing w:after="20"/>
        <w:ind w:left="259"/>
      </w:pPr>
      <w:r>
        <w:t>B. Interpret the disorientation as resistance to treatment.</w:t>
      </w:r>
    </w:p>
    <w:p>
      <w:pPr>
        <w:keepNext/>
        <w:keepLines/>
        <w:spacing w:after="20"/>
        <w:ind w:left="259"/>
      </w:pPr>
      <w:r>
        <w:t>C. Assign written exposure homework for the next session.</w:t>
      </w:r>
    </w:p>
    <w:p>
      <w:pPr>
        <w:keepNext/>
        <w:keepLines/>
        <w:spacing w:after="20"/>
        <w:ind w:left="259"/>
      </w:pPr>
      <w:r>
        <w:t>D. Orient the client to the present and use grounding before deciding whether to continue.</w:t>
      </w:r>
    </w:p>
    <w:p>
      <w:pPr>
        <w:keepNext w:val="0"/>
        <w:spacing w:before="0" w:after="120" w:line="240" w:lineRule="auto"/>
      </w:pPr>
      <w:r>
        <w:t>My answer: ______  Confidence: 1  2  3</w:t>
      </w:r>
    </w:p>
    <w:p>
      <w:pPr>
        <w:keepNext/>
        <w:spacing w:before="120" w:after="40" w:line="240" w:lineRule="auto"/>
      </w:pPr>
      <w:r>
        <w:t>LMFT-WB09-Q002 | Application | Moderate | Primary concept: CBT panic and avoidance cycle</w:t>
      </w:r>
    </w:p>
    <w:p>
      <w:pPr>
        <w:keepNext/>
        <w:keepLines/>
        <w:spacing w:before="60"/>
      </w:pPr>
      <w:r>
        <w:rPr>
          <w:b/>
          <w:i w:val="0"/>
        </w:rPr>
        <w:t>2. A client with panic symptoms avoids elevators and asks a partner to accompany them everywhere. Which intervention is MOST consistent with a cognitive-behavioral approach?</w:t>
      </w:r>
    </w:p>
    <w:p>
      <w:pPr>
        <w:keepNext/>
        <w:keepLines/>
        <w:spacing w:after="20"/>
        <w:ind w:left="259"/>
      </w:pPr>
      <w:r>
        <w:t>A. Interpret the avoidance as evidence of an unresolved family secret.</w:t>
      </w:r>
    </w:p>
    <w:p>
      <w:pPr>
        <w:keepNext/>
        <w:keepLines/>
        <w:spacing w:after="20"/>
        <w:ind w:left="259"/>
      </w:pPr>
      <w:r>
        <w:t>B. Ask the partner to make all transportation decisions until anxiety decreases.</w:t>
      </w:r>
    </w:p>
    <w:p>
      <w:pPr>
        <w:keepNext/>
        <w:keepLines/>
        <w:spacing w:after="20"/>
        <w:ind w:left="259"/>
      </w:pPr>
      <w:r>
        <w:t>C. Identify catastrophic predictions, reduce safety behaviors, and develop graded exposure tasks.</w:t>
      </w:r>
    </w:p>
    <w:p>
      <w:pPr>
        <w:keepNext/>
        <w:keepLines/>
        <w:spacing w:after="20"/>
        <w:ind w:left="259"/>
      </w:pPr>
      <w:r>
        <w:t>D. Encourage the client to avoid elevators to prevent emotional flooding.</w:t>
      </w:r>
    </w:p>
    <w:p>
      <w:pPr>
        <w:keepNext w:val="0"/>
        <w:spacing w:before="0" w:after="120" w:line="240" w:lineRule="auto"/>
      </w:pPr>
      <w:r>
        <w:t>My answer: ______  Confidence: 1  2  3</w:t>
      </w:r>
    </w:p>
    <w:p>
      <w:pPr>
        <w:keepNext/>
        <w:spacing w:before="120" w:after="40" w:line="240" w:lineRule="auto"/>
      </w:pPr>
      <w:r>
        <w:t>LMFT-WB09-Q003 | Scenario | Moderate | Primary concept: Motivational interviewing and ambivalence</w:t>
      </w:r>
    </w:p>
    <w:p>
      <w:pPr>
        <w:keepNext/>
        <w:keepLines/>
        <w:spacing w:before="60"/>
      </w:pPr>
      <w:r>
        <w:rPr>
          <w:b/>
          <w:i w:val="0"/>
        </w:rPr>
        <w:t>3. A client says, “My drinking causes arguments, but I am not ready to stop.” What is the therapist's BEST response?</w:t>
      </w:r>
    </w:p>
    <w:p>
      <w:pPr>
        <w:keepNext/>
        <w:keepLines/>
        <w:spacing w:after="20"/>
        <w:ind w:left="259"/>
      </w:pPr>
      <w:r>
        <w:t>A. Explain that treatment cannot continue unless the client commits to abstinence.</w:t>
      </w:r>
    </w:p>
    <w:p>
      <w:pPr>
        <w:keepNext/>
        <w:keepLines/>
        <w:spacing w:after="20"/>
        <w:ind w:left="259"/>
      </w:pPr>
      <w:r>
        <w:t>B. Ask what the client likes and dislikes about drinking and what changes, if any, the client is considering.</w:t>
      </w:r>
    </w:p>
    <w:p>
      <w:pPr>
        <w:keepNext/>
        <w:keepLines/>
        <w:spacing w:after="20"/>
        <w:ind w:left="259"/>
      </w:pPr>
      <w:r>
        <w:t>C. Confront the client with the damage the drinking has caused the family.</w:t>
      </w:r>
    </w:p>
    <w:p>
      <w:pPr>
        <w:keepNext/>
        <w:keepLines/>
        <w:spacing w:after="20"/>
        <w:ind w:left="259"/>
      </w:pPr>
      <w:r>
        <w:t>D. Ask the partner to monitor all alcohol use and report it to the therapist.</w:t>
      </w:r>
    </w:p>
    <w:p>
      <w:pPr>
        <w:keepNext w:val="0"/>
        <w:spacing w:before="0" w:after="120" w:line="240" w:lineRule="auto"/>
      </w:pPr>
      <w:r>
        <w:t>My answer: ______  Confidence: 1  2  3</w:t>
      </w:r>
    </w:p>
    <w:p>
      <w:pPr>
        <w:keepNext/>
        <w:spacing w:before="120" w:after="40" w:line="240" w:lineRule="auto"/>
      </w:pPr>
      <w:r>
        <w:t>LMFT-WB09-Q004 | Scenario | Moderate | Primary concept: De-escalation and relationship safety</w:t>
      </w:r>
    </w:p>
    <w:p>
      <w:pPr>
        <w:keepNext/>
        <w:keepLines/>
        <w:spacing w:before="60"/>
      </w:pPr>
      <w:r>
        <w:rPr>
          <w:b/>
          <w:i w:val="0"/>
        </w:rPr>
        <w:t>4. During couple therapy, one partner becomes increasingly loud and begins insulting the other. What should the therapist do NEXT?</w:t>
      </w:r>
    </w:p>
    <w:p>
      <w:pPr>
        <w:keepNext/>
        <w:keepLines/>
        <w:spacing w:after="20"/>
        <w:ind w:left="259"/>
      </w:pPr>
      <w:r>
        <w:t>A. Set a clear limit, de-escalate the interaction, and assess whether the session can continue safely.</w:t>
      </w:r>
    </w:p>
    <w:p>
      <w:pPr>
        <w:keepNext/>
        <w:keepLines/>
        <w:spacing w:after="20"/>
        <w:ind w:left="259"/>
      </w:pPr>
      <w:r>
        <w:t>B. Continue exploring the childhood origin of the anger.</w:t>
      </w:r>
    </w:p>
    <w:p>
      <w:pPr>
        <w:keepNext/>
        <w:keepLines/>
        <w:spacing w:after="20"/>
        <w:ind w:left="259"/>
      </w:pPr>
      <w:r>
        <w:t>C. Ask the quieter partner to be more assertive immediately.</w:t>
      </w:r>
    </w:p>
    <w:p>
      <w:pPr>
        <w:keepNext/>
        <w:keepLines/>
        <w:spacing w:after="20"/>
        <w:ind w:left="259"/>
      </w:pPr>
      <w:r>
        <w:t>D. Ignore the escalation so the natural interactional pattern can be observed.</w:t>
      </w:r>
    </w:p>
    <w:p>
      <w:pPr>
        <w:keepNext w:val="0"/>
        <w:spacing w:before="0" w:after="120" w:line="240" w:lineRule="auto"/>
      </w:pPr>
      <w:r>
        <w:t>My answer: ______  Confidence: 1  2  3</w:t>
      </w:r>
    </w:p>
    <w:p>
      <w:pPr>
        <w:keepNext/>
        <w:spacing w:before="120" w:after="40" w:line="240" w:lineRule="auto"/>
      </w:pPr>
      <w:r>
        <w:t>LMFT-WB09-Q005 | Application | Moderate | Primary concept: Grief support and differential assessment</w:t>
      </w:r>
    </w:p>
    <w:p>
      <w:pPr>
        <w:keepNext/>
        <w:keepLines/>
        <w:spacing w:before="60"/>
      </w:pPr>
      <w:r>
        <w:rPr>
          <w:b/>
          <w:i w:val="0"/>
        </w:rPr>
        <w:t>5. A client whose spouse died three months ago says that waves of sadness intensify around anniversaries and family events. The client is functioning at work and denies safety concerns. What is the therapist's BEST intervention?</w:t>
      </w:r>
    </w:p>
    <w:p>
      <w:pPr>
        <w:keepNext/>
        <w:keepLines/>
        <w:spacing w:after="20"/>
        <w:ind w:left="259"/>
      </w:pPr>
      <w:r>
        <w:t>A. Diagnose a depressive disorder because sadness remains present after three months.</w:t>
      </w:r>
    </w:p>
    <w:p>
      <w:pPr>
        <w:keepNext/>
        <w:keepLines/>
        <w:spacing w:after="20"/>
        <w:ind w:left="259"/>
      </w:pPr>
      <w:r>
        <w:t>B. Discourage discussion of the deceased to prevent reinforcement of grief.</w:t>
      </w:r>
    </w:p>
    <w:p>
      <w:pPr>
        <w:keepNext/>
        <w:keepLines/>
        <w:spacing w:after="20"/>
        <w:ind w:left="259"/>
      </w:pPr>
      <w:r>
        <w:t>C. Normalize grief variability, explore meaning and support, and assess coping over time.</w:t>
      </w:r>
    </w:p>
    <w:p>
      <w:pPr>
        <w:keepNext/>
        <w:keepLines/>
        <w:spacing w:after="20"/>
        <w:ind w:left="259"/>
      </w:pPr>
      <w:r>
        <w:t>D. Recommend immediate psychiatric hospitalization.</w:t>
      </w:r>
    </w:p>
    <w:p>
      <w:pPr>
        <w:keepNext w:val="0"/>
        <w:spacing w:before="0" w:after="120" w:line="240" w:lineRule="auto"/>
      </w:pPr>
      <w:r>
        <w:t>My answer: ______  Confidence: 1  2  3</w:t>
      </w:r>
    </w:p>
    <w:p>
      <w:pPr>
        <w:keepNext/>
        <w:spacing w:before="120" w:after="40" w:line="240" w:lineRule="auto"/>
      </w:pPr>
      <w:r>
        <w:t>LMFT-WB09-Q006 | Scenario | Moderate | Primary concept: Caregiver burden and systemic intervention</w:t>
      </w:r>
    </w:p>
    <w:p>
      <w:pPr>
        <w:keepNext/>
        <w:keepLines/>
        <w:spacing w:before="60"/>
      </w:pPr>
      <w:r>
        <w:rPr>
          <w:b/>
          <w:i w:val="0"/>
        </w:rPr>
        <w:t>6. A client caring for a parent with dementia reports exhaustion and irritability toward a spouse. The spouse says the client refuses all help. What should the therapist do NEXT?</w:t>
      </w:r>
    </w:p>
    <w:p>
      <w:pPr>
        <w:keepNext/>
        <w:keepLines/>
        <w:spacing w:after="20"/>
        <w:ind w:left="259"/>
      </w:pPr>
      <w:r>
        <w:t>A. Focus only on communication between the spouses.</w:t>
      </w:r>
    </w:p>
    <w:p>
      <w:pPr>
        <w:keepNext/>
        <w:keepLines/>
        <w:spacing w:after="20"/>
        <w:ind w:left="259"/>
      </w:pPr>
      <w:r>
        <w:t>B. Tell the client to place the parent in residential care.</w:t>
      </w:r>
    </w:p>
    <w:p>
      <w:pPr>
        <w:keepNext/>
        <w:keepLines/>
        <w:spacing w:after="20"/>
        <w:ind w:left="259"/>
      </w:pPr>
      <w:r>
        <w:t>C. Advise the spouse to stop discussing caregiving.</w:t>
      </w:r>
    </w:p>
    <w:p>
      <w:pPr>
        <w:keepNext/>
        <w:keepLines/>
        <w:spacing w:after="20"/>
        <w:ind w:left="259"/>
      </w:pPr>
      <w:r>
        <w:t>D. Assess caregiver burden, beliefs about accepting help, available supports, and the couple's interaction around caregiving.</w:t>
      </w:r>
    </w:p>
    <w:p>
      <w:pPr>
        <w:keepNext w:val="0"/>
        <w:spacing w:before="0" w:after="120" w:line="240" w:lineRule="auto"/>
      </w:pPr>
      <w:r>
        <w:t>My answer: ______  Confidence: 1  2  3</w:t>
      </w:r>
    </w:p>
    <w:p>
      <w:pPr>
        <w:keepNext/>
        <w:spacing w:before="120" w:after="40" w:line="240" w:lineRule="auto"/>
      </w:pPr>
      <w:r>
        <w:t>LMFT-WB09-Q007 | Application | Moderate | Primary concept: Harm reduction and engagement</w:t>
      </w:r>
    </w:p>
    <w:p>
      <w:pPr>
        <w:keepNext/>
        <w:keepLines/>
        <w:spacing w:before="60"/>
      </w:pPr>
      <w:r>
        <w:rPr>
          <w:b/>
          <w:i w:val="0"/>
        </w:rPr>
        <w:t>7. A client who uses opioids declines residential treatment but agrees to discuss ways to reduce risk. What should the therapist do?</w:t>
      </w:r>
    </w:p>
    <w:p>
      <w:pPr>
        <w:keepNext/>
        <w:keepLines/>
        <w:spacing w:after="20"/>
        <w:ind w:left="259"/>
      </w:pPr>
      <w:r>
        <w:t>A. Explore overdose-prevention, safer-use, medical, recovery, and support options while continuing to assess readiness and risk.</w:t>
      </w:r>
    </w:p>
    <w:p>
      <w:pPr>
        <w:keepNext/>
        <w:keepLines/>
        <w:spacing w:after="20"/>
        <w:ind w:left="259"/>
      </w:pPr>
      <w:r>
        <w:t>B. End therapy because the client rejected the recommended level of care.</w:t>
      </w:r>
    </w:p>
    <w:p>
      <w:pPr>
        <w:keepNext/>
        <w:keepLines/>
        <w:spacing w:after="20"/>
        <w:ind w:left="259"/>
      </w:pPr>
      <w:r>
        <w:t>C. Guarantee confidentiality even if an emergency occurs.</w:t>
      </w:r>
    </w:p>
    <w:p>
      <w:pPr>
        <w:keepNext/>
        <w:keepLines/>
        <w:spacing w:after="20"/>
        <w:ind w:left="259"/>
      </w:pPr>
      <w:r>
        <w:t>D. Require a family member to control all medication and finances.</w:t>
      </w:r>
    </w:p>
    <w:p>
      <w:pPr>
        <w:keepNext w:val="0"/>
        <w:spacing w:before="0" w:after="120" w:line="240" w:lineRule="auto"/>
      </w:pPr>
      <w:r>
        <w:t>My answer: ______  Confidence: 1  2  3</w:t>
      </w:r>
    </w:p>
    <w:p>
      <w:pPr>
        <w:keepNext/>
        <w:spacing w:before="120" w:after="40" w:line="240" w:lineRule="auto"/>
      </w:pPr>
      <w:r>
        <w:t>LMFT-WB09-Q008 | Recall | Easy | Primary concept: Developmentally appropriate intervention</w:t>
      </w:r>
    </w:p>
    <w:p>
      <w:pPr>
        <w:keepNext/>
        <w:keepLines/>
        <w:spacing w:before="60"/>
      </w:pPr>
      <w:r>
        <w:rPr>
          <w:b/>
          <w:i w:val="0"/>
        </w:rPr>
        <w:t>8. A nine-year-old struggles to identify emotions and becomes disruptive when asked lengthy abstract questions. Which intervention is MOST appropriate?</w:t>
      </w:r>
    </w:p>
    <w:p>
      <w:pPr>
        <w:keepNext/>
        <w:keepLines/>
        <w:spacing w:after="20"/>
        <w:ind w:left="259"/>
      </w:pPr>
      <w:r>
        <w:t>A. Increase the length of verbal interpretation until insight develops.</w:t>
      </w:r>
    </w:p>
    <w:p>
      <w:pPr>
        <w:keepNext/>
        <w:keepLines/>
        <w:spacing w:after="20"/>
        <w:ind w:left="259"/>
      </w:pPr>
      <w:r>
        <w:t>B. Use developmentally appropriate play, visual tools, modeling, and brief skills practice.</w:t>
      </w:r>
    </w:p>
    <w:p>
      <w:pPr>
        <w:keepNext/>
        <w:keepLines/>
        <w:spacing w:after="20"/>
        <w:ind w:left="259"/>
      </w:pPr>
      <w:r>
        <w:t>C. Require the child to complete adult cognitive worksheets independently.</w:t>
      </w:r>
    </w:p>
    <w:p>
      <w:pPr>
        <w:keepNext/>
        <w:keepLines/>
        <w:spacing w:after="20"/>
        <w:ind w:left="259"/>
      </w:pPr>
      <w:r>
        <w:t>D. Exclude caregivers from all treatment planning.</w:t>
      </w:r>
    </w:p>
    <w:p>
      <w:pPr>
        <w:keepNext w:val="0"/>
        <w:spacing w:before="0" w:after="120" w:line="240" w:lineRule="auto"/>
      </w:pPr>
      <w:r>
        <w:t>My answer: ______  Confidence: 1  2  3</w:t>
      </w:r>
    </w:p>
    <w:p>
      <w:pPr>
        <w:keepNext/>
        <w:spacing w:before="120" w:after="40" w:line="240" w:lineRule="auto"/>
      </w:pPr>
      <w:r>
        <w:t>LMFT-WB09-Q009 | Application | Moderate | Primary concept: Structural family intervention</w:t>
      </w:r>
    </w:p>
    <w:p>
      <w:pPr>
        <w:keepNext/>
        <w:keepLines/>
        <w:spacing w:before="60"/>
      </w:pPr>
      <w:r>
        <w:rPr>
          <w:b/>
          <w:i w:val="0"/>
        </w:rPr>
        <w:t>9. A family repeatedly argues about a teenager's curfew. The parents disagree in front of the teenager and then ask the teenager to choose which parent is right. Which intervention is MOST consistent with a structural family approach?</w:t>
      </w:r>
    </w:p>
    <w:p>
      <w:pPr>
        <w:keepNext/>
        <w:keepLines/>
        <w:spacing w:after="20"/>
        <w:ind w:left="259"/>
      </w:pPr>
      <w:r>
        <w:t>A. Ask each person to identify an irrational belief about curfews.</w:t>
      </w:r>
    </w:p>
    <w:p>
      <w:pPr>
        <w:keepNext/>
        <w:keepLines/>
        <w:spacing w:after="20"/>
        <w:ind w:left="259"/>
      </w:pPr>
      <w:r>
        <w:t>B. Explore only the teenager's unconscious wish to separate from the family.</w:t>
      </w:r>
    </w:p>
    <w:p>
      <w:pPr>
        <w:keepNext/>
        <w:keepLines/>
        <w:spacing w:after="20"/>
        <w:ind w:left="259"/>
      </w:pPr>
      <w:r>
        <w:t>C. Strengthen the parental subsystem and establish a clear boundary around parental decision-making.</w:t>
      </w:r>
    </w:p>
    <w:p>
      <w:pPr>
        <w:keepNext/>
        <w:keepLines/>
        <w:spacing w:after="20"/>
        <w:ind w:left="259"/>
      </w:pPr>
      <w:r>
        <w:t>D. Externalize the conflict as “the curfew problem” without addressing hierarchy.</w:t>
      </w:r>
    </w:p>
    <w:p>
      <w:pPr>
        <w:keepNext w:val="0"/>
        <w:spacing w:before="0" w:after="120" w:line="240" w:lineRule="auto"/>
      </w:pPr>
      <w:r>
        <w:t>My answer: ______  Confidence: 1  2  3</w:t>
      </w:r>
    </w:p>
    <w:p>
      <w:pPr>
        <w:keepNext/>
        <w:spacing w:before="120" w:after="40" w:line="240" w:lineRule="auto"/>
      </w:pPr>
      <w:r>
        <w:t>LMFT-WB09-Q010 | Integrated | Challenge | Primary concept: Treatment nonresponse and reassessment</w:t>
      </w:r>
    </w:p>
    <w:p>
      <w:pPr>
        <w:keepNext/>
        <w:keepLines/>
        <w:spacing w:before="60"/>
      </w:pPr>
      <w:r>
        <w:rPr>
          <w:b/>
          <w:i w:val="0"/>
        </w:rPr>
        <w:t>10. A client has practiced relaxation exercises for six weeks but reports no reduction in obsessive rituals. What should the therapist do NEXT?</w:t>
      </w:r>
    </w:p>
    <w:p>
      <w:pPr>
        <w:keepNext/>
        <w:keepLines/>
        <w:spacing w:after="20"/>
        <w:ind w:left="259"/>
      </w:pPr>
      <w:r>
        <w:t>A. Continue the same intervention indefinitely because the client is compliant.</w:t>
      </w:r>
    </w:p>
    <w:p>
      <w:pPr>
        <w:keepNext/>
        <w:keepLines/>
        <w:spacing w:after="20"/>
        <w:ind w:left="259"/>
      </w:pPr>
      <w:r>
        <w:t>B. Tell the client that lack of improvement proves insufficient motivation.</w:t>
      </w:r>
    </w:p>
    <w:p>
      <w:pPr>
        <w:keepNext/>
        <w:keepLines/>
        <w:spacing w:after="20"/>
        <w:ind w:left="259"/>
      </w:pPr>
      <w:r>
        <w:t>C. Add several unrelated techniques without changing the treatment rationale.</w:t>
      </w:r>
    </w:p>
    <w:p>
      <w:pPr>
        <w:keepNext/>
        <w:keepLines/>
        <w:spacing w:after="20"/>
        <w:ind w:left="259"/>
      </w:pPr>
      <w:r>
        <w:t>D. Reassess the formulation, symptom pattern, intervention fit, adherence quality, and need for consultation or referral.</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involved timing, safety, target mechanism, developmental or cultural fit, treatment unit, competence, or failure to reassess. Rewrite the best-answer rule in your own words.</w:t>
            </w:r>
          </w:p>
        </w:tc>
      </w:tr>
    </w:tbl>
    <w:p>
      <w:pPr>
        <w:spacing w:after="0"/>
      </w:pPr>
    </w:p>
    <w:p>
      <w:pPr>
        <w:pStyle w:val="Heading2"/>
        <w:keepNext/>
        <w:keepLines/>
        <w:spacing w:before="100" w:after="40"/>
      </w:pPr>
      <w:r>
        <w:rPr>
          <w:b/>
          <w:sz w:val="20"/>
        </w:rPr>
        <w:t>Question 1 (LMFT-WB09-Q001)</w:t>
      </w:r>
    </w:p>
    <w:p>
      <w:pPr>
        <w:keepNext/>
        <w:keepLines/>
      </w:pPr>
      <w:r>
        <w:rPr>
          <w:b/>
          <w:i w:val="0"/>
          <w:color w:val="0F7C82"/>
        </w:rPr>
        <w:t>Correct Answer: D</w:t>
      </w:r>
    </w:p>
    <w:p>
      <w:pPr>
        <w:keepNext/>
        <w:keepLines/>
        <w:spacing w:after="40"/>
        <w:ind w:left="173"/>
      </w:pPr>
      <w:r>
        <w:rPr>
          <w:b/>
          <w:i w:val="0"/>
        </w:rPr>
        <w:t>A. Continuing detailed processing while the client is disoriented can exceed the client's current capacity and increase dysregulation.</w:t>
      </w:r>
    </w:p>
    <w:p>
      <w:pPr>
        <w:keepNext/>
        <w:keepLines/>
        <w:spacing w:after="40"/>
        <w:ind w:left="173"/>
      </w:pPr>
      <w:r>
        <w:rPr>
          <w:b/>
          <w:i w:val="0"/>
        </w:rPr>
        <w:t>B. The behavior is better treated as clinical information about arousal and capacity, not automatically as resistance.</w:t>
      </w:r>
    </w:p>
    <w:p>
      <w:pPr>
        <w:keepNext/>
        <w:keepLines/>
        <w:spacing w:after="40"/>
        <w:ind w:left="173"/>
      </w:pPr>
      <w:r>
        <w:rPr>
          <w:b/>
          <w:i w:val="0"/>
        </w:rPr>
        <w:t>C. Exposure-based work requires assessment, preparation, and informed treatment planning; it is not the first response to acute disorientation.</w:t>
      </w:r>
    </w:p>
    <w:p>
      <w:pPr>
        <w:keepNext/>
        <w:keepLines/>
        <w:spacing w:after="40"/>
        <w:ind w:left="173"/>
      </w:pPr>
      <w:r>
        <w:rPr>
          <w:b/>
          <w:i w:val="0"/>
        </w:rPr>
        <w:t>D. Correct. Present-moment orientation and stabilization come before deciding whether deeper trauma processing is appropriate.</w:t>
      </w:r>
    </w:p>
    <w:p>
      <w:pPr>
        <w:keepLines/>
        <w:spacing w:after="120"/>
        <w:ind w:left="173"/>
      </w:pPr>
      <w:r>
        <w:rPr>
          <w:b/>
          <w:i w:val="0"/>
          <w:color w:val="1F4E78"/>
        </w:rPr>
        <w:t xml:space="preserve">Exam Strategy: </w:t>
      </w:r>
      <w:r>
        <w:rPr>
          <w:b w:val="0"/>
          <w:i/>
        </w:rPr>
        <w:t>Identify safety and stabilization needs before selecting a theory-specific or insight-oriented intervention.</w:t>
      </w:r>
    </w:p>
    <w:p>
      <w:pPr>
        <w:pStyle w:val="Heading2"/>
        <w:keepNext/>
        <w:keepLines/>
        <w:spacing w:before="100" w:after="40"/>
      </w:pPr>
      <w:r>
        <w:rPr>
          <w:b/>
          <w:sz w:val="20"/>
        </w:rPr>
        <w:t>Question 2 (LMFT-WB09-Q002)</w:t>
      </w:r>
    </w:p>
    <w:p>
      <w:pPr>
        <w:keepNext/>
        <w:keepLines/>
      </w:pPr>
      <w:r>
        <w:rPr>
          <w:b/>
          <w:i w:val="0"/>
          <w:color w:val="0F7C82"/>
        </w:rPr>
        <w:t>Correct Answer: C</w:t>
      </w:r>
    </w:p>
    <w:p>
      <w:pPr>
        <w:keepNext/>
        <w:keepLines/>
        <w:spacing w:after="40"/>
        <w:ind w:left="173"/>
      </w:pPr>
      <w:r>
        <w:rPr>
          <w:b/>
          <w:i w:val="0"/>
        </w:rPr>
        <w:t>A. A family meaning may be relevant, but it is not the clearest CBT intervention for the maintaining panic cycle.</w:t>
      </w:r>
    </w:p>
    <w:p>
      <w:pPr>
        <w:keepNext/>
        <w:keepLines/>
        <w:spacing w:after="40"/>
        <w:ind w:left="173"/>
      </w:pPr>
      <w:r>
        <w:rPr>
          <w:b/>
          <w:i w:val="0"/>
        </w:rPr>
        <w:t>B. Increasing dependence on the partner may reinforce avoidance.</w:t>
      </w:r>
    </w:p>
    <w:p>
      <w:pPr>
        <w:keepNext/>
        <w:keepLines/>
        <w:spacing w:after="40"/>
        <w:ind w:left="173"/>
      </w:pPr>
      <w:r>
        <w:rPr>
          <w:b/>
          <w:i w:val="0"/>
        </w:rPr>
        <w:t>C. Correct. CBT targets catastrophic interpretations, avoidance, and reinforcing safety behaviors through cognitive and behavioral practice.</w:t>
      </w:r>
    </w:p>
    <w:p>
      <w:pPr>
        <w:keepNext/>
        <w:keepLines/>
        <w:spacing w:after="40"/>
        <w:ind w:left="173"/>
      </w:pPr>
      <w:r>
        <w:rPr>
          <w:b/>
          <w:i w:val="0"/>
        </w:rPr>
        <w:t>D. Avoidance usually maintains panic-related fear rather than building mastery.</w:t>
      </w:r>
    </w:p>
    <w:p>
      <w:pPr>
        <w:keepLines/>
        <w:spacing w:after="120"/>
        <w:ind w:left="173"/>
      </w:pPr>
      <w:r>
        <w:rPr>
          <w:b/>
          <w:i w:val="0"/>
          <w:color w:val="1F4E78"/>
        </w:rPr>
        <w:t xml:space="preserve">Exam Strategy: </w:t>
      </w:r>
      <w:r>
        <w:rPr>
          <w:b w:val="0"/>
          <w:i/>
        </w:rPr>
        <w:t>Choose the intervention that directly targets the maintaining thought-behavior cycle described in the vignette.</w:t>
      </w:r>
    </w:p>
    <w:p>
      <w:pPr>
        <w:pStyle w:val="Heading2"/>
        <w:keepNext/>
        <w:keepLines/>
        <w:spacing w:before="100" w:after="40"/>
      </w:pPr>
      <w:r>
        <w:rPr>
          <w:b/>
          <w:sz w:val="20"/>
        </w:rPr>
        <w:t>Question 3 (LMFT-WB09-Q003)</w:t>
      </w:r>
    </w:p>
    <w:p>
      <w:pPr>
        <w:keepNext/>
        <w:keepLines/>
      </w:pPr>
      <w:r>
        <w:rPr>
          <w:b/>
          <w:i w:val="0"/>
          <w:color w:val="0F7C82"/>
        </w:rPr>
        <w:t>Correct Answer: B</w:t>
      </w:r>
    </w:p>
    <w:p>
      <w:pPr>
        <w:keepNext/>
        <w:keepLines/>
        <w:spacing w:after="40"/>
        <w:ind w:left="173"/>
      </w:pPr>
      <w:r>
        <w:rPr>
          <w:b/>
          <w:i w:val="0"/>
        </w:rPr>
        <w:t>A. Requiring an immediate abstinence commitment may increase defensiveness and ignores readiness.</w:t>
      </w:r>
    </w:p>
    <w:p>
      <w:pPr>
        <w:keepNext/>
        <w:keepLines/>
        <w:spacing w:after="40"/>
        <w:ind w:left="173"/>
      </w:pPr>
      <w:r>
        <w:rPr>
          <w:b/>
          <w:i w:val="0"/>
        </w:rPr>
        <w:t>B. Correct. Motivational interviewing explores ambivalence and elicits the client's own reasons for change.</w:t>
      </w:r>
    </w:p>
    <w:p>
      <w:pPr>
        <w:keepNext/>
        <w:keepLines/>
        <w:spacing w:after="40"/>
        <w:ind w:left="173"/>
      </w:pPr>
      <w:r>
        <w:rPr>
          <w:b/>
          <w:i w:val="0"/>
        </w:rPr>
        <w:t>C. Confrontation can strengthen resistance when the client is ambivalent.</w:t>
      </w:r>
    </w:p>
    <w:p>
      <w:pPr>
        <w:keepNext/>
        <w:keepLines/>
        <w:spacing w:after="40"/>
        <w:ind w:left="173"/>
      </w:pPr>
      <w:r>
        <w:rPr>
          <w:b/>
          <w:i w:val="0"/>
        </w:rPr>
        <w:t>D. Partner surveillance can intensify conflict and does not replace the client's motivation.</w:t>
      </w:r>
    </w:p>
    <w:p>
      <w:pPr>
        <w:keepLines/>
        <w:spacing w:after="120"/>
        <w:ind w:left="173"/>
      </w:pPr>
      <w:r>
        <w:rPr>
          <w:b/>
          <w:i w:val="0"/>
          <w:color w:val="1F4E78"/>
        </w:rPr>
        <w:t xml:space="preserve">Exam Strategy: </w:t>
      </w:r>
      <w:r>
        <w:rPr>
          <w:b w:val="0"/>
          <w:i/>
        </w:rPr>
        <w:t>Explore ambivalence and evoke the client’s own reasons for change rather than arguing, lecturing, or labeling resistance.</w:t>
      </w:r>
    </w:p>
    <w:p>
      <w:pPr>
        <w:pStyle w:val="Heading2"/>
        <w:keepNext/>
        <w:keepLines/>
        <w:spacing w:before="100" w:after="40"/>
      </w:pPr>
      <w:r>
        <w:rPr>
          <w:b/>
          <w:sz w:val="20"/>
        </w:rPr>
        <w:t>Question 4 (LMFT-WB09-Q004)</w:t>
      </w:r>
    </w:p>
    <w:p>
      <w:pPr>
        <w:keepNext/>
        <w:keepLines/>
      </w:pPr>
      <w:r>
        <w:rPr>
          <w:b/>
          <w:i w:val="0"/>
          <w:color w:val="0F7C82"/>
        </w:rPr>
        <w:t>Correct Answer: A</w:t>
      </w:r>
    </w:p>
    <w:p>
      <w:pPr>
        <w:keepNext/>
        <w:keepLines/>
        <w:spacing w:after="40"/>
        <w:ind w:left="173"/>
      </w:pPr>
      <w:r>
        <w:rPr>
          <w:b/>
          <w:i w:val="0"/>
        </w:rPr>
        <w:t>A. Correct. The therapist should interrupt harmful interaction, regulate the session, and assess safety before further work.</w:t>
      </w:r>
    </w:p>
    <w:p>
      <w:pPr>
        <w:keepNext/>
        <w:keepLines/>
        <w:spacing w:after="40"/>
        <w:ind w:left="173"/>
      </w:pPr>
      <w:r>
        <w:rPr>
          <w:b/>
          <w:i w:val="0"/>
        </w:rPr>
        <w:t>B. Historical exploration should not take priority over active escalation and safety.</w:t>
      </w:r>
    </w:p>
    <w:p>
      <w:pPr>
        <w:keepNext/>
        <w:keepLines/>
        <w:spacing w:after="40"/>
        <w:ind w:left="173"/>
      </w:pPr>
      <w:r>
        <w:rPr>
          <w:b/>
          <w:i w:val="0"/>
        </w:rPr>
        <w:t>C. Placing responsibility on the quieter partner may increase risk and does not address the escalating behavior.</w:t>
      </w:r>
    </w:p>
    <w:p>
      <w:pPr>
        <w:keepNext/>
        <w:keepLines/>
        <w:spacing w:after="40"/>
        <w:ind w:left="173"/>
      </w:pPr>
      <w:r>
        <w:rPr>
          <w:b/>
          <w:i w:val="0"/>
        </w:rPr>
        <w:t>D. Observation does not justify allowing verbal aggression to continue unchecked.</w:t>
      </w:r>
    </w:p>
    <w:p>
      <w:pPr>
        <w:keepLines/>
        <w:spacing w:after="120"/>
        <w:ind w:left="173"/>
      </w:pPr>
      <w:r>
        <w:rPr>
          <w:b/>
          <w:i w:val="0"/>
          <w:color w:val="1F4E78"/>
        </w:rPr>
        <w:t xml:space="preserve">Exam Strategy: </w:t>
      </w:r>
      <w:r>
        <w:rPr>
          <w:b w:val="0"/>
          <w:i/>
        </w:rPr>
        <w:t>When escalation threatens relationship safety, teach cue recognition, pausing, distress tolerance, and safer communication before deeper processing.</w:t>
      </w:r>
    </w:p>
    <w:p>
      <w:pPr>
        <w:pStyle w:val="Heading2"/>
        <w:keepNext/>
        <w:keepLines/>
        <w:spacing w:before="100" w:after="40"/>
      </w:pPr>
      <w:r>
        <w:rPr>
          <w:b/>
          <w:sz w:val="20"/>
        </w:rPr>
        <w:t>Question 5 (LMFT-WB09-Q005)</w:t>
      </w:r>
    </w:p>
    <w:p>
      <w:pPr>
        <w:keepNext/>
        <w:keepLines/>
      </w:pPr>
      <w:r>
        <w:rPr>
          <w:b/>
          <w:i w:val="0"/>
          <w:color w:val="0F7C82"/>
        </w:rPr>
        <w:t>Correct Answer: C</w:t>
      </w:r>
    </w:p>
    <w:p>
      <w:pPr>
        <w:keepNext/>
        <w:keepLines/>
        <w:spacing w:after="40"/>
        <w:ind w:left="173"/>
      </w:pPr>
      <w:r>
        <w:rPr>
          <w:b/>
          <w:i w:val="0"/>
        </w:rPr>
        <w:t>A. Time alone does not establish a depressive disorder; the full symptom pattern and impairment must be assessed.</w:t>
      </w:r>
    </w:p>
    <w:p>
      <w:pPr>
        <w:keepNext/>
        <w:keepLines/>
        <w:spacing w:after="40"/>
        <w:ind w:left="173"/>
      </w:pPr>
      <w:r>
        <w:rPr>
          <w:b/>
          <w:i w:val="0"/>
        </w:rPr>
        <w:t>B. Avoiding discussion can invalidate the loss and is not a generally appropriate grief intervention.</w:t>
      </w:r>
    </w:p>
    <w:p>
      <w:pPr>
        <w:keepNext/>
        <w:keepLines/>
        <w:spacing w:after="40"/>
        <w:ind w:left="173"/>
      </w:pPr>
      <w:r>
        <w:rPr>
          <w:b/>
          <w:i w:val="0"/>
        </w:rPr>
        <w:t>C. Correct. Grief often fluctuates, and treatment may support meaning, coping, connection, and continued assessment without premature pathologizing.</w:t>
      </w:r>
    </w:p>
    <w:p>
      <w:pPr>
        <w:keepNext/>
        <w:keepLines/>
        <w:spacing w:after="40"/>
        <w:ind w:left="173"/>
      </w:pPr>
      <w:r>
        <w:rPr>
          <w:b/>
          <w:i w:val="0"/>
        </w:rPr>
        <w:t>D. The vignette does not indicate an acute psychiatric emergency.</w:t>
      </w:r>
    </w:p>
    <w:p>
      <w:pPr>
        <w:keepLines/>
        <w:spacing w:after="120"/>
        <w:ind w:left="173"/>
      </w:pPr>
      <w:r>
        <w:rPr>
          <w:b/>
          <w:i w:val="0"/>
          <w:color w:val="1F4E78"/>
        </w:rPr>
        <w:t xml:space="preserve">Exam Strategy: </w:t>
      </w:r>
      <w:r>
        <w:rPr>
          <w:b w:val="0"/>
          <w:i/>
        </w:rPr>
        <w:t>Validate the loss, assess functioning and risk, and support meaning and routines without pathologizing expected grief or ignoring impairment.</w:t>
      </w:r>
    </w:p>
    <w:p>
      <w:pPr>
        <w:pStyle w:val="Heading2"/>
        <w:keepNext/>
        <w:keepLines/>
        <w:spacing w:before="100" w:after="40"/>
      </w:pPr>
      <w:r>
        <w:rPr>
          <w:b/>
          <w:sz w:val="20"/>
        </w:rPr>
        <w:t>Question 6 (LMFT-WB09-Q006)</w:t>
      </w:r>
    </w:p>
    <w:p>
      <w:pPr>
        <w:keepNext/>
        <w:keepLines/>
      </w:pPr>
      <w:r>
        <w:rPr>
          <w:b/>
          <w:i w:val="0"/>
          <w:color w:val="0F7C82"/>
        </w:rPr>
        <w:t>Correct Answer: D</w:t>
      </w:r>
    </w:p>
    <w:p>
      <w:pPr>
        <w:keepNext/>
        <w:keepLines/>
        <w:spacing w:after="40"/>
        <w:ind w:left="173"/>
      </w:pPr>
      <w:r>
        <w:rPr>
          <w:b/>
          <w:i w:val="0"/>
        </w:rPr>
        <w:t>A. Communication may matter, but the caregiving context and available supports also require assessment.</w:t>
      </w:r>
    </w:p>
    <w:p>
      <w:pPr>
        <w:keepNext/>
        <w:keepLines/>
        <w:spacing w:after="40"/>
        <w:ind w:left="173"/>
      </w:pPr>
      <w:r>
        <w:rPr>
          <w:b/>
          <w:i w:val="0"/>
        </w:rPr>
        <w:t>B. The therapist should not prescribe a major placement decision without assessment and collaboration.</w:t>
      </w:r>
    </w:p>
    <w:p>
      <w:pPr>
        <w:keepNext/>
        <w:keepLines/>
        <w:spacing w:after="40"/>
        <w:ind w:left="173"/>
      </w:pPr>
      <w:r>
        <w:rPr>
          <w:b/>
          <w:i w:val="0"/>
        </w:rPr>
        <w:t>C. Avoidance is unlikely to resolve the burden or the couple pattern.</w:t>
      </w:r>
    </w:p>
    <w:p>
      <w:pPr>
        <w:keepNext/>
        <w:keepLines/>
        <w:spacing w:after="40"/>
        <w:ind w:left="173"/>
      </w:pPr>
      <w:r>
        <w:rPr>
          <w:b/>
          <w:i w:val="0"/>
        </w:rPr>
        <w:t>D. Correct. A systemic intervention considers burden, meaning, resources, roles, and the relational cycle.</w:t>
      </w:r>
    </w:p>
    <w:p>
      <w:pPr>
        <w:keepLines/>
        <w:spacing w:after="120"/>
        <w:ind w:left="173"/>
      </w:pPr>
      <w:r>
        <w:rPr>
          <w:b/>
          <w:i w:val="0"/>
          <w:color w:val="1F4E78"/>
        </w:rPr>
        <w:t xml:space="preserve">Exam Strategy: </w:t>
      </w:r>
      <w:r>
        <w:rPr>
          <w:b w:val="0"/>
          <w:i/>
        </w:rPr>
        <w:t>Treat caregiver strain as a systemic pattern involving burden, roles, support, respite, health, and relationship functioning.</w:t>
      </w:r>
    </w:p>
    <w:p>
      <w:pPr>
        <w:pStyle w:val="Heading2"/>
        <w:keepNext/>
        <w:keepLines/>
        <w:spacing w:before="100" w:after="40"/>
      </w:pPr>
      <w:r>
        <w:rPr>
          <w:b/>
          <w:sz w:val="20"/>
        </w:rPr>
        <w:t>Question 7 (LMFT-WB09-Q007)</w:t>
      </w:r>
    </w:p>
    <w:p>
      <w:pPr>
        <w:keepNext/>
        <w:keepLines/>
      </w:pPr>
      <w:r>
        <w:rPr>
          <w:b/>
          <w:i w:val="0"/>
          <w:color w:val="0F7C82"/>
        </w:rPr>
        <w:t>Correct Answer: A</w:t>
      </w:r>
    </w:p>
    <w:p>
      <w:pPr>
        <w:keepNext/>
        <w:keepLines/>
        <w:spacing w:after="40"/>
        <w:ind w:left="173"/>
      </w:pPr>
      <w:r>
        <w:rPr>
          <w:b/>
          <w:i w:val="0"/>
        </w:rPr>
        <w:t>A. Correct. Harm reduction addresses immediate risk while preserving engagement and opportunities for further change.</w:t>
      </w:r>
    </w:p>
    <w:p>
      <w:pPr>
        <w:keepNext/>
        <w:keepLines/>
        <w:spacing w:after="40"/>
        <w:ind w:left="173"/>
      </w:pPr>
      <w:r>
        <w:rPr>
          <w:b/>
          <w:i w:val="0"/>
        </w:rPr>
        <w:t>B. Declining one option does not eliminate the therapist's ability to reduce harm and continue engagement.</w:t>
      </w:r>
    </w:p>
    <w:p>
      <w:pPr>
        <w:keepNext/>
        <w:keepLines/>
        <w:spacing w:after="40"/>
        <w:ind w:left="173"/>
      </w:pPr>
      <w:r>
        <w:rPr>
          <w:b/>
          <w:i w:val="0"/>
        </w:rPr>
        <w:t>C. The therapist cannot guarantee confidentiality beyond legal and ethical limits.</w:t>
      </w:r>
    </w:p>
    <w:p>
      <w:pPr>
        <w:keepNext/>
        <w:keepLines/>
        <w:spacing w:after="40"/>
        <w:ind w:left="173"/>
      </w:pPr>
      <w:r>
        <w:rPr>
          <w:b/>
          <w:i w:val="0"/>
        </w:rPr>
        <w:t>D. Family control is not automatically indicated and may be coercive or unsafe.</w:t>
      </w:r>
    </w:p>
    <w:p>
      <w:pPr>
        <w:keepLines/>
        <w:spacing w:after="120"/>
        <w:ind w:left="173"/>
      </w:pPr>
      <w:r>
        <w:rPr>
          <w:b/>
          <w:i w:val="0"/>
          <w:color w:val="1F4E78"/>
        </w:rPr>
        <w:t xml:space="preserve">Exam Strategy: </w:t>
      </w:r>
      <w:r>
        <w:rPr>
          <w:b w:val="0"/>
          <w:i/>
        </w:rPr>
        <w:t>Reduce immediate risk and preserve engagement while continuing to assess readiness, safety, and treatment options.</w:t>
      </w:r>
    </w:p>
    <w:p>
      <w:pPr>
        <w:pStyle w:val="Heading2"/>
        <w:keepNext/>
        <w:keepLines/>
        <w:spacing w:before="100" w:after="40"/>
      </w:pPr>
      <w:r>
        <w:rPr>
          <w:b/>
          <w:sz w:val="20"/>
        </w:rPr>
        <w:t>Question 8 (LMFT-WB09-Q008)</w:t>
      </w:r>
    </w:p>
    <w:p>
      <w:pPr>
        <w:keepNext/>
        <w:keepLines/>
      </w:pPr>
      <w:r>
        <w:rPr>
          <w:b/>
          <w:i w:val="0"/>
          <w:color w:val="0F7C82"/>
        </w:rPr>
        <w:t>Correct Answer: B</w:t>
      </w:r>
    </w:p>
    <w:p>
      <w:pPr>
        <w:keepNext/>
        <w:keepLines/>
        <w:spacing w:after="40"/>
        <w:ind w:left="173"/>
      </w:pPr>
      <w:r>
        <w:rPr>
          <w:b/>
          <w:i w:val="0"/>
        </w:rPr>
        <w:t>A. Long abstract interpretation exceeds the child's demonstrated capacity.</w:t>
      </w:r>
    </w:p>
    <w:p>
      <w:pPr>
        <w:keepNext/>
        <w:keepLines/>
        <w:spacing w:after="40"/>
        <w:ind w:left="173"/>
      </w:pPr>
      <w:r>
        <w:rPr>
          <w:b/>
          <w:i w:val="0"/>
        </w:rPr>
        <w:t>B. Correct. Intervention should match developmental capacity and may use concrete, experiential, and caregiver-supported methods.</w:t>
      </w:r>
    </w:p>
    <w:p>
      <w:pPr>
        <w:keepNext/>
        <w:keepLines/>
        <w:spacing w:after="40"/>
        <w:ind w:left="173"/>
      </w:pPr>
      <w:r>
        <w:rPr>
          <w:b/>
          <w:i w:val="0"/>
        </w:rPr>
        <w:t>C. Adult worksheets are unlikely to fit the child's developmental level.</w:t>
      </w:r>
    </w:p>
    <w:p>
      <w:pPr>
        <w:keepNext/>
        <w:keepLines/>
        <w:spacing w:after="40"/>
        <w:ind w:left="173"/>
      </w:pPr>
      <w:r>
        <w:rPr>
          <w:b/>
          <w:i w:val="0"/>
        </w:rPr>
        <w:t>D. Caregiver involvement may be clinically important and should be considered rather than categorically excluded.</w:t>
      </w:r>
    </w:p>
    <w:p>
      <w:pPr>
        <w:keepLines/>
        <w:spacing w:after="120"/>
        <w:ind w:left="173"/>
      </w:pPr>
      <w:r>
        <w:rPr>
          <w:b/>
          <w:i w:val="0"/>
          <w:color w:val="1F4E78"/>
        </w:rPr>
        <w:t xml:space="preserve">Exam Strategy: </w:t>
      </w:r>
      <w:r>
        <w:rPr>
          <w:b w:val="0"/>
          <w:i/>
        </w:rPr>
        <w:t>Match language, pacing, caregiver involvement, and learning method to developmental capacity rather than using an adult-only format.</w:t>
      </w:r>
    </w:p>
    <w:p>
      <w:pPr>
        <w:pStyle w:val="Heading2"/>
        <w:keepNext/>
        <w:keepLines/>
        <w:spacing w:before="100" w:after="40"/>
      </w:pPr>
      <w:r>
        <w:rPr>
          <w:b/>
          <w:sz w:val="20"/>
        </w:rPr>
        <w:t>Question 9 (LMFT-WB09-Q009)</w:t>
      </w:r>
    </w:p>
    <w:p>
      <w:pPr>
        <w:keepNext/>
        <w:keepLines/>
      </w:pPr>
      <w:r>
        <w:rPr>
          <w:b/>
          <w:i w:val="0"/>
          <w:color w:val="0F7C82"/>
        </w:rPr>
        <w:t>Correct Answer: C</w:t>
      </w:r>
    </w:p>
    <w:p>
      <w:pPr>
        <w:keepNext/>
        <w:keepLines/>
        <w:spacing w:after="40"/>
        <w:ind w:left="173"/>
      </w:pPr>
      <w:r>
        <w:rPr>
          <w:b/>
          <w:i w:val="0"/>
        </w:rPr>
        <w:t>A. Cognitive work may be useful, but it does not directly target the structural pattern described.</w:t>
      </w:r>
    </w:p>
    <w:p>
      <w:pPr>
        <w:keepNext/>
        <w:keepLines/>
        <w:spacing w:after="40"/>
        <w:ind w:left="173"/>
      </w:pPr>
      <w:r>
        <w:rPr>
          <w:b/>
          <w:i w:val="0"/>
        </w:rPr>
        <w:t>B. This individualizes a problem maintained by a family interaction.</w:t>
      </w:r>
    </w:p>
    <w:p>
      <w:pPr>
        <w:keepNext/>
        <w:keepLines/>
        <w:spacing w:after="40"/>
        <w:ind w:left="173"/>
      </w:pPr>
      <w:r>
        <w:rPr>
          <w:b/>
          <w:i w:val="0"/>
        </w:rPr>
        <w:t>C. Correct. Structural work targets hierarchy, subsystems, and boundaries that organize the interaction.</w:t>
      </w:r>
    </w:p>
    <w:p>
      <w:pPr>
        <w:keepNext/>
        <w:keepLines/>
        <w:spacing w:after="40"/>
        <w:ind w:left="173"/>
      </w:pPr>
      <w:r>
        <w:rPr>
          <w:b/>
          <w:i w:val="0"/>
        </w:rPr>
        <w:t>D. Externalizing may reduce blame, but the primary structural issue is the weak parental boundary and triangulation.</w:t>
      </w:r>
    </w:p>
    <w:p>
      <w:pPr>
        <w:keepLines/>
        <w:spacing w:after="120"/>
        <w:ind w:left="173"/>
      </w:pPr>
      <w:r>
        <w:rPr>
          <w:b/>
          <w:i w:val="0"/>
          <w:color w:val="1F4E78"/>
        </w:rPr>
        <w:t xml:space="preserve">Exam Strategy: </w:t>
      </w:r>
      <w:r>
        <w:rPr>
          <w:b w:val="0"/>
          <w:i/>
        </w:rPr>
        <w:t>Select the model because its mechanism matches the maintaining relational pattern, not because the model is familiar or fashionable.</w:t>
      </w:r>
    </w:p>
    <w:p>
      <w:pPr>
        <w:pStyle w:val="Heading2"/>
        <w:keepNext/>
        <w:keepLines/>
        <w:spacing w:before="100" w:after="40"/>
      </w:pPr>
      <w:r>
        <w:rPr>
          <w:b/>
          <w:sz w:val="20"/>
        </w:rPr>
        <w:t>Question 10 (LMFT-WB09-Q010)</w:t>
      </w:r>
    </w:p>
    <w:p>
      <w:pPr>
        <w:keepNext/>
        <w:keepLines/>
      </w:pPr>
      <w:r>
        <w:rPr>
          <w:b/>
          <w:i w:val="0"/>
          <w:color w:val="0F7C82"/>
        </w:rPr>
        <w:t>Correct Answer: D</w:t>
      </w:r>
    </w:p>
    <w:p>
      <w:pPr>
        <w:keepNext/>
        <w:keepLines/>
        <w:spacing w:after="40"/>
        <w:ind w:left="173"/>
      </w:pPr>
      <w:r>
        <w:rPr>
          <w:b/>
          <w:i w:val="0"/>
        </w:rPr>
        <w:t>A. Compliance does not establish effectiveness or justify unexamined repetition.</w:t>
      </w:r>
    </w:p>
    <w:p>
      <w:pPr>
        <w:keepNext/>
        <w:keepLines/>
        <w:spacing w:after="40"/>
        <w:ind w:left="173"/>
      </w:pPr>
      <w:r>
        <w:rPr>
          <w:b/>
          <w:i w:val="0"/>
        </w:rPr>
        <w:t>B. Blaming motivation ignores possible mismatch or diagnostic complexity.</w:t>
      </w:r>
    </w:p>
    <w:p>
      <w:pPr>
        <w:keepNext/>
        <w:keepLines/>
        <w:spacing w:after="40"/>
        <w:ind w:left="173"/>
      </w:pPr>
      <w:r>
        <w:rPr>
          <w:b/>
          <w:i w:val="0"/>
        </w:rPr>
        <w:t>C. Technique accumulation without formulation can make treatment less coherent.</w:t>
      </w:r>
    </w:p>
    <w:p>
      <w:pPr>
        <w:keepNext/>
        <w:keepLines/>
        <w:spacing w:after="40"/>
        <w:ind w:left="173"/>
      </w:pPr>
      <w:r>
        <w:rPr>
          <w:b/>
          <w:i w:val="0"/>
        </w:rPr>
        <w:t>D. Correct. Lack of progress calls for reassessment of diagnosis, mechanism, implementation, and level of care.</w:t>
      </w:r>
    </w:p>
    <w:p>
      <w:pPr>
        <w:keepLines/>
        <w:spacing w:after="120"/>
        <w:ind w:left="173"/>
      </w:pPr>
      <w:r>
        <w:rPr>
          <w:b/>
          <w:i w:val="0"/>
          <w:color w:val="1F4E78"/>
        </w:rPr>
        <w:t xml:space="preserve">Exam Strategy: </w:t>
      </w:r>
      <w:r>
        <w:rPr>
          <w:b w:val="0"/>
          <w:i/>
        </w:rPr>
        <w:t>Reassess safety, formulation, alliance, implementation, culture, access, and treatment unit before adding unrelated techniques.</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applied reasoning</w:t>
            </w:r>
          </w:p>
        </w:tc>
        <w:tc>
          <w:tcPr>
            <w:tcW w:type="dxa" w:w="5328"/>
            <w:tcMar>
              <w:top w:w="100" w:type="dxa"/>
              <w:start w:w="120" w:type="dxa"/>
              <w:bottom w:w="100" w:type="dxa"/>
              <w:end w:w="120" w:type="dxa"/>
            </w:tcMar>
          </w:tcPr>
          <w:p>
            <w:pPr>
              <w:spacing w:after="0"/>
            </w:pPr>
            <w:r>
              <w:rPr>
                <w:sz w:val="18"/>
              </w:rPr>
              <w:t>Review low-confidence items and complete mixed vignettes that combine safety, fit, and response evaluation.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decision sequence and the tables for timing, client-system fit, and course correction.</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Important reasoning gaps</w:t>
            </w:r>
          </w:p>
        </w:tc>
        <w:tc>
          <w:tcPr>
            <w:tcW w:type="dxa" w:w="5328"/>
            <w:tcMar>
              <w:top w:w="100" w:type="dxa"/>
              <w:start w:w="120" w:type="dxa"/>
              <w:bottom w:w="100" w:type="dxa"/>
              <w:end w:w="120" w:type="dxa"/>
            </w:tcMar>
          </w:tcPr>
          <w:p>
            <w:pPr>
              <w:spacing w:after="0"/>
            </w:pPr>
            <w:r>
              <w:rPr>
                <w:sz w:val="18"/>
              </w:rPr>
              <w:t>Practice naming the target and explaining why the best response is safer, better timed, and more feasible.</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intervention or client-system function at a time, then complete a second untimed attempt.</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Review Checklist</w:t>
      </w:r>
    </w:p>
    <w:p>
      <w:pPr>
        <w:pStyle w:val="ListBullet"/>
      </w:pPr>
      <w:r>
        <w:t>Did I identify the immediate priority before selecting a method or service?</w:t>
      </w:r>
    </w:p>
    <w:p>
      <w:pPr>
        <w:pStyle w:val="ListBullet"/>
      </w:pPr>
      <w:r>
        <w:t>Did I identify the target or client-system problem the response is intended to change?</w:t>
      </w:r>
    </w:p>
    <w:p>
      <w:pPr>
        <w:pStyle w:val="ListBullet"/>
      </w:pPr>
      <w:r>
        <w:t>Did I connect individual symptoms with relevant relationship, caregiving, parenting, and environmental patterns without blaming the system?</w:t>
      </w:r>
    </w:p>
    <w:p>
      <w:pPr>
        <w:pStyle w:val="ListBullet"/>
      </w:pPr>
      <w:r>
        <w:t>Did I consider development, culture, language, disability, access, readiness, and informed preferences?</w:t>
      </w:r>
    </w:p>
    <w:p>
      <w:pPr>
        <w:pStyle w:val="ListBullet"/>
      </w:pPr>
      <w:r>
        <w:t>Did I choose individual, conjoint, family, group, or coordinated treatment deliberately and safely?</w:t>
      </w:r>
    </w:p>
    <w:p>
      <w:pPr>
        <w:pStyle w:val="ListBullet"/>
      </w:pPr>
      <w:r>
        <w:t>Did I remain within competence and coordinate consultation, referral, or a higher level of care when needed?</w:t>
      </w:r>
    </w:p>
    <w:p>
      <w:pPr>
        <w:pStyle w:val="ListBullet"/>
      </w:pPr>
      <w:r>
        <w:t>Did I define how progress, access, participation, or follow-through will be evaluated?</w:t>
      </w:r>
    </w:p>
    <w:p>
      <w:pPr>
        <w:pStyle w:val="Heading1"/>
        <w:keepNext/>
        <w:spacing w:before="100" w:after="40"/>
      </w:pPr>
      <w:r>
        <w:t>Sources and Currency Note</w:t>
      </w:r>
    </w:p>
    <w:p>
      <w:pPr>
        <w:pStyle w:val="ListBullet"/>
      </w:pPr>
      <w:r>
        <w:t>California Board of Behavioral Sciences. Licensed Marriage and Family Therapist Written Clinical Examination Outline (current official outline accessed July 24, 2026).</w:t>
      </w:r>
    </w:p>
    <w:p>
      <w:pPr>
        <w:pStyle w:val="ListBullet"/>
      </w:pPr>
      <w:r>
        <w:t>California Board of Behavioral Sciences. LMFT Clinical Examination resources and Clinical Exam Candidate Handbook (current official resources accessed July 24, 2026).</w:t>
      </w:r>
    </w:p>
    <w:p>
      <w:pPr>
        <w:pStyle w:val="ListBullet"/>
      </w:pPr>
      <w:r>
        <w:t>Pearson VUE. California Board of Behavioral Sciences examination resources, including the LMFT Written Clinical Examination Outline (updated June 8, 2026; accessed July 24, 2026).</w:t>
      </w:r>
    </w:p>
    <w:p>
      <w:pPr>
        <w:pStyle w:val="ListBullet"/>
      </w:pPr>
      <w:r>
        <w:t>Substance Abuse and Mental Health Services Administration. Trauma-Informed Approaches and Programs and Trauma-Informed Care in Behavioral Health Services (current federal resources accessed July 24, 2026).</w:t>
      </w:r>
    </w:p>
    <w:p>
      <w:pPr>
        <w:pStyle w:val="ListBullet"/>
      </w:pPr>
      <w:r>
        <w:t>Specialized trauma, eating-disorder, substance-use, medical, and recovery interventions require competence and may require consultation, referral, coordinated care, or a higher level of care. Exam specifications and professional guidance may change.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rPr>
              <w:rFonts w:ascii="Aptos" w:hAnsi="Aptos"/>
              <w:color w:val="6B7280"/>
              <w:sz w:val="16"/>
            </w:rPr>
            <w:t xml:space="preserve">Page </w:t>
          </w:r>
          <w:r>
            <w:rPr>
              <w:rFonts w:ascii="Aptos" w:hAnsi="Aptos"/>
              <w:color w:val="6B7280"/>
              <w:sz w:val="16"/>
            </w:rPr>
            <w:fldChar w:fldCharType="begin"/>
          </w:r>
          <w:r>
            <w:rPr>
              <w:rFonts w:ascii="Aptos" w:hAnsi="Aptos"/>
              <w:color w:val="6B7280"/>
              <w:sz w:val="16"/>
            </w:rPr>
            <w:instrText xml:space="preserve"> PAGE </w:instrText>
          </w:r>
          <w:r>
            <w:rPr>
              <w:rFonts w:ascii="Aptos" w:hAnsi="Aptos"/>
              <w:color w:val="6B7280"/>
              <w:sz w:val="16"/>
            </w:rPr>
            <w:fldChar w:fldCharType="separate"/>
          </w:r>
          <w:r>
            <w:rPr>
              <w:rFonts w:ascii="Aptos" w:hAnsi="Aptos"/>
              <w:color w:val="6B7280"/>
              <w:sz w:val="16"/>
            </w:rPr>
            <w:t>1</w:t>
          </w:r>
          <w:r>
            <w:rPr>
              <w:rFonts w:ascii="Aptos" w:hAnsi="Aptos"/>
              <w:color w:val="6B7280"/>
              <w:sz w:val="16"/>
            </w:rPr>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LMFT Workbook 9  |  Trauma, Psychological, Behavioral, and Recovery Interventions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9: Trauma, Psychological, Behavioral, and Recovery Interventions</dc:title>
  <dc:subject>LMFT Exam Preparation Program Student Workbook</dc:subject>
  <dc:creator>Clinical Training Academy</dc:creator>
  <cp:keywords>CTA, LMFT, exam preparation, Workbook 9</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