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1960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 Logo (Final)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60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Montserrat" w:hAnsi="Montserrat" w:eastAsia="Montserrat"/>
          <w:b/>
          <w:i w:val="0"/>
          <w:color w:val="172A50"/>
          <w:sz w:val="40"/>
        </w:rPr>
        <w:t>COURSE EVALUATION</w:t>
      </w:r>
    </w:p>
    <w:p>
      <w:pPr>
        <w:spacing w:after="40"/>
        <w:jc w:val="center"/>
      </w:pPr>
      <w:r>
        <w:rPr>
          <w:rFonts w:ascii="Montserrat" w:hAnsi="Montserrat" w:eastAsia="Montserrat"/>
          <w:b/>
          <w:i w:val="0"/>
          <w:color w:val="172A50"/>
          <w:sz w:val="24"/>
        </w:rPr>
        <w:t>California Law &amp; Ethics for Mental Health Professionals:</w:t>
      </w:r>
    </w:p>
    <w:p>
      <w:pPr>
        <w:spacing w:after="80"/>
        <w:jc w:val="center"/>
      </w:pPr>
      <w:r>
        <w:rPr>
          <w:rFonts w:ascii="Montserrat" w:hAnsi="Montserrat" w:eastAsia="Montserrat"/>
          <w:b/>
          <w:i w:val="0"/>
          <w:color w:val="172A50"/>
          <w:sz w:val="24"/>
        </w:rPr>
        <w:t>Navigating the Evolving Clinical Landscape</w:t>
      </w:r>
    </w:p>
    <w:p>
      <w:pPr>
        <w:spacing w:after="180"/>
        <w:jc w:val="center"/>
      </w:pPr>
      <w:r>
        <w:rPr>
          <w:rFonts w:ascii="Montserrat" w:hAnsi="Montserrat" w:eastAsia="Montserrat"/>
          <w:b/>
          <w:i w:val="0"/>
          <w:color w:val="18A6A1"/>
          <w:sz w:val="18"/>
        </w:rPr>
        <w:t>6.0 CE Hours  |  Asynchronous Distance Learning  |  Candice Fuimaono, MS, LMFT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10454"/>
            <w:shd w:fill="E8F6F5"/>
            <w:tcBorders>
              <w:top w:val="single" w:sz="8" w:color="18A6A1"/>
              <w:left w:val="single" w:sz="8" w:color="18A6A1"/>
              <w:bottom w:val="single" w:sz="8" w:color="18A6A1"/>
              <w:right w:val="single" w:sz="8" w:color="18A6A1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172A50"/>
                <w:sz w:val="18"/>
              </w:rPr>
              <w:t xml:space="preserve">Instructions: </w:t>
            </w:r>
            <w:r>
              <w:rPr>
                <w:rFonts w:ascii="Montserrat" w:hAnsi="Montserrat" w:eastAsia="Montserrat"/>
                <w:b w:val="0"/>
                <w:i w:val="0"/>
                <w:color w:val="1F2937"/>
                <w:sz w:val="18"/>
              </w:rPr>
              <w:t>Please complete all required rating items, answer the optional feedback questions, and sign the completion attestation. Select one response per statement.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10" w:space="4" w:color="18A6A1"/>
        </w:pBdr>
      </w:pPr>
      <w:r>
        <w:rPr>
          <w:rFonts w:ascii="Montserrat" w:hAnsi="Montserrat" w:eastAsia="Montserrat"/>
          <w:b/>
          <w:i w:val="0"/>
          <w:color w:val="172A50"/>
          <w:sz w:val="28"/>
        </w:rPr>
        <w:t xml:space="preserve">1. </w:t>
      </w:r>
      <w:r>
        <w:rPr>
          <w:rFonts w:ascii="Montserrat" w:hAnsi="Montserrat" w:eastAsia="Montserrat"/>
          <w:b/>
          <w:i w:val="0"/>
          <w:color w:val="172A50"/>
          <w:sz w:val="28"/>
        </w:rPr>
        <w:t>Course and Participant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848"/>
      </w:tblGrid>
      <w:tr>
        <w:trPr>
          <w:cantSplit/>
        </w:trPr>
        <w:tc>
          <w:tcPr>
            <w:tcW w:type="dxa" w:w="5227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r>
              <w:rPr>
                <w:rFonts w:ascii="Montserrat" w:hAnsi="Montserrat" w:eastAsia="Montserrat"/>
                <w:b/>
                <w:i w:val="0"/>
                <w:color w:val="172A50"/>
                <w:sz w:val="17"/>
              </w:rPr>
              <w:t>Course Title</w:t>
            </w:r>
          </w:p>
        </w:tc>
        <w:tc>
          <w:tcPr>
            <w:tcW w:type="dxa" w:w="522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r>
              <w:rPr>
                <w:rFonts w:ascii="Montserrat" w:hAnsi="Montserrat" w:eastAsia="Montserrat"/>
                <w:b w:val="0"/>
                <w:i w:val="0"/>
                <w:color w:val="1F2937"/>
                <w:sz w:val="17"/>
              </w:rPr>
              <w:t>California Law &amp; Ethics for Mental Health Professionals: Navigating the Evolving Clinical Landscape</w:t>
            </w:r>
          </w:p>
        </w:tc>
      </w:tr>
      <w:tr>
        <w:trPr>
          <w:cantSplit/>
        </w:trPr>
        <w:tc>
          <w:tcPr>
            <w:tcW w:type="dxa" w:w="5227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r>
              <w:rPr>
                <w:rFonts w:ascii="Montserrat" w:hAnsi="Montserrat" w:eastAsia="Montserrat"/>
                <w:b/>
                <w:i w:val="0"/>
                <w:color w:val="172A50"/>
                <w:sz w:val="17"/>
              </w:rPr>
              <w:t>CE Hours / Format</w:t>
            </w:r>
          </w:p>
        </w:tc>
        <w:tc>
          <w:tcPr>
            <w:tcW w:type="dxa" w:w="522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r>
              <w:rPr>
                <w:rFonts w:ascii="Montserrat" w:hAnsi="Montserrat" w:eastAsia="Montserrat"/>
                <w:b w:val="0"/>
                <w:i w:val="0"/>
                <w:color w:val="1F2937"/>
                <w:sz w:val="17"/>
              </w:rPr>
              <w:t>6.0 CE Hours (360 minutes) / Asynchronous Distance Learning</w:t>
            </w:r>
          </w:p>
        </w:tc>
      </w:tr>
      <w:tr>
        <w:trPr>
          <w:cantSplit/>
        </w:trPr>
        <w:tc>
          <w:tcPr>
            <w:tcW w:type="dxa" w:w="5227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r>
              <w:rPr>
                <w:rFonts w:ascii="Montserrat" w:hAnsi="Montserrat" w:eastAsia="Montserrat"/>
                <w:b/>
                <w:i w:val="0"/>
                <w:color w:val="172A50"/>
                <w:sz w:val="17"/>
              </w:rPr>
              <w:t>Presenter / Author</w:t>
            </w:r>
          </w:p>
        </w:tc>
        <w:tc>
          <w:tcPr>
            <w:tcW w:type="dxa" w:w="522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r>
              <w:rPr>
                <w:rFonts w:ascii="Montserrat" w:hAnsi="Montserrat" w:eastAsia="Montserrat"/>
                <w:b w:val="0"/>
                <w:i w:val="0"/>
                <w:color w:val="1F2937"/>
                <w:sz w:val="17"/>
              </w:rPr>
              <w:t>Candice Fuimaono, MS, LMFT</w:t>
            </w:r>
          </w:p>
        </w:tc>
      </w:tr>
      <w:tr>
        <w:trPr>
          <w:cantSplit/>
        </w:trPr>
        <w:tc>
          <w:tcPr>
            <w:tcW w:type="dxa" w:w="5227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r>
              <w:rPr>
                <w:rFonts w:ascii="Montserrat" w:hAnsi="Montserrat" w:eastAsia="Montserrat"/>
                <w:b/>
                <w:i w:val="0"/>
                <w:color w:val="172A50"/>
                <w:sz w:val="17"/>
              </w:rPr>
              <w:t>Participant Name</w:t>
            </w:r>
          </w:p>
        </w:tc>
        <w:tc>
          <w:tcPr>
            <w:tcW w:type="dxa" w:w="522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r>
              <w:rPr>
                <w:rFonts w:ascii="Montserrat" w:hAnsi="Montserrat" w:eastAsia="Montserrat"/>
                <w:b w:val="0"/>
                <w:i w:val="0"/>
                <w:color w:val="1F2937"/>
                <w:sz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27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r>
              <w:rPr>
                <w:rFonts w:ascii="Montserrat" w:hAnsi="Montserrat" w:eastAsia="Montserrat"/>
                <w:b/>
                <w:i w:val="0"/>
                <w:color w:val="172A50"/>
                <w:sz w:val="17"/>
              </w:rPr>
              <w:t>Email Address</w:t>
            </w:r>
          </w:p>
        </w:tc>
        <w:tc>
          <w:tcPr>
            <w:tcW w:type="dxa" w:w="522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r>
              <w:rPr>
                <w:rFonts w:ascii="Montserrat" w:hAnsi="Montserrat" w:eastAsia="Montserrat"/>
                <w:b w:val="0"/>
                <w:i w:val="0"/>
                <w:color w:val="1F2937"/>
                <w:sz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27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r>
              <w:rPr>
                <w:rFonts w:ascii="Montserrat" w:hAnsi="Montserrat" w:eastAsia="Montserrat"/>
                <w:b/>
                <w:i w:val="0"/>
                <w:color w:val="172A50"/>
                <w:sz w:val="17"/>
              </w:rPr>
              <w:t>Completion Date</w:t>
            </w:r>
          </w:p>
        </w:tc>
        <w:tc>
          <w:tcPr>
            <w:tcW w:type="dxa" w:w="522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r>
              <w:rPr>
                <w:rFonts w:ascii="Montserrat" w:hAnsi="Montserrat" w:eastAsia="Montserrat"/>
                <w:b w:val="0"/>
                <w:i w:val="0"/>
                <w:color w:val="1F2937"/>
                <w:sz w:val="17"/>
              </w:rPr>
              <w:t xml:space="preserve"> </w:t>
            </w:r>
          </w:p>
        </w:tc>
      </w:tr>
    </w:tbl>
    <w:p>
      <w:pPr>
        <w:spacing w:before="80" w:after="60"/>
      </w:pPr>
      <w:r>
        <w:rPr>
          <w:rFonts w:ascii="Montserrat" w:hAnsi="Montserrat" w:eastAsia="Montserrat"/>
          <w:b/>
          <w:i w:val="0"/>
          <w:color w:val="172A50"/>
          <w:sz w:val="17"/>
        </w:rPr>
        <w:t xml:space="preserve">License / Registration Type:  </w:t>
      </w:r>
      <w:r>
        <w:rPr>
          <w:rFonts w:ascii="Montserrat" w:hAnsi="Montserrat" w:eastAsia="Montserrat"/>
          <w:b w:val="0"/>
          <w:i w:val="0"/>
          <w:color w:val="1F2937"/>
          <w:sz w:val="17"/>
        </w:rPr>
        <w:t>☐ LMFT   ☐ LCSW   ☐ LPCC   ☐ LEP   ☐ Registered Associate   ☐ Other: ____________________</w:t>
      </w:r>
    </w:p>
    <w:p>
      <w:pPr>
        <w:spacing w:after="120"/>
      </w:pPr>
      <w:r>
        <w:rPr>
          <w:rFonts w:ascii="Montserrat" w:hAnsi="Montserrat" w:eastAsia="Montserrat"/>
          <w:b w:val="0"/>
          <w:i w:val="0"/>
          <w:color w:val="1F2937"/>
          <w:sz w:val="17"/>
        </w:rPr>
        <w:t>License / Registration Number (optional unless required for records):  ________________________________</w:t>
      </w:r>
    </w:p>
    <w:p>
      <w:pPr>
        <w:pStyle w:val="Heading1"/>
        <w:keepNext/>
        <w:pBdr>
          <w:bottom w:val="single" w:sz="10" w:space="4" w:color="18A6A1"/>
        </w:pBdr>
      </w:pPr>
      <w:r>
        <w:rPr>
          <w:rFonts w:ascii="Montserrat" w:hAnsi="Montserrat" w:eastAsia="Montserrat"/>
          <w:b/>
          <w:i w:val="0"/>
          <w:color w:val="172A50"/>
          <w:sz w:val="28"/>
        </w:rPr>
        <w:t xml:space="preserve">2. </w:t>
      </w:r>
      <w:r>
        <w:rPr>
          <w:rFonts w:ascii="Montserrat" w:hAnsi="Montserrat" w:eastAsia="Montserrat"/>
          <w:b/>
          <w:i w:val="0"/>
          <w:color w:val="172A50"/>
          <w:sz w:val="28"/>
        </w:rPr>
        <w:t>Rating Scale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cantSplit/>
        </w:trPr>
        <w:tc>
          <w:tcPr>
            <w:tcW w:type="dxa" w:w="1742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742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1742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1742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1742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1742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1742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5"/>
              </w:rPr>
              <w:t>Strongly</w:t>
              <w:br/>
              <w:t>Disagree</w:t>
            </w:r>
          </w:p>
        </w:tc>
        <w:tc>
          <w:tcPr>
            <w:tcW w:type="dxa" w:w="1742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5"/>
              </w:rPr>
              <w:t>Disagree</w:t>
            </w:r>
          </w:p>
        </w:tc>
        <w:tc>
          <w:tcPr>
            <w:tcW w:type="dxa" w:w="1742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5"/>
              </w:rPr>
              <w:t>Neutral</w:t>
            </w:r>
          </w:p>
        </w:tc>
        <w:tc>
          <w:tcPr>
            <w:tcW w:type="dxa" w:w="1742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5"/>
              </w:rPr>
              <w:t>Agree</w:t>
            </w:r>
          </w:p>
        </w:tc>
        <w:tc>
          <w:tcPr>
            <w:tcW w:type="dxa" w:w="1742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5"/>
              </w:rPr>
              <w:t>Strongly</w:t>
              <w:br/>
              <w:t>Agree</w:t>
            </w:r>
          </w:p>
        </w:tc>
        <w:tc>
          <w:tcPr>
            <w:tcW w:type="dxa" w:w="1742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5"/>
              </w:rPr>
              <w:t>Not</w:t>
              <w:br/>
              <w:t>Applicable</w:t>
            </w:r>
          </w:p>
        </w:tc>
      </w:tr>
    </w:tbl>
    <w:p>
      <w:pPr>
        <w:pStyle w:val="Heading1"/>
        <w:keepNext/>
        <w:pBdr>
          <w:bottom w:val="single" w:sz="10" w:space="4" w:color="18A6A1"/>
        </w:pBdr>
      </w:pPr>
      <w:r>
        <w:rPr>
          <w:rFonts w:ascii="Montserrat" w:hAnsi="Montserrat" w:eastAsia="Montserrat"/>
          <w:b/>
          <w:i w:val="0"/>
          <w:color w:val="172A50"/>
          <w:sz w:val="28"/>
        </w:rPr>
        <w:t xml:space="preserve">3. </w:t>
      </w:r>
      <w:r>
        <w:rPr>
          <w:rFonts w:ascii="Montserrat" w:hAnsi="Montserrat" w:eastAsia="Montserrat"/>
          <w:b/>
          <w:i w:val="0"/>
          <w:color w:val="172A50"/>
          <w:sz w:val="28"/>
        </w:rPr>
        <w:t>Achievement of Measurable Learning Objectives</w:t>
      </w:r>
    </w:p>
    <w:p>
      <w:pPr>
        <w:spacing w:after="80"/>
      </w:pPr>
      <w:r>
        <w:rPr>
          <w:rFonts w:ascii="Montserrat" w:hAnsi="Montserrat" w:eastAsia="Montserrat"/>
          <w:b w:val="0"/>
          <w:i/>
          <w:color w:val="667085"/>
          <w:sz w:val="17"/>
        </w:rPr>
        <w:t>Rate your ability to meet each objective as a result of completing this course.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37"/>
        <w:gridCol w:w="605"/>
        <w:gridCol w:w="605"/>
        <w:gridCol w:w="605"/>
        <w:gridCol w:w="605"/>
        <w:gridCol w:w="605"/>
        <w:gridCol w:w="605"/>
      </w:tblGrid>
      <w:tr>
        <w:trPr>
          <w:tblHeader w:val="true"/>
          <w:cantSplit/>
        </w:trPr>
        <w:tc>
          <w:tcPr>
            <w:tcW w:type="dxa" w:w="8237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Evaluation Statement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1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2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3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4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5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823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Identify four California legal, regulatory, or ethical sources that govern mental health practice and distinguish scope of practice from scope of competence.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8237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Prepare an informed-consent checklist that includes required fee, privacy, telehealth, digital-communication, and professional-boundary elements.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823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Distinguish confidentiality, psychotherapist-patient privilege, and lawful disclosure and select an appropriate response to a subpoena or request for records.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8237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Apply California minor-consent, parental-involvement, custody, and mandated-reporting standards to a clinical case example.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823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Apply California duty-to-protect, crisis-intervention, and documentation standards to a case involving suicide risk or a serious threat of violence.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8237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Prepare a record-management and practice-continuity plan that addresses client access, retention, security, practice closure, professional wills, and licensure or business-risk concerns.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pBdr>
          <w:bottom w:val="single" w:sz="10" w:space="4" w:color="18A6A1"/>
        </w:pBdr>
      </w:pPr>
      <w:r>
        <w:rPr>
          <w:rFonts w:ascii="Montserrat" w:hAnsi="Montserrat" w:eastAsia="Montserrat"/>
          <w:b/>
          <w:i w:val="0"/>
          <w:color w:val="172A50"/>
          <w:sz w:val="28"/>
        </w:rPr>
        <w:t xml:space="preserve">4. </w:t>
      </w:r>
      <w:r>
        <w:rPr>
          <w:rFonts w:ascii="Montserrat" w:hAnsi="Montserrat" w:eastAsia="Montserrat"/>
          <w:b/>
          <w:i w:val="0"/>
          <w:color w:val="172A50"/>
          <w:sz w:val="28"/>
        </w:rPr>
        <w:t>Course Content and Instructional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37"/>
        <w:gridCol w:w="605"/>
        <w:gridCol w:w="605"/>
        <w:gridCol w:w="605"/>
        <w:gridCol w:w="605"/>
        <w:gridCol w:w="605"/>
        <w:gridCol w:w="605"/>
      </w:tblGrid>
      <w:tr>
        <w:trPr>
          <w:tblHeader w:val="true"/>
          <w:cantSplit/>
        </w:trPr>
        <w:tc>
          <w:tcPr>
            <w:tcW w:type="dxa" w:w="8237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Evaluation Statement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1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2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3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4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5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823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The course content was appropriate to my education, experience, and licensure or registration level.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8237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The course content was relevant to my professional practice.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823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The presentation and applied-learning activities supported my learning.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8237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The instructional materials and downloadable resources were suitable and useful.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823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The information presented was current and accurate.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8237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The course was organized logically and the modules progressed in a clear sequence.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823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The knowledge checks and answer explanations reinforced important concepts.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8237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The final examination reflected the content and objectives taught in the course.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10" w:space="4" w:color="18A6A1"/>
        </w:pBdr>
      </w:pPr>
      <w:r>
        <w:rPr>
          <w:rFonts w:ascii="Montserrat" w:hAnsi="Montserrat" w:eastAsia="Montserrat"/>
          <w:b/>
          <w:i w:val="0"/>
          <w:color w:val="172A50"/>
          <w:sz w:val="28"/>
        </w:rPr>
        <w:t xml:space="preserve">5. </w:t>
      </w:r>
      <w:r>
        <w:rPr>
          <w:rFonts w:ascii="Montserrat" w:hAnsi="Montserrat" w:eastAsia="Montserrat"/>
          <w:b/>
          <w:i w:val="0"/>
          <w:color w:val="172A50"/>
          <w:sz w:val="28"/>
        </w:rPr>
        <w:t>Presenter / Author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37"/>
        <w:gridCol w:w="605"/>
        <w:gridCol w:w="605"/>
        <w:gridCol w:w="605"/>
        <w:gridCol w:w="605"/>
        <w:gridCol w:w="605"/>
        <w:gridCol w:w="605"/>
      </w:tblGrid>
      <w:tr>
        <w:trPr>
          <w:tblHeader w:val="true"/>
          <w:cantSplit/>
        </w:trPr>
        <w:tc>
          <w:tcPr>
            <w:tcW w:type="dxa" w:w="8237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Evaluation Statement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1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2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3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4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5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823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The presenter demonstrated knowledge of the subject matter.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8237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The presenter communicated the material clearly.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823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The presenter used practical examples that supported professional application.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8237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The presenter was responsive to participant questions or needs, when applicable.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10" w:space="4" w:color="18A6A1"/>
        </w:pBdr>
      </w:pPr>
      <w:r>
        <w:rPr>
          <w:rFonts w:ascii="Montserrat" w:hAnsi="Montserrat" w:eastAsia="Montserrat"/>
          <w:b/>
          <w:i w:val="0"/>
          <w:color w:val="172A50"/>
          <w:sz w:val="28"/>
        </w:rPr>
        <w:t xml:space="preserve">6. </w:t>
      </w:r>
      <w:r>
        <w:rPr>
          <w:rFonts w:ascii="Montserrat" w:hAnsi="Montserrat" w:eastAsia="Montserrat"/>
          <w:b/>
          <w:i w:val="0"/>
          <w:color w:val="172A50"/>
          <w:sz w:val="28"/>
        </w:rPr>
        <w:t>Administration and Distance-Learning Technology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37"/>
        <w:gridCol w:w="605"/>
        <w:gridCol w:w="605"/>
        <w:gridCol w:w="605"/>
        <w:gridCol w:w="605"/>
        <w:gridCol w:w="605"/>
        <w:gridCol w:w="605"/>
      </w:tblGrid>
      <w:tr>
        <w:trPr>
          <w:tblHeader w:val="true"/>
          <w:cantSplit/>
        </w:trPr>
        <w:tc>
          <w:tcPr>
            <w:tcW w:type="dxa" w:w="8237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Evaluation Statement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1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2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3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4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5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823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Course registration, access, and administration were organized and clear.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8237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The location and facilities supported learning, when applicable.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823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Technology support was adequate and timely, when needed.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8237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The course technology contributed positively to my learning.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823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The course platform and navigation were user-friendly.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8237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Videos, slides, links, and downloadable materials functioned as expected.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10" w:space="4" w:color="18A6A1"/>
        </w:pBdr>
      </w:pPr>
      <w:r>
        <w:rPr>
          <w:rFonts w:ascii="Montserrat" w:hAnsi="Montserrat" w:eastAsia="Montserrat"/>
          <w:b/>
          <w:i w:val="0"/>
          <w:color w:val="172A50"/>
          <w:sz w:val="28"/>
        </w:rPr>
        <w:t xml:space="preserve">7. </w:t>
      </w:r>
      <w:r>
        <w:rPr>
          <w:rFonts w:ascii="Montserrat" w:hAnsi="Montserrat" w:eastAsia="Montserrat"/>
          <w:b/>
          <w:i w:val="0"/>
          <w:color w:val="172A50"/>
          <w:sz w:val="28"/>
        </w:rPr>
        <w:t>Overall Evaluation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37"/>
        <w:gridCol w:w="605"/>
        <w:gridCol w:w="605"/>
        <w:gridCol w:w="605"/>
        <w:gridCol w:w="605"/>
        <w:gridCol w:w="605"/>
        <w:gridCol w:w="605"/>
      </w:tblGrid>
      <w:tr>
        <w:trPr>
          <w:tblHeader w:val="true"/>
          <w:cantSplit/>
        </w:trPr>
        <w:tc>
          <w:tcPr>
            <w:tcW w:type="dxa" w:w="8237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Evaluation Statement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1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2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3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4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5</w:t>
            </w:r>
          </w:p>
        </w:tc>
        <w:tc>
          <w:tcPr>
            <w:tcW w:type="dxa" w:w="605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823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The course met its stated educational goals.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8237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I gained knowledge or skills that I can apply in professional practice.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823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The course strengthened my legal and ethical decision-making.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8237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Overall, I was satisfied with this continuing education course.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2F4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823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1F2937"/>
                <w:sz w:val="16"/>
              </w:rPr>
              <w:t>I would recommend this course to other mental health professionals.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  <w:tc>
          <w:tcPr>
            <w:tcW w:type="dxa" w:w="60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pPr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172A50"/>
                <w:sz w:val="22"/>
              </w:rPr>
              <w:t>☐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pBdr>
          <w:bottom w:val="single" w:sz="10" w:space="4" w:color="18A6A1"/>
        </w:pBdr>
      </w:pPr>
      <w:r>
        <w:rPr>
          <w:rFonts w:ascii="Montserrat" w:hAnsi="Montserrat" w:eastAsia="Montserrat"/>
          <w:b/>
          <w:i w:val="0"/>
          <w:color w:val="172A50"/>
          <w:sz w:val="28"/>
        </w:rPr>
        <w:t xml:space="preserve">8. </w:t>
      </w:r>
      <w:r>
        <w:rPr>
          <w:rFonts w:ascii="Montserrat" w:hAnsi="Montserrat" w:eastAsia="Montserrat"/>
          <w:b/>
          <w:i w:val="0"/>
          <w:color w:val="172A50"/>
          <w:sz w:val="28"/>
        </w:rPr>
        <w:t>Optional Qualitative Feedback</w:t>
      </w:r>
    </w:p>
    <w:p>
      <w:pPr>
        <w:spacing w:before="80" w:after="40"/>
      </w:pPr>
      <w:r>
        <w:rPr>
          <w:rFonts w:ascii="Montserrat" w:hAnsi="Montserrat" w:eastAsia="Montserrat"/>
          <w:b/>
          <w:i w:val="0"/>
          <w:color w:val="172A50"/>
          <w:sz w:val="18"/>
        </w:rPr>
        <w:t>What was the most valuable aspect of this course?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rPr>
          <w:cantSplit/>
        </w:trPr>
        <w:tc>
          <w:tcPr>
            <w:tcW w:type="dxa" w:w="10454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  <w:vAlign w:val="center"/>
          </w:tcPr>
          <w:p>
            <w:r>
              <w:br/>
              <w:br/>
            </w:r>
          </w:p>
        </w:tc>
      </w:tr>
    </w:tbl>
    <w:p>
      <w:pPr>
        <w:spacing w:before="80" w:after="40"/>
      </w:pPr>
      <w:r>
        <w:rPr>
          <w:rFonts w:ascii="Montserrat" w:hAnsi="Montserrat" w:eastAsia="Montserrat"/>
          <w:b/>
          <w:i w:val="0"/>
          <w:color w:val="172A50"/>
          <w:sz w:val="18"/>
        </w:rPr>
        <w:t>How do you plan to apply what you learned in your professional practice?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rPr>
          <w:cantSplit/>
        </w:trPr>
        <w:tc>
          <w:tcPr>
            <w:tcW w:type="dxa" w:w="10454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  <w:vAlign w:val="center"/>
          </w:tcPr>
          <w:p>
            <w:r>
              <w:br/>
              <w:br/>
            </w:r>
          </w:p>
        </w:tc>
      </w:tr>
    </w:tbl>
    <w:p>
      <w:pPr>
        <w:spacing w:before="80" w:after="40"/>
      </w:pPr>
      <w:r>
        <w:rPr>
          <w:rFonts w:ascii="Montserrat" w:hAnsi="Montserrat" w:eastAsia="Montserrat"/>
          <w:b/>
          <w:i w:val="0"/>
          <w:color w:val="172A50"/>
          <w:sz w:val="18"/>
        </w:rPr>
        <w:t>What content, activity, or resource could be improved?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rPr>
          <w:cantSplit/>
        </w:trPr>
        <w:tc>
          <w:tcPr>
            <w:tcW w:type="dxa" w:w="10454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  <w:vAlign w:val="center"/>
          </w:tcPr>
          <w:p>
            <w:r>
              <w:br/>
              <w:br/>
            </w:r>
          </w:p>
        </w:tc>
      </w:tr>
    </w:tbl>
    <w:p>
      <w:pPr>
        <w:spacing w:before="80" w:after="40"/>
      </w:pPr>
      <w:r>
        <w:rPr>
          <w:rFonts w:ascii="Montserrat" w:hAnsi="Montserrat" w:eastAsia="Montserrat"/>
          <w:b/>
          <w:i w:val="0"/>
          <w:color w:val="172A50"/>
          <w:sz w:val="18"/>
        </w:rPr>
        <w:t>What additional topics would you like CTA to offer in future continuing education courses?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rPr>
          <w:cantSplit/>
        </w:trPr>
        <w:tc>
          <w:tcPr>
            <w:tcW w:type="dxa" w:w="10454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  <w:vAlign w:val="center"/>
          </w:tcPr>
          <w:p>
            <w:r>
              <w:br/>
              <w:br/>
            </w:r>
          </w:p>
        </w:tc>
      </w:tr>
    </w:tbl>
    <w:p>
      <w:pPr>
        <w:spacing w:before="80" w:after="40"/>
      </w:pPr>
      <w:r>
        <w:rPr>
          <w:rFonts w:ascii="Montserrat" w:hAnsi="Montserrat" w:eastAsia="Montserrat"/>
          <w:b/>
          <w:i w:val="0"/>
          <w:color w:val="172A50"/>
          <w:sz w:val="18"/>
        </w:rPr>
        <w:t>Did you experience any technical, accessibility, or navigation concerns?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rPr>
          <w:cantSplit/>
        </w:trPr>
        <w:tc>
          <w:tcPr>
            <w:tcW w:type="dxa" w:w="10454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  <w:vAlign w:val="center"/>
          </w:tcPr>
          <w:p>
            <w:r>
              <w:br/>
              <w:br/>
            </w:r>
          </w:p>
        </w:tc>
      </w:tr>
    </w:tbl>
    <w:p>
      <w:pPr>
        <w:spacing w:before="80" w:after="40"/>
      </w:pPr>
      <w:r>
        <w:rPr>
          <w:rFonts w:ascii="Montserrat" w:hAnsi="Montserrat" w:eastAsia="Montserrat"/>
          <w:b/>
          <w:i w:val="0"/>
          <w:color w:val="172A50"/>
          <w:sz w:val="18"/>
        </w:rPr>
        <w:t>Additional comments: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rPr>
          <w:cantSplit/>
        </w:trPr>
        <w:tc>
          <w:tcPr>
            <w:tcW w:type="dxa" w:w="10454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  <w:vAlign w:val="center"/>
          </w:tcPr>
          <w:p>
            <w:r>
              <w:br/>
              <w:br/>
            </w:r>
          </w:p>
        </w:tc>
      </w:tr>
    </w:tbl>
    <w:p>
      <w:pPr>
        <w:pStyle w:val="Heading1"/>
        <w:keepNext/>
        <w:pBdr>
          <w:bottom w:val="single" w:sz="10" w:space="4" w:color="18A6A1"/>
        </w:pBdr>
      </w:pPr>
      <w:r>
        <w:rPr>
          <w:rFonts w:ascii="Montserrat" w:hAnsi="Montserrat" w:eastAsia="Montserrat"/>
          <w:b/>
          <w:i w:val="0"/>
          <w:color w:val="172A50"/>
          <w:sz w:val="28"/>
        </w:rPr>
        <w:t xml:space="preserve">9. </w:t>
      </w:r>
      <w:r>
        <w:rPr>
          <w:rFonts w:ascii="Montserrat" w:hAnsi="Montserrat" w:eastAsia="Montserrat"/>
          <w:b/>
          <w:i w:val="0"/>
          <w:color w:val="172A50"/>
          <w:sz w:val="28"/>
        </w:rPr>
        <w:t>Required Course-Completion Attestation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10454"/>
            <w:shd w:fill="E8F6F5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0" w:color="18A6A1"/>
              <w:left w:val="single" w:sz="10" w:color="18A6A1"/>
              <w:bottom w:val="single" w:sz="10" w:color="18A6A1"/>
              <w:right w:val="single" w:sz="10" w:color="18A6A1"/>
            </w:tcBorders>
          </w:tcPr>
          <w:p>
            <w:r>
              <w:rPr>
                <w:rFonts w:ascii="Montserrat" w:hAnsi="Montserrat" w:eastAsia="Montserrat"/>
                <w:b w:val="0"/>
                <w:i w:val="0"/>
                <w:color w:val="1F2937"/>
                <w:sz w:val="18"/>
              </w:rPr>
              <w:t>☐  I attest that I personally completed the required instructional modules and embedded learning activities for this 6.0-hour asynchronous course. I understand that the CE certificate is issued only after all course requirements, including the final examination, course evaluation, and this attestation, are completed.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384"/>
      </w:tblGrid>
      <w:tr>
        <w:trPr>
          <w:cantSplit/>
        </w:trPr>
        <w:tc>
          <w:tcPr>
            <w:tcW w:type="dxa" w:w="5227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Participant Signature / Typed Name</w:t>
            </w:r>
          </w:p>
        </w:tc>
        <w:tc>
          <w:tcPr>
            <w:tcW w:type="dxa" w:w="5227"/>
            <w:shd w:fill="172A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Date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r>
              <w:rPr>
                <w:rFonts w:ascii="Montserrat" w:hAnsi="Montserrat" w:eastAsia="Montserrat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522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AAB2BD"/>
              <w:left w:val="single" w:sz="5" w:color="AAB2BD"/>
              <w:bottom w:val="single" w:sz="5" w:color="AAB2BD"/>
              <w:right w:val="single" w:sz="5" w:color="AAB2BD"/>
            </w:tcBorders>
          </w:tcPr>
          <w:p>
            <w:r>
              <w:rPr>
                <w:rFonts w:ascii="Montserrat" w:hAnsi="Montserrat" w:eastAsia="Montserrat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before="160" w:after="0"/>
        <w:jc w:val="center"/>
      </w:pPr>
      <w:r>
        <w:rPr>
          <w:rFonts w:ascii="Montserrat" w:hAnsi="Montserrat" w:eastAsia="Montserrat"/>
          <w:b w:val="0"/>
          <w:i/>
          <w:color w:val="667085"/>
          <w:sz w:val="17"/>
        </w:rPr>
        <w:t>Thank you for helping Clinical Training &amp; Supervision Academy improve its continuing education programs.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893" w:bottom="792" w:left="893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ontserrat" w:hAnsi="Montserrat" w:eastAsia="Montserrat"/>
        <w:b w:val="0"/>
        <w:i w:val="0"/>
        <w:color w:val="667085"/>
        <w:sz w:val="15"/>
      </w:rPr>
      <w:t xml:space="preserve">Clinical Training &amp; Supervision Academy  |  California Law &amp; Ethics Course Evaluation  |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ontserrat" w:hAnsi="Montserrat" w:eastAsia="Montserrat"/>
        <w:b/>
        <w:i w:val="0"/>
        <w:color w:val="667085"/>
        <w:sz w:val="15"/>
      </w:rPr>
      <w:t>COURSE EVALUATION  |  VERSION 1.0  |  JULY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 w:eastAsia="Montserrat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80"/>
      <w:outlineLvl w:val="0"/>
    </w:pPr>
    <w:rPr>
      <w:rFonts w:asciiTheme="majorHAnsi" w:eastAsiaTheme="majorEastAsia" w:hAnsiTheme="majorHAnsi" w:cstheme="majorBidi" w:ascii="Montserrat" w:hAnsi="Montserrat" w:eastAsia="Montserrat"/>
      <w:b/>
      <w:bCs/>
      <w:color w:val="172A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Montserrat" w:hAnsi="Montserrat" w:eastAsia="Montserrat"/>
      <w:b/>
      <w:bCs/>
      <w:color w:val="18A6A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00"/>
      <w:contextualSpacing/>
    </w:pPr>
    <w:rPr>
      <w:rFonts w:asciiTheme="majorHAnsi" w:eastAsiaTheme="majorEastAsia" w:hAnsiTheme="majorHAnsi" w:cstheme="majorBidi" w:ascii="Montserrat" w:hAnsi="Montserrat" w:eastAsia="Montserrat"/>
      <w:b/>
      <w:color w:val="172A5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ASmall">
    <w:name w:val="CTA Small"/>
    <w:pPr>
      <w:spacing w:after="20"/>
    </w:pPr>
    <w:rPr>
      <w:rFonts w:ascii="Montserrat" w:hAnsi="Montserrat" w:eastAsia="Montserrat"/>
      <w:color w:val="66708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California Law &amp; Ethics Course Evaluation</dc:title>
  <dc:subject>Course-specific evaluation for 6.0 CE hours</dc:subject>
  <dc:creator>Clinical Training &amp; Supervision Academy</dc:creator>
  <cp:keywords/>
  <dc:description>Version 1.0 | July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