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5897880" cy="1960647"/>
            <wp:docPr id="1" name="Picture 1"/>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897880" cy="1960647"/>
                    </a:xfrm>
                    <a:prstGeom prst="rect"/>
                  </pic:spPr>
                </pic:pic>
              </a:graphicData>
            </a:graphic>
          </wp:inline>
        </w:drawing>
      </w:r>
    </w:p>
    <w:p>
      <w:pPr>
        <w:spacing w:after="40" w:before="0" w:line="240" w:lineRule="auto"/>
        <w:jc w:val="center"/>
      </w:pPr>
      <w:r>
        <w:rPr>
          <w:rFonts w:ascii="Montserrat" w:hAnsi="Montserrat" w:eastAsia="Montserrat"/>
          <w:b/>
          <w:i w:val="0"/>
          <w:color w:val="18A6A1"/>
          <w:sz w:val="22"/>
        </w:rPr>
        <w:t>CALIFORNIA LAW &amp; ETHICS</w:t>
      </w:r>
    </w:p>
    <w:p>
      <w:pPr>
        <w:spacing w:after="100" w:before="0" w:line="240" w:lineRule="auto"/>
        <w:jc w:val="center"/>
      </w:pPr>
      <w:r>
        <w:rPr>
          <w:rFonts w:ascii="Montserrat" w:hAnsi="Montserrat" w:eastAsia="Montserrat"/>
          <w:b/>
          <w:i w:val="0"/>
          <w:color w:val="172A50"/>
          <w:sz w:val="40"/>
        </w:rPr>
        <w:t>LMS, WEBSITE &amp; CERTIFICATE METADATA</w:t>
      </w:r>
    </w:p>
    <w:p>
      <w:pPr>
        <w:spacing w:after="40" w:before="0" w:line="240" w:lineRule="auto"/>
        <w:jc w:val="center"/>
      </w:pPr>
      <w:r>
        <w:rPr>
          <w:rFonts w:ascii="Montserrat" w:hAnsi="Montserrat" w:eastAsia="Montserrat"/>
          <w:b/>
          <w:i w:val="0"/>
          <w:color w:val="172A50"/>
          <w:sz w:val="21"/>
        </w:rPr>
        <w:t>California Law &amp; Ethics for Mental Health Professionals:</w:t>
      </w:r>
    </w:p>
    <w:p>
      <w:pPr>
        <w:spacing w:after="120" w:before="0" w:line="240" w:lineRule="auto"/>
        <w:jc w:val="center"/>
      </w:pPr>
      <w:r>
        <w:rPr>
          <w:rFonts w:ascii="Montserrat" w:hAnsi="Montserrat" w:eastAsia="Montserrat"/>
          <w:b/>
          <w:i w:val="0"/>
          <w:color w:val="172A50"/>
          <w:sz w:val="21"/>
        </w:rPr>
        <w:t>Navigating the Evolving Clinical Landscape</w:t>
      </w:r>
    </w:p>
    <w:p>
      <w:pPr>
        <w:spacing w:after="40" w:before="0" w:line="240" w:lineRule="auto"/>
        <w:jc w:val="center"/>
      </w:pPr>
      <w:r>
        <w:rPr>
          <w:rFonts w:ascii="Montserrat" w:hAnsi="Montserrat" w:eastAsia="Montserrat"/>
          <w:b/>
          <w:i w:val="0"/>
          <w:color w:val="18A6A1"/>
          <w:sz w:val="17"/>
        </w:rPr>
        <w:t>6.0 CE Hours  |  Core Tier Course  |  Asynchronous Distance Learning</w:t>
      </w:r>
    </w:p>
    <w:tbl>
      <w:tblPr>
        <w:tblW w:type="dxa" w:w="10368"/>
        <w:jc w:val="center"/>
        <w:tblLayout w:type="fixed"/>
        <w:tblLook w:firstColumn="1" w:firstRow="1" w:lastColumn="0" w:lastRow="0" w:noHBand="0" w:noVBand="1" w:val="04A0"/>
        <w:tblInd w:w="0" w:type="dxa"/>
      </w:tblPr>
      <w:tblGrid>
        <w:gridCol w:w="10368"/>
      </w:tblGrid>
      <w:tr>
        <w:trPr>
          <w:tblHeader w:val="true"/>
        </w:trPr>
        <w:tc>
          <w:tcPr>
            <w:tcW w:type="dxa" w:w="10368"/>
            <w:shd w:fill="EEF3FA"/>
            <w:tcBorders>
              <w:top w:val="single" w:sz="8" w:color="172A50"/>
              <w:left w:val="single" w:sz="8" w:color="172A50"/>
              <w:bottom w:val="single" w:sz="8" w:color="172A50"/>
              <w:right w:val="single" w:sz="8" w:color="172A50"/>
            </w:tcBorders>
            <w:tcMar>
              <w:top w:w="50" w:type="dxa"/>
              <w:start w:w="80" w:type="dxa"/>
              <w:bottom w:w="50" w:type="dxa"/>
              <w:end w:w="80" w:type="dxa"/>
            </w:tcMar>
            <w:vAlign w:val="center"/>
          </w:tcPr>
          <w:p>
            <w:pPr>
              <w:spacing w:before="0" w:after="0" w:line="240" w:lineRule="auto"/>
              <w:ind w:left="0" w:right="0" w:firstLine="0"/>
              <w:jc w:val="left"/>
            </w:pPr>
            <w:r>
              <w:rPr>
                <w:rFonts w:ascii="Montserrat" w:hAnsi="Montserrat"/>
                <w:b/>
                <w:sz w:val="18"/>
              </w:rPr>
            </w:r>
            <w:r>
              <w:rPr>
                <w:rFonts w:ascii="Montserrat" w:hAnsi="Montserrat"/>
                <w:b/>
                <w:sz w:val="18"/>
              </w:rPr>
              <w:t>DOCUMENT PURPOSE</w:t>
            </w:r>
            <w:r>
              <w:rPr>
                <w:rFonts w:ascii="Montserrat" w:hAnsi="Montserrat"/>
                <w:b/>
                <w:sz w:val="18"/>
              </w:rPr>
              <w:br/>
            </w:r>
            <w:r>
              <w:rPr>
                <w:rFonts w:ascii="Montserrat" w:hAnsi="Montserrat"/>
                <w:b/>
                <w:sz w:val="18"/>
              </w:rPr>
              <w:t>This controlled field map provides the approved course identity, website/public-page copy, LMS listing and completion settings, course-image status, and certificate metadata needed to synchronize learner-facing and administrative systems.</w:t>
            </w:r>
          </w:p>
        </w:tc>
      </w:tr>
    </w:tbl>
    <w:p>
      <w:pPr>
        <w:spacing w:after="0"/>
      </w:pPr>
    </w:p>
    <w:p>
      <w:pPr>
        <w:spacing w:before="200" w:after="40" w:line="240" w:lineRule="auto"/>
        <w:jc w:val="center"/>
      </w:pPr>
      <w:r>
        <w:rPr>
          <w:rFonts w:ascii="Montserrat" w:hAnsi="Montserrat" w:eastAsia="Montserrat"/>
          <w:b/>
          <w:i w:val="0"/>
          <w:color w:val="667085"/>
          <w:sz w:val="18"/>
        </w:rPr>
        <w:t>Version 1.2  |  August 2026  |  Publication status: Under Review</w:t>
      </w:r>
    </w:p>
    <w:p>
      <w:r>
        <w:br w:type="page"/>
      </w:r>
    </w:p>
    <w:p>
      <w:pPr>
        <w:keepNext/>
        <w:pBdr>
          <w:bottom w:val="single" w:sz="10" w:space="4" w:color="18A6A1"/>
        </w:pBdr>
        <w:spacing w:before="100" w:after="120" w:line="240" w:lineRule="auto"/>
      </w:pPr>
      <w:r>
        <w:rPr>
          <w:rFonts w:ascii="Montserrat" w:hAnsi="Montserrat" w:eastAsia="Montserrat"/>
          <w:b/>
          <w:i w:val="0"/>
          <w:color w:val="172A50"/>
          <w:sz w:val="29"/>
        </w:rPr>
        <w:t xml:space="preserve">1. </w:t>
      </w:r>
      <w:r>
        <w:rPr>
          <w:rFonts w:ascii="Montserrat" w:hAnsi="Montserrat" w:eastAsia="Montserrat"/>
          <w:b/>
          <w:i w:val="0"/>
          <w:color w:val="172A50"/>
          <w:sz w:val="29"/>
        </w:rPr>
        <w:t>Document Control and Source Status</w:t>
      </w:r>
    </w:p>
    <w:tbl>
      <w:tblPr>
        <w:tblW w:type="dxa" w:w="10367"/>
        <w:jc w:val="center"/>
        <w:tblLayout w:type="fixed"/>
        <w:tblLook w:firstColumn="1" w:firstRow="1" w:lastColumn="0" w:lastRow="0" w:noHBand="0" w:noVBand="1" w:val="04A0"/>
        <w:tblInd w:w="0" w:type="dxa"/>
      </w:tblPr>
      <w:tblGrid>
        <w:gridCol w:w="3096"/>
        <w:gridCol w:w="7272"/>
      </w:tblGrid>
      <w:tr>
        <w:trPr>
          <w:tblHeader w:val="true"/>
          <w:cantSplit/>
        </w:trPr>
        <w:tc>
          <w:tcPr>
            <w:tcW w:type="dxa" w:w="3096"/>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8"/>
              </w:rPr>
              <w:t>Field</w:t>
            </w:r>
          </w:p>
        </w:tc>
        <w:tc>
          <w:tcPr>
            <w:tcW w:type="dxa" w:w="7272"/>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8"/>
              </w:rPr>
              <w:t>Controlled Entry</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Formal course title</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California Law &amp; Ethics for Mental Health Professionals: Navigating the Evolving Clinical Landscape</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Website/LMS display title</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California Law &amp; Ethics for Mental Health Professionals</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CE designation</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6.0 CE Hours (360 minutes of active instruction; actual recorded media runtime 6:01:37)</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Instructional method</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Asynchronous Distance Learning</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Course level / classification</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Introductory to Intermediate | Core Tier Course</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Target audience</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LMFTs, LCSWs, LPCCs, LEPs, and Registered Associates</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Presenter / author</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Candice Fuimaono, MS, LMFT</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Current price</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$79</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Course code</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CTA-CE-001</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Access period</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TO BE CONFIRMED BY CTA BEFORE PUBLICATION</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Course image status</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Approved image previously supplied to David and already implemented on the website; no additional image file is required in this handoff.</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Provider approval number / statement</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TO BE INSERTED AFTER CAMFT CEPA APPROVAL</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Course version</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1.2</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Status</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Under Review - capstone added; website/LMS staging and final testing pending</w:t>
            </w:r>
          </w:p>
        </w:tc>
      </w:tr>
    </w:tbl>
    <w:tbl>
      <w:tblPr>
        <w:tblW w:type="dxa" w:w="10368"/>
        <w:jc w:val="center"/>
        <w:tblLayout w:type="fixed"/>
        <w:tblLook w:firstColumn="1" w:firstRow="1" w:lastColumn="0" w:lastRow="0" w:noHBand="0" w:noVBand="1" w:val="04A0"/>
        <w:tblInd w:w="0" w:type="dxa"/>
      </w:tblPr>
      <w:tblGrid>
        <w:gridCol w:w="10368"/>
      </w:tblGrid>
      <w:tr>
        <w:trPr>
          <w:tblHeader w:val="true"/>
        </w:trPr>
        <w:tc>
          <w:tcPr>
            <w:tcW w:type="dxa" w:w="10368"/>
            <w:shd w:fill="FFF8E1"/>
            <w:tcBorders>
              <w:top w:val="single" w:sz="8" w:color="D69E2E"/>
              <w:left w:val="single" w:sz="8" w:color="D69E2E"/>
              <w:bottom w:val="single" w:sz="8" w:color="D69E2E"/>
              <w:right w:val="single" w:sz="8" w:color="D69E2E"/>
            </w:tcBorders>
            <w:tcMar>
              <w:top w:w="50" w:type="dxa"/>
              <w:start w:w="80" w:type="dxa"/>
              <w:bottom w:w="50" w:type="dxa"/>
              <w:end w:w="80" w:type="dxa"/>
            </w:tcMar>
            <w:vAlign w:val="center"/>
          </w:tcPr>
          <w:p>
            <w:pPr>
              <w:spacing w:before="0" w:after="0" w:line="240" w:lineRule="auto"/>
              <w:ind w:left="0" w:right="0" w:firstLine="0"/>
              <w:jc w:val="left"/>
            </w:pPr>
            <w:r>
              <w:rPr>
                <w:rFonts w:ascii="Montserrat" w:hAnsi="Montserrat"/>
                <w:b/>
                <w:sz w:val="18"/>
              </w:rPr>
            </w:r>
            <w:r>
              <w:rPr>
                <w:rFonts w:ascii="Montserrat" w:hAnsi="Montserrat"/>
                <w:b/>
                <w:sz w:val="18"/>
              </w:rPr>
              <w:t>PUBLICATION BLOCKERS</w:t>
            </w:r>
            <w:r>
              <w:rPr>
                <w:rFonts w:ascii="Montserrat" w:hAnsi="Montserrat"/>
                <w:b/>
                <w:sz w:val="18"/>
              </w:rPr>
              <w:br/>
            </w:r>
            <w:r>
              <w:rPr>
                <w:rFonts w:ascii="Montserrat" w:hAnsi="Montserrat"/>
                <w:b/>
                <w:sz w:val="18"/>
              </w:rPr>
              <w:t>The learner access period, exact provider-approval number/statement, authorized certificate signatory, and final LMS/certificate testing remain unresolved. The course image has already been supplied and implemented, and the course code is CTA-CE-001.</w:t>
            </w:r>
          </w:p>
        </w:tc>
      </w:tr>
    </w:tbl>
    <w:p>
      <w:pPr>
        <w:spacing w:after="0"/>
      </w:pPr>
    </w:p>
    <w:p>
      <w:pPr>
        <w:keepNext/>
        <w:pBdr>
          <w:bottom w:val="single" w:sz="10" w:space="4" w:color="18A6A1"/>
        </w:pBdr>
        <w:spacing w:before="100" w:after="120" w:line="240" w:lineRule="auto"/>
      </w:pPr>
      <w:r>
        <w:rPr>
          <w:rFonts w:ascii="Montserrat" w:hAnsi="Montserrat" w:eastAsia="Montserrat"/>
          <w:b/>
          <w:i w:val="0"/>
          <w:color w:val="172A50"/>
          <w:sz w:val="29"/>
        </w:rPr>
        <w:t xml:space="preserve">2. </w:t>
      </w:r>
      <w:r>
        <w:rPr>
          <w:rFonts w:ascii="Montserrat" w:hAnsi="Montserrat" w:eastAsia="Montserrat"/>
          <w:b/>
          <w:i w:val="0"/>
          <w:color w:val="172A50"/>
          <w:sz w:val="29"/>
        </w:rPr>
        <w:t>Website Sales Page and Public Course Listing</w:t>
      </w:r>
    </w:p>
    <w:p>
      <w:pPr>
        <w:keepNext/>
        <w:spacing w:before="100" w:after="60" w:line="240" w:lineRule="auto"/>
      </w:pPr>
      <w:r>
        <w:rPr>
          <w:rFonts w:ascii="Montserrat" w:hAnsi="Montserrat" w:eastAsia="Montserrat"/>
          <w:b/>
          <w:i w:val="0"/>
          <w:color w:val="18A6A1"/>
          <w:sz w:val="23"/>
        </w:rPr>
        <w:t>A. Public Listing Fields</w:t>
      </w:r>
    </w:p>
    <w:tbl>
      <w:tblPr>
        <w:tblW w:type="dxa" w:w="10367"/>
        <w:jc w:val="center"/>
        <w:tblLayout w:type="fixed"/>
        <w:tblLook w:firstColumn="1" w:firstRow="1" w:lastColumn="0" w:lastRow="0" w:noHBand="0" w:noVBand="1" w:val="04A0"/>
        <w:tblInd w:w="0" w:type="dxa"/>
      </w:tblPr>
      <w:tblGrid>
        <w:gridCol w:w="3096"/>
        <w:gridCol w:w="7272"/>
      </w:tblGrid>
      <w:tr>
        <w:trPr>
          <w:tblHeader w:val="true"/>
          <w:cantSplit/>
        </w:trPr>
        <w:tc>
          <w:tcPr>
            <w:tcW w:type="dxa" w:w="3096"/>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8"/>
              </w:rPr>
              <w:t>Field</w:t>
            </w:r>
          </w:p>
        </w:tc>
        <w:tc>
          <w:tcPr>
            <w:tcW w:type="dxa" w:w="7272"/>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8"/>
              </w:rPr>
              <w:t>Approved / Draft Entry</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Website/LMS display title</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California Law &amp; Ethics for Mental Health Professionals</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Formal course title</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California Law &amp; Ethics for Mental Health Professionals: Navigating the Evolving Clinical Landscape</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Category</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Continuing Education &gt; Core Tier Courses &gt; Law &amp; Ethics</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CE badge</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6.0 CE Hours</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Format badge</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Self-Paced Online Course / Asynchronous Distance Learning</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Level</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Introductory to Intermediate</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Audience</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LMFTs, LCSWs, LPCCs, LEPs, and Registered Associates</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Price</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$79</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Presenter</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Candice Fuimaono, MS, LMFT</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Call to action</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Enroll in the Course</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Access period</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[CONFIRM CTA ACCESS PERIOD BEFORE PUBLICATION]</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Course image</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Already supplied to David and currently implemented on the website; no additional image file required.</w:t>
            </w:r>
          </w:p>
        </w:tc>
      </w:tr>
    </w:tbl>
    <w:p>
      <w:pPr>
        <w:keepNext/>
        <w:spacing w:before="80" w:after="40" w:line="240" w:lineRule="auto"/>
      </w:pPr>
      <w:r>
        <w:rPr>
          <w:rFonts w:ascii="Montserrat" w:hAnsi="Montserrat" w:eastAsia="Montserrat"/>
          <w:b/>
          <w:i w:val="0"/>
          <w:color w:val="172A50"/>
          <w:sz w:val="18"/>
        </w:rPr>
        <w:t>Website Headline</w:t>
      </w:r>
    </w:p>
    <w:tbl>
      <w:tblPr>
        <w:tblW w:type="dxa" w:w="10368"/>
        <w:jc w:val="center"/>
        <w:tblLayout w:type="fixed"/>
        <w:tblLook w:firstColumn="1" w:firstRow="1" w:lastColumn="0" w:lastRow="0" w:noHBand="0" w:noVBand="1" w:val="04A0"/>
        <w:tblInd w:w="0" w:type="dxa"/>
      </w:tblPr>
      <w:tblGrid>
        <w:gridCol w:w="10368"/>
      </w:tblGrid>
      <w:tr>
        <w:trPr>
          <w:tblHeader w:val="true"/>
        </w:trPr>
        <w:tc>
          <w:tcPr>
            <w:tcW w:type="dxa" w:w="10368"/>
            <w:shd w:fill="E8F6F5"/>
            <w:tcBorders>
              <w:top w:val="single" w:sz="5" w:color="AAB2BD"/>
              <w:left w:val="single" w:sz="5" w:color="AAB2BD"/>
              <w:bottom w:val="single" w:sz="5" w:color="AAB2BD"/>
              <w:right w:val="single" w:sz="5" w:color="AAB2BD"/>
            </w:tcBorders>
            <w:tcMar>
              <w:top w:w="50" w:type="dxa"/>
              <w:start w:w="80" w:type="dxa"/>
              <w:bottom w:w="50" w:type="dxa"/>
              <w:end w:w="80" w:type="dxa"/>
            </w:tcMar>
            <w:vAlign w:val="center"/>
          </w:tcPr>
          <w:p>
            <w:pPr>
              <w:spacing w:before="0" w:after="0" w:line="240" w:lineRule="auto"/>
              <w:ind w:left="0" w:right="0" w:firstLine="0"/>
              <w:jc w:val="left"/>
            </w:pPr>
            <w:r>
              <w:rPr>
                <w:rFonts w:ascii="Montserrat" w:hAnsi="Montserrat" w:eastAsia="Montserrat"/>
                <w:b/>
                <w:i w:val="0"/>
                <w:color w:val="1F2937"/>
                <w:sz w:val="18"/>
              </w:rPr>
              <w:t>Strengthen legal and ethical decision-making for modern California mental health practice.</w:t>
            </w:r>
          </w:p>
        </w:tc>
      </w:tr>
    </w:tbl>
    <w:p>
      <w:pPr>
        <w:keepNext/>
        <w:spacing w:before="80" w:after="40" w:line="240" w:lineRule="auto"/>
      </w:pPr>
      <w:r>
        <w:rPr>
          <w:rFonts w:ascii="Montserrat" w:hAnsi="Montserrat" w:eastAsia="Montserrat"/>
          <w:b/>
          <w:i w:val="0"/>
          <w:color w:val="172A50"/>
          <w:sz w:val="18"/>
        </w:rPr>
        <w:t>Short Course Description</w:t>
      </w:r>
    </w:p>
    <w:tbl>
      <w:tblPr>
        <w:tblW w:type="dxa" w:w="10368"/>
        <w:jc w:val="center"/>
        <w:tblLayout w:type="fixed"/>
        <w:tblLook w:firstColumn="1" w:firstRow="1" w:lastColumn="0" w:lastRow="0" w:noHBand="0" w:noVBand="1" w:val="04A0"/>
        <w:tblInd w:w="0" w:type="dxa"/>
      </w:tblPr>
      <w:tblGrid>
        <w:gridCol w:w="10368"/>
      </w:tblGrid>
      <w:tr>
        <w:trPr>
          <w:tblHeader w:val="true"/>
        </w:trPr>
        <w:tc>
          <w:tcPr>
            <w:tcW w:type="dxa" w:w="10368"/>
            <w:shd w:fill="FFFFFF"/>
            <w:tcBorders>
              <w:top w:val="single" w:sz="5" w:color="AAB2BD"/>
              <w:left w:val="single" w:sz="5" w:color="AAB2BD"/>
              <w:bottom w:val="single" w:sz="5" w:color="AAB2BD"/>
              <w:right w:val="single" w:sz="5" w:color="AAB2BD"/>
            </w:tcBorders>
            <w:tcMar>
              <w:top w:w="50" w:type="dxa"/>
              <w:start w:w="80" w:type="dxa"/>
              <w:bottom w:w="50" w:type="dxa"/>
              <w:end w:w="80" w:type="dxa"/>
            </w:tcMar>
            <w:vAlign w:val="center"/>
          </w:tcPr>
          <w:p>
            <w:pPr>
              <w:spacing w:before="0" w:after="0" w:line="240" w:lineRule="auto"/>
              <w:ind w:left="0" w:right="0" w:firstLine="0"/>
              <w:jc w:val="left"/>
            </w:pPr>
            <w:r>
              <w:rPr>
                <w:rFonts w:ascii="Montserrat" w:hAnsi="Montserrat" w:eastAsia="Montserrat"/>
                <w:b/>
                <w:i w:val="0"/>
                <w:color w:val="1F2937"/>
                <w:sz w:val="18"/>
              </w:rPr>
              <w:t>This 6-hour asynchronous continuing education course provides California mental health professionals with a practical review of legal and ethical requirements affecting clinical practice. Learners examine regulatory sources, competence, informed consent, telehealth and digital boundaries, confidentiality and privilege, minor treatment, mandated reporting, crisis response, duty to protect, documentation, record management, business ethics, and professional continuity.</w:t>
            </w:r>
          </w:p>
        </w:tc>
      </w:tr>
    </w:tbl>
    <w:p>
      <w:pPr>
        <w:keepNext/>
        <w:spacing w:before="80" w:after="40" w:line="240" w:lineRule="auto"/>
      </w:pPr>
      <w:r>
        <w:rPr>
          <w:rFonts w:ascii="Montserrat" w:hAnsi="Montserrat" w:eastAsia="Montserrat"/>
          <w:b/>
          <w:i w:val="0"/>
          <w:color w:val="172A50"/>
          <w:sz w:val="18"/>
        </w:rPr>
        <w:t>Full Website Course Description</w:t>
      </w:r>
    </w:p>
    <w:tbl>
      <w:tblPr>
        <w:tblW w:type="dxa" w:w="10368"/>
        <w:jc w:val="center"/>
        <w:tblLayout w:type="fixed"/>
        <w:tblLook w:firstColumn="1" w:firstRow="1" w:lastColumn="0" w:lastRow="0" w:noHBand="0" w:noVBand="1" w:val="04A0"/>
        <w:tblInd w:w="0" w:type="dxa"/>
      </w:tblPr>
      <w:tblGrid>
        <w:gridCol w:w="10368"/>
      </w:tblGrid>
      <w:tr>
        <w:trPr>
          <w:tblHeader w:val="true"/>
        </w:trPr>
        <w:tc>
          <w:tcPr>
            <w:tcW w:type="dxa" w:w="10368"/>
            <w:shd w:fill="FFFFFF"/>
            <w:tcBorders>
              <w:top w:val="single" w:sz="5" w:color="AAB2BD"/>
              <w:left w:val="single" w:sz="5" w:color="AAB2BD"/>
              <w:bottom w:val="single" w:sz="5" w:color="AAB2BD"/>
              <w:right w:val="single" w:sz="5" w:color="AAB2BD"/>
            </w:tcBorders>
            <w:tcMar>
              <w:top w:w="50" w:type="dxa"/>
              <w:start w:w="80" w:type="dxa"/>
              <w:bottom w:w="50" w:type="dxa"/>
              <w:end w:w="80" w:type="dxa"/>
            </w:tcMar>
            <w:vAlign w:val="center"/>
          </w:tcPr>
          <w:p>
            <w:pPr>
              <w:spacing w:before="0" w:after="0" w:line="240" w:lineRule="auto"/>
              <w:ind w:left="0" w:right="0" w:firstLine="0"/>
              <w:jc w:val="left"/>
            </w:pPr>
            <w:r>
              <w:rPr>
                <w:rFonts w:ascii="Montserrat" w:hAnsi="Montserrat"/>
                <w:b/>
                <w:sz w:val="18"/>
              </w:rPr>
            </w:r>
            <w:r>
              <w:rPr>
                <w:rFonts w:ascii="Montserrat" w:hAnsi="Montserrat"/>
                <w:b/>
                <w:sz w:val="18"/>
              </w:rPr>
              <w:t>California Law &amp; Ethics for Mental Health Professionals provides a comprehensive, practice-oriented review of California legal and ethical requirements affecting mental health care. Across six self-paced modules and a required Course Integration Capstone, participants examine Board of Behavioral Sciences expectations, scope of practice and competence, informed consent, telehealth and digital communication, confidentiality and psychotherapist-patient privilege, lawful disclosure, minor consent and custody, mandated reporting, crisis assessment, California duty-to-protect responsibilities, documentation, records, advertising, billing, and professional continuity.</w:t>
            </w:r>
            <w:r>
              <w:rPr>
                <w:rFonts w:ascii="Montserrat" w:hAnsi="Montserrat"/>
                <w:b/>
                <w:sz w:val="18"/>
              </w:rPr>
              <w:br/>
            </w:r>
            <w:r>
              <w:rPr>
                <w:rFonts w:ascii="Montserrat" w:hAnsi="Montserrat"/>
                <w:b/>
                <w:sz w:val="18"/>
              </w:rPr>
            </w:r>
            <w:r>
              <w:rPr>
                <w:rFonts w:ascii="Montserrat" w:hAnsi="Montserrat"/>
                <w:b/>
                <w:sz w:val="18"/>
              </w:rPr>
              <w:br/>
            </w:r>
            <w:r>
              <w:rPr>
                <w:rFonts w:ascii="Montserrat" w:hAnsi="Montserrat"/>
                <w:b/>
                <w:sz w:val="18"/>
              </w:rPr>
              <w:t>Through practical case examples, California court and disciplinary materials, knowledge checks, and structured clinical decision frameworks, participants strengthen their ability to identify the controlling issue, assess risk, apply legal and ethical authority, consult when needed, take proportionate action, and document professional reasoning. The course is designed to support client welfare, regulatory compliance, sound clinical judgment, and everyday risk-management practices across private and organizational settings.</w:t>
            </w:r>
          </w:p>
        </w:tc>
      </w:tr>
    </w:tbl>
    <w:p>
      <w:pPr>
        <w:keepNext/>
        <w:spacing w:before="100" w:after="60" w:line="240" w:lineRule="auto"/>
      </w:pPr>
      <w:r>
        <w:rPr>
          <w:rFonts w:ascii="Montserrat" w:hAnsi="Montserrat" w:eastAsia="Montserrat"/>
          <w:b/>
          <w:i w:val="0"/>
          <w:color w:val="18A6A1"/>
          <w:sz w:val="23"/>
        </w:rPr>
        <w:t>B. Learning Outcomes - Use Word-for-Word</w:t>
      </w:r>
    </w:p>
    <w:p>
      <w:pPr>
        <w:pStyle w:val="ListBullet"/>
        <w:spacing w:after="10" w:before="0" w:line="240" w:lineRule="auto"/>
      </w:pPr>
      <w:r>
        <w:rPr>
          <w:rFonts w:ascii="Montserrat" w:hAnsi="Montserrat" w:eastAsia="Montserrat"/>
          <w:b w:val="0"/>
          <w:i w:val="0"/>
          <w:color w:val="1F2937"/>
          <w:sz w:val="17"/>
        </w:rPr>
        <w:t>Identify four California legal, regulatory, or ethical sources that govern mental health practice and distinguish scope of practice from scope of competence.</w:t>
      </w:r>
    </w:p>
    <w:p>
      <w:pPr>
        <w:pStyle w:val="ListBullet"/>
        <w:spacing w:after="10" w:before="0" w:line="240" w:lineRule="auto"/>
      </w:pPr>
      <w:r>
        <w:rPr>
          <w:rFonts w:ascii="Montserrat" w:hAnsi="Montserrat" w:eastAsia="Montserrat"/>
          <w:b w:val="0"/>
          <w:i w:val="0"/>
          <w:color w:val="1F2937"/>
          <w:sz w:val="17"/>
        </w:rPr>
        <w:t>Prepare an informed-consent checklist that includes required fee, privacy, telehealth, digital-communication, and professional-boundary elements.</w:t>
      </w:r>
    </w:p>
    <w:p>
      <w:pPr>
        <w:pStyle w:val="ListBullet"/>
        <w:spacing w:after="10" w:before="0" w:line="240" w:lineRule="auto"/>
      </w:pPr>
      <w:r>
        <w:rPr>
          <w:rFonts w:ascii="Montserrat" w:hAnsi="Montserrat" w:eastAsia="Montserrat"/>
          <w:b w:val="0"/>
          <w:i w:val="0"/>
          <w:color w:val="1F2937"/>
          <w:sz w:val="17"/>
        </w:rPr>
        <w:t>Distinguish confidentiality, psychotherapist-patient privilege, and lawful disclosure and select an appropriate response to a subpoena or request for records.</w:t>
      </w:r>
    </w:p>
    <w:p>
      <w:pPr>
        <w:pStyle w:val="ListBullet"/>
        <w:spacing w:after="10" w:before="0" w:line="240" w:lineRule="auto"/>
      </w:pPr>
      <w:r>
        <w:rPr>
          <w:rFonts w:ascii="Montserrat" w:hAnsi="Montserrat" w:eastAsia="Montserrat"/>
          <w:b w:val="0"/>
          <w:i w:val="0"/>
          <w:color w:val="1F2937"/>
          <w:sz w:val="17"/>
        </w:rPr>
        <w:t>Apply California minor-consent, parental-involvement, custody, and mandated-reporting standards to a clinical case example.</w:t>
      </w:r>
    </w:p>
    <w:p>
      <w:pPr>
        <w:pStyle w:val="ListBullet"/>
        <w:spacing w:after="10" w:before="0" w:line="240" w:lineRule="auto"/>
      </w:pPr>
      <w:r>
        <w:rPr>
          <w:rFonts w:ascii="Montserrat" w:hAnsi="Montserrat" w:eastAsia="Montserrat"/>
          <w:b w:val="0"/>
          <w:i w:val="0"/>
          <w:color w:val="1F2937"/>
          <w:sz w:val="17"/>
        </w:rPr>
        <w:t>Apply California duty-to-protect, crisis-intervention, and documentation standards to a case involving suicide risk or a serious threat of violence.</w:t>
      </w:r>
    </w:p>
    <w:p>
      <w:pPr>
        <w:pStyle w:val="ListBullet"/>
        <w:spacing w:after="10" w:before="0" w:line="240" w:lineRule="auto"/>
      </w:pPr>
      <w:r>
        <w:rPr>
          <w:rFonts w:ascii="Montserrat" w:hAnsi="Montserrat" w:eastAsia="Montserrat"/>
          <w:b w:val="0"/>
          <w:i w:val="0"/>
          <w:color w:val="1F2937"/>
          <w:sz w:val="17"/>
        </w:rPr>
        <w:t>Prepare a record-management and practice-continuity plan that addresses client access, retention, security, practice closure, professional wills, and licensure or business-risk concerns.</w:t>
      </w:r>
    </w:p>
    <w:p>
      <w:pPr>
        <w:keepNext/>
        <w:spacing w:before="100" w:after="60" w:line="240" w:lineRule="auto"/>
      </w:pPr>
      <w:r>
        <w:rPr>
          <w:rFonts w:ascii="Montserrat" w:hAnsi="Montserrat" w:eastAsia="Montserrat"/>
          <w:b/>
          <w:i w:val="0"/>
          <w:color w:val="18A6A1"/>
          <w:sz w:val="23"/>
        </w:rPr>
        <w:t>C. What the Course Includes</w:t>
      </w:r>
    </w:p>
    <w:p>
      <w:pPr>
        <w:pStyle w:val="ListBullet"/>
        <w:spacing w:after="10" w:before="0" w:line="240" w:lineRule="auto"/>
      </w:pPr>
      <w:r>
        <w:rPr>
          <w:rFonts w:ascii="Montserrat" w:hAnsi="Montserrat" w:eastAsia="Montserrat"/>
          <w:b w:val="0"/>
          <w:i w:val="0"/>
          <w:color w:val="1F2937"/>
          <w:sz w:val="17"/>
        </w:rPr>
        <w:t>Six instructional modules plus a required Course Integration Capstone placed before the final examination.</w:t>
      </w:r>
    </w:p>
    <w:p>
      <w:pPr>
        <w:pStyle w:val="ListBullet"/>
        <w:spacing w:after="10" w:before="0" w:line="240" w:lineRule="auto"/>
      </w:pPr>
      <w:r>
        <w:rPr>
          <w:rFonts w:ascii="Montserrat" w:hAnsi="Montserrat" w:eastAsia="Montserrat"/>
          <w:b w:val="0"/>
          <w:i w:val="0"/>
          <w:color w:val="1F2937"/>
          <w:sz w:val="17"/>
        </w:rPr>
        <w:t>Applied California legal, ethical, clinical, court, and disciplinary examples.</w:t>
      </w:r>
    </w:p>
    <w:p>
      <w:pPr>
        <w:pStyle w:val="ListBullet"/>
        <w:spacing w:after="10" w:before="0" w:line="240" w:lineRule="auto"/>
      </w:pPr>
      <w:r>
        <w:rPr>
          <w:rFonts w:ascii="Montserrat" w:hAnsi="Montserrat" w:eastAsia="Montserrat"/>
          <w:b w:val="0"/>
          <w:i w:val="0"/>
          <w:color w:val="1F2937"/>
          <w:sz w:val="17"/>
        </w:rPr>
        <w:t>Embedded knowledge checks with answer explanations.</w:t>
      </w:r>
    </w:p>
    <w:p>
      <w:pPr>
        <w:pStyle w:val="ListBullet"/>
        <w:spacing w:after="10" w:before="0" w:line="240" w:lineRule="auto"/>
      </w:pPr>
      <w:r>
        <w:rPr>
          <w:rFonts w:ascii="Montserrat" w:hAnsi="Montserrat" w:eastAsia="Montserrat"/>
          <w:b w:val="0"/>
          <w:i w:val="0"/>
          <w:color w:val="1F2937"/>
          <w:sz w:val="17"/>
        </w:rPr>
        <w:t>A 25-question final examination.</w:t>
      </w:r>
    </w:p>
    <w:p>
      <w:pPr>
        <w:pStyle w:val="ListBullet"/>
        <w:spacing w:after="10" w:before="0" w:line="240" w:lineRule="auto"/>
      </w:pPr>
      <w:r>
        <w:rPr>
          <w:rFonts w:ascii="Montserrat" w:hAnsi="Montserrat" w:eastAsia="Montserrat"/>
          <w:b w:val="0"/>
          <w:i w:val="0"/>
          <w:color w:val="1F2937"/>
          <w:sz w:val="17"/>
        </w:rPr>
        <w:t>CTA California Law &amp; Ethics Practice Protection Toolkit.</w:t>
      </w:r>
    </w:p>
    <w:p>
      <w:pPr>
        <w:pStyle w:val="ListBullet"/>
        <w:spacing w:after="10" w:before="0" w:line="240" w:lineRule="auto"/>
      </w:pPr>
      <w:r>
        <w:rPr>
          <w:rFonts w:ascii="Montserrat" w:hAnsi="Montserrat" w:eastAsia="Montserrat"/>
          <w:b w:val="0"/>
          <w:i w:val="0"/>
          <w:color w:val="1F2937"/>
          <w:sz w:val="17"/>
        </w:rPr>
        <w:t>Course-specific evaluation and completion attestation.</w:t>
      </w:r>
    </w:p>
    <w:p>
      <w:pPr>
        <w:pStyle w:val="ListBullet"/>
        <w:spacing w:after="10" w:before="0" w:line="240" w:lineRule="auto"/>
      </w:pPr>
      <w:r>
        <w:rPr>
          <w:rFonts w:ascii="Montserrat" w:hAnsi="Montserrat" w:eastAsia="Montserrat"/>
          <w:b w:val="0"/>
          <w:i w:val="0"/>
          <w:color w:val="1F2937"/>
          <w:sz w:val="17"/>
        </w:rPr>
        <w:t>Certificate of completion after all requirements are satisfied.</w:t>
      </w:r>
    </w:p>
    <w:p>
      <w:pPr>
        <w:keepNext/>
        <w:spacing w:before="100" w:after="60" w:line="240" w:lineRule="auto"/>
      </w:pPr>
      <w:r>
        <w:rPr>
          <w:rFonts w:ascii="Montserrat" w:hAnsi="Montserrat" w:eastAsia="Montserrat"/>
          <w:b/>
          <w:i w:val="0"/>
          <w:color w:val="18A6A1"/>
          <w:sz w:val="23"/>
        </w:rPr>
        <w:t>D. Key Topics</w:t>
      </w:r>
    </w:p>
    <w:p>
      <w:pPr>
        <w:pStyle w:val="ListBullet"/>
        <w:spacing w:after="10" w:before="0" w:line="240" w:lineRule="auto"/>
      </w:pPr>
      <w:r>
        <w:rPr>
          <w:rFonts w:ascii="Montserrat" w:hAnsi="Montserrat" w:eastAsia="Montserrat"/>
          <w:b w:val="0"/>
          <w:i w:val="0"/>
          <w:color w:val="1F2937"/>
          <w:sz w:val="17"/>
        </w:rPr>
        <w:t>California regulatory sources, BBS requirements, and professional competence</w:t>
      </w:r>
    </w:p>
    <w:p>
      <w:pPr>
        <w:pStyle w:val="ListBullet"/>
        <w:spacing w:after="10" w:before="0" w:line="240" w:lineRule="auto"/>
      </w:pPr>
      <w:r>
        <w:rPr>
          <w:rFonts w:ascii="Montserrat" w:hAnsi="Montserrat" w:eastAsia="Montserrat"/>
          <w:b w:val="0"/>
          <w:i w:val="0"/>
          <w:color w:val="1F2937"/>
          <w:sz w:val="17"/>
        </w:rPr>
        <w:t>Informed consent, telehealth, digital communication, and professional boundaries</w:t>
      </w:r>
    </w:p>
    <w:p>
      <w:pPr>
        <w:pStyle w:val="ListBullet"/>
        <w:spacing w:after="10" w:before="0" w:line="240" w:lineRule="auto"/>
      </w:pPr>
      <w:r>
        <w:rPr>
          <w:rFonts w:ascii="Montserrat" w:hAnsi="Montserrat" w:eastAsia="Montserrat"/>
          <w:b w:val="0"/>
          <w:i w:val="0"/>
          <w:color w:val="1F2937"/>
          <w:sz w:val="17"/>
        </w:rPr>
        <w:t>Confidentiality, psychotherapist-patient privilege, disclosure, subpoenas, and records requests</w:t>
      </w:r>
    </w:p>
    <w:p>
      <w:pPr>
        <w:pStyle w:val="ListBullet"/>
        <w:spacing w:after="10" w:before="0" w:line="240" w:lineRule="auto"/>
      </w:pPr>
      <w:r>
        <w:rPr>
          <w:rFonts w:ascii="Montserrat" w:hAnsi="Montserrat" w:eastAsia="Montserrat"/>
          <w:b w:val="0"/>
          <w:i w:val="0"/>
          <w:color w:val="1F2937"/>
          <w:sz w:val="17"/>
        </w:rPr>
        <w:t>Minor consent, parent involvement, custody, record access, and mandated reporting</w:t>
      </w:r>
    </w:p>
    <w:p>
      <w:pPr>
        <w:pStyle w:val="ListBullet"/>
        <w:spacing w:after="10" w:before="0" w:line="240" w:lineRule="auto"/>
      </w:pPr>
      <w:r>
        <w:rPr>
          <w:rFonts w:ascii="Montserrat" w:hAnsi="Montserrat" w:eastAsia="Montserrat"/>
          <w:b w:val="0"/>
          <w:i w:val="0"/>
          <w:color w:val="1F2937"/>
          <w:sz w:val="17"/>
        </w:rPr>
        <w:t>Suicide risk, violence risk, Tarasoff, duty to protect, consultation, and crisis documentation</w:t>
      </w:r>
    </w:p>
    <w:p>
      <w:pPr>
        <w:pStyle w:val="ListBullet"/>
        <w:spacing w:after="10" w:before="0" w:line="240" w:lineRule="auto"/>
      </w:pPr>
      <w:r>
        <w:rPr>
          <w:rFonts w:ascii="Montserrat" w:hAnsi="Montserrat" w:eastAsia="Montserrat"/>
          <w:b w:val="0"/>
          <w:i w:val="0"/>
          <w:color w:val="1F2937"/>
          <w:sz w:val="17"/>
        </w:rPr>
        <w:t>Clinical documentation, records, advertising, billing, Board complaints, practice closure, and professional wills</w:t>
      </w:r>
    </w:p>
    <w:p>
      <w:pPr>
        <w:keepNext/>
        <w:spacing w:before="100" w:after="60" w:line="240" w:lineRule="auto"/>
      </w:pPr>
      <w:r>
        <w:rPr>
          <w:rFonts w:ascii="Montserrat" w:hAnsi="Montserrat" w:eastAsia="Montserrat"/>
          <w:b/>
          <w:i w:val="0"/>
          <w:color w:val="18A6A1"/>
          <w:sz w:val="23"/>
        </w:rPr>
        <w:t>E. Completion Disclosure</w:t>
      </w:r>
    </w:p>
    <w:p>
      <w:pPr>
        <w:keepNext/>
        <w:spacing w:before="80" w:after="40" w:line="240" w:lineRule="auto"/>
      </w:pPr>
      <w:r>
        <w:rPr>
          <w:rFonts w:ascii="Montserrat" w:hAnsi="Montserrat" w:eastAsia="Montserrat"/>
          <w:b/>
          <w:i w:val="0"/>
          <w:color w:val="172A50"/>
          <w:sz w:val="18"/>
        </w:rPr>
        <w:t>Public Completion Requirements</w:t>
      </w:r>
    </w:p>
    <w:tbl>
      <w:tblPr>
        <w:tblW w:type="dxa" w:w="10368"/>
        <w:jc w:val="center"/>
        <w:tblLayout w:type="fixed"/>
        <w:tblLook w:firstColumn="1" w:firstRow="1" w:lastColumn="0" w:lastRow="0" w:noHBand="0" w:noVBand="1" w:val="04A0"/>
        <w:tblInd w:w="0" w:type="dxa"/>
      </w:tblPr>
      <w:tblGrid>
        <w:gridCol w:w="10368"/>
      </w:tblGrid>
      <w:tr>
        <w:trPr>
          <w:tblHeader w:val="true"/>
        </w:trPr>
        <w:tc>
          <w:tcPr>
            <w:tcW w:type="dxa" w:w="10368"/>
            <w:shd w:fill="EEF3FA"/>
            <w:tcBorders>
              <w:top w:val="single" w:sz="5" w:color="AAB2BD"/>
              <w:left w:val="single" w:sz="5" w:color="AAB2BD"/>
              <w:bottom w:val="single" w:sz="5" w:color="AAB2BD"/>
              <w:right w:val="single" w:sz="5" w:color="AAB2BD"/>
            </w:tcBorders>
            <w:tcMar>
              <w:top w:w="50" w:type="dxa"/>
              <w:start w:w="80" w:type="dxa"/>
              <w:bottom w:w="50" w:type="dxa"/>
              <w:end w:w="80" w:type="dxa"/>
            </w:tcMar>
            <w:vAlign w:val="center"/>
          </w:tcPr>
          <w:p>
            <w:pPr>
              <w:spacing w:before="0" w:after="0" w:line="240" w:lineRule="auto"/>
              <w:ind w:left="0" w:right="0" w:firstLine="0"/>
              <w:jc w:val="left"/>
            </w:pPr>
            <w:r>
              <w:rPr>
                <w:rFonts w:ascii="Montserrat" w:hAnsi="Montserrat"/>
                <w:b/>
                <w:sz w:val="18"/>
              </w:rPr>
            </w:r>
            <w:r>
              <w:rPr>
                <w:rFonts w:ascii="Montserrat" w:hAnsi="Montserrat"/>
                <w:b/>
                <w:sz w:val="18"/>
              </w:rPr>
              <w:t>To earn the certificate, participants must complete all six required instructional modules, the required Course Integration Capstone, and embedded learning activities; earn at least 70% on the 25-question final examination; complete the course-specific evaluation; and submit the asynchronous course-completion attestation. Examination attempts are unlimited, and no examination time limit is imposed under the current CTA standard.</w:t>
            </w:r>
          </w:p>
        </w:tc>
      </w:tr>
    </w:tbl>
    <w:p>
      <w:pPr>
        <w:keepNext/>
        <w:spacing w:before="80" w:after="40" w:line="240" w:lineRule="auto"/>
      </w:pPr>
      <w:r>
        <w:rPr>
          <w:rFonts w:ascii="Montserrat" w:hAnsi="Montserrat" w:eastAsia="Montserrat"/>
          <w:b/>
          <w:i w:val="0"/>
          <w:color w:val="172A50"/>
          <w:sz w:val="18"/>
        </w:rPr>
        <w:t>Educational Disclaimer</w:t>
      </w:r>
    </w:p>
    <w:tbl>
      <w:tblPr>
        <w:tblW w:type="dxa" w:w="10368"/>
        <w:jc w:val="center"/>
        <w:tblLayout w:type="fixed"/>
        <w:tblLook w:firstColumn="1" w:firstRow="1" w:lastColumn="0" w:lastRow="0" w:noHBand="0" w:noVBand="1" w:val="04A0"/>
        <w:tblInd w:w="0" w:type="dxa"/>
      </w:tblPr>
      <w:tblGrid>
        <w:gridCol w:w="10368"/>
      </w:tblGrid>
      <w:tr>
        <w:trPr>
          <w:tblHeader w:val="true"/>
        </w:trPr>
        <w:tc>
          <w:tcPr>
            <w:tcW w:type="dxa" w:w="10368"/>
            <w:shd w:fill="FFF8E1"/>
            <w:tcBorders>
              <w:top w:val="single" w:sz="5" w:color="AAB2BD"/>
              <w:left w:val="single" w:sz="5" w:color="AAB2BD"/>
              <w:bottom w:val="single" w:sz="5" w:color="AAB2BD"/>
              <w:right w:val="single" w:sz="5" w:color="AAB2BD"/>
            </w:tcBorders>
            <w:tcMar>
              <w:top w:w="50" w:type="dxa"/>
              <w:start w:w="80" w:type="dxa"/>
              <w:bottom w:w="50" w:type="dxa"/>
              <w:end w:w="80" w:type="dxa"/>
            </w:tcMar>
            <w:vAlign w:val="center"/>
          </w:tcPr>
          <w:p>
            <w:pPr>
              <w:spacing w:before="0" w:after="0" w:line="240" w:lineRule="auto"/>
              <w:ind w:left="0" w:right="0" w:firstLine="0"/>
              <w:jc w:val="left"/>
            </w:pPr>
            <w:r>
              <w:rPr>
                <w:rFonts w:ascii="Montserrat" w:hAnsi="Montserrat" w:eastAsia="Montserrat"/>
                <w:b/>
                <w:i w:val="0"/>
                <w:color w:val="1F2937"/>
                <w:sz w:val="18"/>
              </w:rPr>
              <w:t>This course is provided for professional education and does not replace case-specific legal advice, emergency consultation, supervision, or independent clinical judgment. Laws, regulations, Board guidance, court decisions, and clinical standards may change.</w:t>
            </w:r>
          </w:p>
        </w:tc>
      </w:tr>
    </w:tbl>
    <w:p>
      <w:pPr>
        <w:keepNext/>
        <w:spacing w:before="100" w:after="60" w:line="240" w:lineRule="auto"/>
      </w:pPr>
      <w:r>
        <w:rPr>
          <w:rFonts w:ascii="Montserrat" w:hAnsi="Montserrat" w:eastAsia="Montserrat"/>
          <w:b/>
          <w:i w:val="0"/>
          <w:color w:val="18A6A1"/>
          <w:sz w:val="23"/>
        </w:rPr>
        <w:t>F. Search and Marketing Fields</w:t>
      </w:r>
    </w:p>
    <w:tbl>
      <w:tblPr>
        <w:tblW w:type="dxa" w:w="10368"/>
        <w:jc w:val="center"/>
        <w:tblLayout w:type="fixed"/>
        <w:tblLook w:firstColumn="1" w:firstRow="1" w:lastColumn="0" w:lastRow="0" w:noHBand="0" w:noVBand="1" w:val="04A0"/>
        <w:tblInd w:w="0" w:type="dxa"/>
      </w:tblPr>
      <w:tblGrid>
        <w:gridCol w:w="2880"/>
        <w:gridCol w:w="7488"/>
      </w:tblGrid>
      <w:tr>
        <w:trPr>
          <w:tblHeader w:val="true"/>
          <w:cantSplit/>
        </w:trPr>
        <w:tc>
          <w:tcPr>
            <w:tcW w:type="dxa" w:w="2880"/>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8"/>
              </w:rPr>
              <w:t>Field</w:t>
            </w:r>
          </w:p>
        </w:tc>
        <w:tc>
          <w:tcPr>
            <w:tcW w:type="dxa" w:w="7488"/>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8"/>
              </w:rPr>
              <w:t>Draft Entry</w:t>
            </w:r>
          </w:p>
        </w:tc>
      </w:tr>
      <w:tr>
        <w:trPr>
          <w:cantSplit/>
        </w:trPr>
        <w:tc>
          <w:tcPr>
            <w:tcW w:type="dxa" w:w="288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SEO page title</w:t>
            </w:r>
          </w:p>
        </w:tc>
        <w:tc>
          <w:tcPr>
            <w:tcW w:type="dxa" w:w="7488"/>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California Law &amp; Ethics CE Course | 6 CE Hours | CTA</w:t>
            </w:r>
          </w:p>
        </w:tc>
      </w:tr>
      <w:tr>
        <w:trPr>
          <w:cantSplit/>
        </w:trPr>
        <w:tc>
          <w:tcPr>
            <w:tcW w:type="dxa" w:w="288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Meta description</w:t>
            </w:r>
          </w:p>
        </w:tc>
        <w:tc>
          <w:tcPr>
            <w:tcW w:type="dxa" w:w="7488"/>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Build practical California law-and-ethics judgment through six self-paced modules and a required integration capstone covering consent, confidentiality, minors, crisis response, records, and professional risk.</w:t>
            </w:r>
          </w:p>
        </w:tc>
      </w:tr>
      <w:tr>
        <w:trPr>
          <w:cantSplit/>
        </w:trPr>
        <w:tc>
          <w:tcPr>
            <w:tcW w:type="dxa" w:w="288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URL slug</w:t>
            </w:r>
          </w:p>
        </w:tc>
        <w:tc>
          <w:tcPr>
            <w:tcW w:type="dxa" w:w="7488"/>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california-law-ethics-mental-health-professionals</w:t>
            </w:r>
          </w:p>
        </w:tc>
      </w:tr>
      <w:tr>
        <w:trPr>
          <w:cantSplit/>
        </w:trPr>
        <w:tc>
          <w:tcPr>
            <w:tcW w:type="dxa" w:w="288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Primary keywords</w:t>
            </w:r>
          </w:p>
        </w:tc>
        <w:tc>
          <w:tcPr>
            <w:tcW w:type="dxa" w:w="7488"/>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California law and ethics CE; mental health continuing education; LMFT CE; LCSW CE; LPCC CE; LEP CE; BBS law and ethics</w:t>
            </w:r>
          </w:p>
        </w:tc>
      </w:tr>
      <w:tr>
        <w:trPr>
          <w:cantSplit/>
        </w:trPr>
        <w:tc>
          <w:tcPr>
            <w:tcW w:type="dxa" w:w="288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Social title</w:t>
            </w:r>
          </w:p>
        </w:tc>
        <w:tc>
          <w:tcPr>
            <w:tcW w:type="dxa" w:w="7488"/>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California Law &amp; Ethics for Mental Health Professionals | 6 CE Hours</w:t>
            </w:r>
          </w:p>
        </w:tc>
      </w:tr>
      <w:tr>
        <w:trPr>
          <w:cantSplit/>
        </w:trPr>
        <w:tc>
          <w:tcPr>
            <w:tcW w:type="dxa" w:w="288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Social description</w:t>
            </w:r>
          </w:p>
        </w:tc>
        <w:tc>
          <w:tcPr>
            <w:tcW w:type="dxa" w:w="7488"/>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A practical, self-paced California law-and-ethics course built around clinical judgment, client welfare, documentation, and modern professional practice.</w:t>
            </w:r>
          </w:p>
        </w:tc>
      </w:tr>
    </w:tbl>
    <w:p>
      <w:r>
        <w:br w:type="page"/>
      </w:r>
    </w:p>
    <w:p>
      <w:pPr>
        <w:keepNext/>
        <w:pBdr>
          <w:bottom w:val="single" w:sz="10" w:space="4" w:color="18A6A1"/>
        </w:pBdr>
        <w:spacing w:before="100" w:after="120" w:line="240" w:lineRule="auto"/>
      </w:pPr>
      <w:r>
        <w:rPr>
          <w:rFonts w:ascii="Montserrat" w:hAnsi="Montserrat" w:eastAsia="Montserrat"/>
          <w:b/>
          <w:i w:val="0"/>
          <w:color w:val="172A50"/>
          <w:sz w:val="29"/>
        </w:rPr>
        <w:t xml:space="preserve">3. </w:t>
      </w:r>
      <w:r>
        <w:rPr>
          <w:rFonts w:ascii="Montserrat" w:hAnsi="Montserrat" w:eastAsia="Montserrat"/>
          <w:b/>
          <w:i w:val="0"/>
          <w:color w:val="172A50"/>
          <w:sz w:val="29"/>
        </w:rPr>
        <w:t>LMS Course Listing Metadata</w:t>
      </w:r>
    </w:p>
    <w:tbl>
      <w:tblPr>
        <w:tblW w:type="dxa" w:w="10367"/>
        <w:jc w:val="center"/>
        <w:tblLayout w:type="fixed"/>
        <w:tblLook w:firstColumn="1" w:firstRow="1" w:lastColumn="0" w:lastRow="0" w:noHBand="0" w:noVBand="1" w:val="04A0"/>
        <w:tblInd w:w="0" w:type="dxa"/>
      </w:tblPr>
      <w:tblGrid>
        <w:gridCol w:w="2304"/>
        <w:gridCol w:w="6623"/>
        <w:gridCol w:w="1440"/>
      </w:tblGrid>
      <w:tr>
        <w:trPr>
          <w:tblHeader w:val="true"/>
          <w:cantSplit/>
        </w:trPr>
        <w:tc>
          <w:tcPr>
            <w:tcW w:type="dxa" w:w="2304"/>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6"/>
              </w:rPr>
              <w:t>LMS Field</w:t>
            </w:r>
          </w:p>
        </w:tc>
        <w:tc>
          <w:tcPr>
            <w:tcW w:type="dxa" w:w="6623"/>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6"/>
              </w:rPr>
              <w:t>Controlled Entry</w:t>
            </w:r>
          </w:p>
        </w:tc>
        <w:tc>
          <w:tcPr>
            <w:tcW w:type="dxa" w:w="1440"/>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6"/>
              </w:rPr>
              <w:t>Status</w:t>
            </w:r>
          </w:p>
        </w:tc>
      </w:tr>
      <w:tr>
        <w:trPr>
          <w:cantSplit/>
        </w:trPr>
        <w:tc>
          <w:tcPr>
            <w:tcW w:type="dxa" w:w="230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Course title (display)</w:t>
            </w:r>
          </w:p>
        </w:tc>
        <w:tc>
          <w:tcPr>
            <w:tcW w:type="dxa" w:w="662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California Law &amp; Ethics for Mental Health Professionals</w:t>
            </w:r>
          </w:p>
        </w:tc>
        <w:tc>
          <w:tcPr>
            <w:tcW w:type="dxa" w:w="144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Approved</w:t>
            </w:r>
          </w:p>
        </w:tc>
      </w:tr>
      <w:tr>
        <w:trPr>
          <w:cantSplit/>
        </w:trPr>
        <w:tc>
          <w:tcPr>
            <w:tcW w:type="dxa" w:w="230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Formal course title</w:t>
            </w:r>
          </w:p>
        </w:tc>
        <w:tc>
          <w:tcPr>
            <w:tcW w:type="dxa" w:w="662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California Law &amp; Ethics for Mental Health Professionals: Navigating the Evolving Clinical Landscape</w:t>
            </w:r>
          </w:p>
        </w:tc>
        <w:tc>
          <w:tcPr>
            <w:tcW w:type="dxa" w:w="144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Approved</w:t>
            </w:r>
          </w:p>
        </w:tc>
      </w:tr>
      <w:tr>
        <w:trPr>
          <w:cantSplit/>
        </w:trPr>
        <w:tc>
          <w:tcPr>
            <w:tcW w:type="dxa" w:w="230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Course code</w:t>
            </w:r>
          </w:p>
        </w:tc>
        <w:tc>
          <w:tcPr>
            <w:tcW w:type="dxa" w:w="662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CTA-CE-001</w:t>
            </w:r>
          </w:p>
        </w:tc>
        <w:tc>
          <w:tcPr>
            <w:tcW w:type="dxa" w:w="144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Approved</w:t>
            </w:r>
          </w:p>
        </w:tc>
      </w:tr>
      <w:tr>
        <w:trPr>
          <w:cantSplit/>
        </w:trPr>
        <w:tc>
          <w:tcPr>
            <w:tcW w:type="dxa" w:w="230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Category</w:t>
            </w:r>
          </w:p>
        </w:tc>
        <w:tc>
          <w:tcPr>
            <w:tcW w:type="dxa" w:w="662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Continuing Education &gt; Core Tier Courses &gt; Law &amp; Ethics</w:t>
            </w:r>
          </w:p>
        </w:tc>
        <w:tc>
          <w:tcPr>
            <w:tcW w:type="dxa" w:w="144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Draft</w:t>
            </w:r>
          </w:p>
        </w:tc>
      </w:tr>
      <w:tr>
        <w:trPr>
          <w:cantSplit/>
        </w:trPr>
        <w:tc>
          <w:tcPr>
            <w:tcW w:type="dxa" w:w="230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CE hours</w:t>
            </w:r>
          </w:p>
        </w:tc>
        <w:tc>
          <w:tcPr>
            <w:tcW w:type="dxa" w:w="662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6.0</w:t>
            </w:r>
          </w:p>
        </w:tc>
        <w:tc>
          <w:tcPr>
            <w:tcW w:type="dxa" w:w="144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Approved</w:t>
            </w:r>
          </w:p>
        </w:tc>
      </w:tr>
      <w:tr>
        <w:trPr>
          <w:cantSplit/>
        </w:trPr>
        <w:tc>
          <w:tcPr>
            <w:tcW w:type="dxa" w:w="230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Instructional minutes</w:t>
            </w:r>
          </w:p>
        </w:tc>
        <w:tc>
          <w:tcPr>
            <w:tcW w:type="dxa" w:w="662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360 public instructional minutes; actual recorded media runtime 6:01:37</w:t>
            </w:r>
          </w:p>
        </w:tc>
        <w:tc>
          <w:tcPr>
            <w:tcW w:type="dxa" w:w="144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Updated</w:t>
            </w:r>
          </w:p>
        </w:tc>
      </w:tr>
      <w:tr>
        <w:trPr>
          <w:cantSplit/>
        </w:trPr>
        <w:tc>
          <w:tcPr>
            <w:tcW w:type="dxa" w:w="230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Instructional method</w:t>
            </w:r>
          </w:p>
        </w:tc>
        <w:tc>
          <w:tcPr>
            <w:tcW w:type="dxa" w:w="662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Asynchronous Distance Learning</w:t>
            </w:r>
          </w:p>
        </w:tc>
        <w:tc>
          <w:tcPr>
            <w:tcW w:type="dxa" w:w="144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Approved</w:t>
            </w:r>
          </w:p>
        </w:tc>
      </w:tr>
      <w:tr>
        <w:trPr>
          <w:cantSplit/>
        </w:trPr>
        <w:tc>
          <w:tcPr>
            <w:tcW w:type="dxa" w:w="230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Course level</w:t>
            </w:r>
          </w:p>
        </w:tc>
        <w:tc>
          <w:tcPr>
            <w:tcW w:type="dxa" w:w="662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Introductory to Intermediate</w:t>
            </w:r>
          </w:p>
        </w:tc>
        <w:tc>
          <w:tcPr>
            <w:tcW w:type="dxa" w:w="144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Approved</w:t>
            </w:r>
          </w:p>
        </w:tc>
      </w:tr>
      <w:tr>
        <w:trPr>
          <w:cantSplit/>
        </w:trPr>
        <w:tc>
          <w:tcPr>
            <w:tcW w:type="dxa" w:w="230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Audience</w:t>
            </w:r>
          </w:p>
        </w:tc>
        <w:tc>
          <w:tcPr>
            <w:tcW w:type="dxa" w:w="662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LMFTs, LCSWs, LPCCs, LEPs, and Registered Associates</w:t>
            </w:r>
          </w:p>
        </w:tc>
        <w:tc>
          <w:tcPr>
            <w:tcW w:type="dxa" w:w="144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Approved</w:t>
            </w:r>
          </w:p>
        </w:tc>
      </w:tr>
      <w:tr>
        <w:trPr>
          <w:cantSplit/>
        </w:trPr>
        <w:tc>
          <w:tcPr>
            <w:tcW w:type="dxa" w:w="230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Presenter</w:t>
            </w:r>
          </w:p>
        </w:tc>
        <w:tc>
          <w:tcPr>
            <w:tcW w:type="dxa" w:w="662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Candice Fuimaono, MS, LMFT</w:t>
            </w:r>
          </w:p>
        </w:tc>
        <w:tc>
          <w:tcPr>
            <w:tcW w:type="dxa" w:w="144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Approved</w:t>
            </w:r>
          </w:p>
        </w:tc>
      </w:tr>
      <w:tr>
        <w:trPr>
          <w:cantSplit/>
        </w:trPr>
        <w:tc>
          <w:tcPr>
            <w:tcW w:type="dxa" w:w="230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Price</w:t>
            </w:r>
          </w:p>
        </w:tc>
        <w:tc>
          <w:tcPr>
            <w:tcW w:type="dxa" w:w="662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$79</w:t>
            </w:r>
          </w:p>
        </w:tc>
        <w:tc>
          <w:tcPr>
            <w:tcW w:type="dxa" w:w="144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Catalog</w:t>
            </w:r>
          </w:p>
        </w:tc>
      </w:tr>
      <w:tr>
        <w:trPr>
          <w:cantSplit/>
        </w:trPr>
        <w:tc>
          <w:tcPr>
            <w:tcW w:type="dxa" w:w="230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Access period</w:t>
            </w:r>
          </w:p>
        </w:tc>
        <w:tc>
          <w:tcPr>
            <w:tcW w:type="dxa" w:w="662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[CONFIRM CTA ACCESS PERIOD BEFORE PUBLICATION]</w:t>
            </w:r>
          </w:p>
        </w:tc>
        <w:tc>
          <w:tcPr>
            <w:tcW w:type="dxa" w:w="144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Open</w:t>
            </w:r>
          </w:p>
        </w:tc>
      </w:tr>
      <w:tr>
        <w:trPr>
          <w:cantSplit/>
        </w:trPr>
        <w:tc>
          <w:tcPr>
            <w:tcW w:type="dxa" w:w="230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Publication status</w:t>
            </w:r>
          </w:p>
        </w:tc>
        <w:tc>
          <w:tcPr>
            <w:tcW w:type="dxa" w:w="662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Under Review - capstone added; staging and final testing pending</w:t>
            </w:r>
          </w:p>
        </w:tc>
        <w:tc>
          <w:tcPr>
            <w:tcW w:type="dxa" w:w="144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Current</w:t>
            </w:r>
          </w:p>
        </w:tc>
      </w:tr>
      <w:tr>
        <w:trPr>
          <w:cantSplit/>
        </w:trPr>
        <w:tc>
          <w:tcPr>
            <w:tcW w:type="dxa" w:w="230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Course image</w:t>
            </w:r>
          </w:p>
        </w:tc>
        <w:tc>
          <w:tcPr>
            <w:tcW w:type="dxa" w:w="662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Approved image already supplied to David and implemented on the website</w:t>
            </w:r>
          </w:p>
        </w:tc>
        <w:tc>
          <w:tcPr>
            <w:tcW w:type="dxa" w:w="144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Implemented</w:t>
            </w:r>
          </w:p>
        </w:tc>
      </w:tr>
      <w:tr>
        <w:trPr>
          <w:cantSplit/>
        </w:trPr>
        <w:tc>
          <w:tcPr>
            <w:tcW w:type="dxa" w:w="230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Evaluation</w:t>
            </w:r>
          </w:p>
        </w:tc>
        <w:tc>
          <w:tcPr>
            <w:tcW w:type="dxa" w:w="662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CTA California Law &amp; Ethics Course Evaluation v1.0</w:t>
            </w:r>
          </w:p>
        </w:tc>
        <w:tc>
          <w:tcPr>
            <w:tcW w:type="dxa" w:w="144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Created</w:t>
            </w:r>
          </w:p>
        </w:tc>
      </w:tr>
      <w:tr>
        <w:trPr>
          <w:cantSplit/>
        </w:trPr>
        <w:tc>
          <w:tcPr>
            <w:tcW w:type="dxa" w:w="230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Downloadable resource</w:t>
            </w:r>
          </w:p>
        </w:tc>
        <w:tc>
          <w:tcPr>
            <w:tcW w:type="dxa" w:w="662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CTA California Law &amp; Ethics Practice Protection Toolkit v1.0</w:t>
            </w:r>
          </w:p>
        </w:tc>
        <w:tc>
          <w:tcPr>
            <w:tcW w:type="dxa" w:w="144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Created</w:t>
            </w:r>
          </w:p>
        </w:tc>
      </w:tr>
      <w:tr>
        <w:trPr>
          <w:cantSplit/>
        </w:trPr>
        <w:tc>
          <w:tcPr>
            <w:tcW w:type="dxa" w:w="230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Final examination</w:t>
            </w:r>
          </w:p>
        </w:tc>
        <w:tc>
          <w:tcPr>
            <w:tcW w:type="dxa" w:w="662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25 questions; 70% passing score</w:t>
            </w:r>
          </w:p>
        </w:tc>
        <w:tc>
          <w:tcPr>
            <w:tcW w:type="dxa" w:w="144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Approved</w:t>
            </w:r>
          </w:p>
        </w:tc>
      </w:tr>
      <w:tr>
        <w:trPr>
          <w:cantSplit/>
        </w:trPr>
        <w:tc>
          <w:tcPr>
            <w:tcW w:type="dxa" w:w="230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Certificate title</w:t>
            </w:r>
          </w:p>
        </w:tc>
        <w:tc>
          <w:tcPr>
            <w:tcW w:type="dxa" w:w="662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Formal course title shown above</w:t>
            </w:r>
          </w:p>
        </w:tc>
        <w:tc>
          <w:tcPr>
            <w:tcW w:type="dxa" w:w="144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Approved</w:t>
            </w:r>
          </w:p>
        </w:tc>
      </w:tr>
    </w:tbl>
    <w:p>
      <w:pPr>
        <w:keepNext/>
        <w:spacing w:before="100" w:after="60" w:line="240" w:lineRule="auto"/>
      </w:pPr>
      <w:r>
        <w:rPr>
          <w:rFonts w:ascii="Montserrat" w:hAnsi="Montserrat" w:eastAsia="Montserrat"/>
          <w:b/>
          <w:i w:val="0"/>
          <w:color w:val="18A6A1"/>
          <w:sz w:val="23"/>
        </w:rPr>
        <w:t>LMS Welcome / Overview Copy</w:t>
      </w:r>
    </w:p>
    <w:p>
      <w:pPr>
        <w:keepNext/>
        <w:spacing w:before="80" w:after="40" w:line="240" w:lineRule="auto"/>
      </w:pPr>
      <w:r>
        <w:rPr>
          <w:rFonts w:ascii="Montserrat" w:hAnsi="Montserrat" w:eastAsia="Montserrat"/>
          <w:b/>
          <w:i w:val="0"/>
          <w:color w:val="172A50"/>
          <w:sz w:val="18"/>
        </w:rPr>
        <w:t>Learner Welcome</w:t>
      </w:r>
    </w:p>
    <w:tbl>
      <w:tblPr>
        <w:tblW w:type="dxa" w:w="10368"/>
        <w:jc w:val="center"/>
        <w:tblLayout w:type="fixed"/>
        <w:tblLook w:firstColumn="1" w:firstRow="1" w:lastColumn="0" w:lastRow="0" w:noHBand="0" w:noVBand="1" w:val="04A0"/>
        <w:tblInd w:w="0" w:type="dxa"/>
      </w:tblPr>
      <w:tblGrid>
        <w:gridCol w:w="10368"/>
      </w:tblGrid>
      <w:tr>
        <w:trPr>
          <w:tblHeader w:val="true"/>
        </w:trPr>
        <w:tc>
          <w:tcPr>
            <w:tcW w:type="dxa" w:w="10368"/>
            <w:shd w:fill="FFFFFF"/>
            <w:tcBorders>
              <w:top w:val="single" w:sz="5" w:color="AAB2BD"/>
              <w:left w:val="single" w:sz="5" w:color="AAB2BD"/>
              <w:bottom w:val="single" w:sz="5" w:color="AAB2BD"/>
              <w:right w:val="single" w:sz="5" w:color="AAB2BD"/>
            </w:tcBorders>
            <w:tcMar>
              <w:top w:w="50" w:type="dxa"/>
              <w:start w:w="80" w:type="dxa"/>
              <w:bottom w:w="50" w:type="dxa"/>
              <w:end w:w="80" w:type="dxa"/>
            </w:tcMar>
            <w:vAlign w:val="center"/>
          </w:tcPr>
          <w:p>
            <w:pPr>
              <w:spacing w:before="0" w:after="0" w:line="240" w:lineRule="auto"/>
              <w:ind w:left="0" w:right="0" w:firstLine="0"/>
              <w:jc w:val="left"/>
            </w:pPr>
            <w:r>
              <w:rPr>
                <w:rFonts w:ascii="Montserrat" w:hAnsi="Montserrat"/>
                <w:b/>
                <w:sz w:val="18"/>
              </w:rPr>
            </w:r>
            <w:r>
              <w:rPr>
                <w:rFonts w:ascii="Montserrat" w:hAnsi="Montserrat"/>
                <w:b/>
                <w:sz w:val="18"/>
              </w:rPr>
              <w:t>Welcome to California Law &amp; Ethics for Mental Health Professionals. This course includes six instructional modules and a required Course Integration Capstone designed to strengthen practical legal and ethical decision-making in California mental health practice.</w:t>
            </w:r>
            <w:r>
              <w:rPr>
                <w:rFonts w:ascii="Montserrat" w:hAnsi="Montserrat"/>
                <w:b/>
                <w:sz w:val="18"/>
              </w:rPr>
              <w:br/>
            </w:r>
            <w:r>
              <w:rPr>
                <w:rFonts w:ascii="Montserrat" w:hAnsi="Montserrat"/>
                <w:b/>
                <w:sz w:val="18"/>
              </w:rPr>
            </w:r>
            <w:r>
              <w:rPr>
                <w:rFonts w:ascii="Montserrat" w:hAnsi="Montserrat"/>
                <w:b/>
                <w:sz w:val="18"/>
              </w:rPr>
              <w:br/>
            </w:r>
            <w:r>
              <w:rPr>
                <w:rFonts w:ascii="Montserrat" w:hAnsi="Montserrat"/>
                <w:b/>
                <w:sz w:val="18"/>
              </w:rPr>
              <w:t>Complete Modules 1-6, all embedded learning activities, and the Course Integration Capstone before beginning the final examination. After earning at least 70% on the final examination, complete the course evaluation and completion attestation. Your certificate will become available only after all required steps are complete.</w:t>
            </w:r>
            <w:r>
              <w:rPr>
                <w:rFonts w:ascii="Montserrat" w:hAnsi="Montserrat"/>
                <w:b/>
                <w:sz w:val="18"/>
              </w:rPr>
              <w:br/>
            </w:r>
            <w:r>
              <w:rPr>
                <w:rFonts w:ascii="Montserrat" w:hAnsi="Montserrat"/>
                <w:b/>
                <w:sz w:val="18"/>
              </w:rPr>
            </w:r>
            <w:r>
              <w:rPr>
                <w:rFonts w:ascii="Montserrat" w:hAnsi="Montserrat"/>
                <w:b/>
                <w:sz w:val="18"/>
              </w:rPr>
              <w:br/>
            </w:r>
            <w:r>
              <w:rPr>
                <w:rFonts w:ascii="Montserrat" w:hAnsi="Montserrat"/>
                <w:b/>
                <w:sz w:val="18"/>
              </w:rPr>
              <w:t>The course is educational and does not replace case-specific legal advice, emergency consultation, supervision, or independent clinical judgment.</w:t>
            </w:r>
          </w:p>
        </w:tc>
      </w:tr>
    </w:tbl>
    <w:p>
      <w:pPr>
        <w:keepNext/>
        <w:spacing w:before="100" w:after="60" w:line="240" w:lineRule="auto"/>
      </w:pPr>
      <w:r>
        <w:rPr>
          <w:rFonts w:ascii="Montserrat" w:hAnsi="Montserrat" w:eastAsia="Montserrat"/>
          <w:b/>
          <w:i w:val="0"/>
          <w:color w:val="18A6A1"/>
          <w:sz w:val="23"/>
        </w:rPr>
        <w:t>Module and Lesson Structure</w:t>
      </w:r>
    </w:p>
    <w:tbl>
      <w:tblPr>
        <w:tblW w:type="dxa" w:w="10368"/>
        <w:jc w:val="center"/>
        <w:tblLayout w:type="fixed"/>
        <w:tblLook w:firstColumn="1" w:firstRow="1" w:lastColumn="0" w:lastRow="0" w:noHBand="0" w:noVBand="1" w:val="04A0"/>
        <w:tblInd w:w="0" w:type="dxa"/>
      </w:tblPr>
      <w:tblGrid>
        <w:gridCol w:w="792"/>
        <w:gridCol w:w="4464"/>
        <w:gridCol w:w="1224"/>
        <w:gridCol w:w="3888"/>
      </w:tblGrid>
      <w:tr>
        <w:trPr>
          <w:tblHeader w:val="true"/>
          <w:cantSplit/>
        </w:trPr>
        <w:tc>
          <w:tcPr>
            <w:tcW w:type="dxa" w:w="792"/>
            <w:shd w:fill="172A50"/>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jc w:val="left"/>
            </w:pPr>
            <w:r>
              <w:rPr>
                <w:rFonts w:ascii="Montserrat" w:hAnsi="Montserrat" w:eastAsia="Montserrat"/>
                <w:b/>
                <w:i w:val="0"/>
                <w:color w:val="FFFFFF"/>
                <w:sz w:val="16"/>
              </w:rPr>
              <w:t>Order</w:t>
            </w:r>
          </w:p>
        </w:tc>
        <w:tc>
          <w:tcPr>
            <w:tcW w:type="dxa" w:w="4464"/>
            <w:shd w:fill="172A50"/>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jc w:val="left"/>
            </w:pPr>
            <w:r>
              <w:rPr>
                <w:rFonts w:ascii="Montserrat" w:hAnsi="Montserrat" w:eastAsia="Montserrat"/>
                <w:b/>
                <w:i w:val="0"/>
                <w:color w:val="FFFFFF"/>
                <w:sz w:val="16"/>
              </w:rPr>
              <w:t>Lesson / Asset</w:t>
            </w:r>
          </w:p>
        </w:tc>
        <w:tc>
          <w:tcPr>
            <w:tcW w:type="dxa" w:w="1224"/>
            <w:shd w:fill="172A50"/>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jc w:val="left"/>
            </w:pPr>
            <w:r>
              <w:rPr>
                <w:rFonts w:ascii="Montserrat" w:hAnsi="Montserrat" w:eastAsia="Montserrat"/>
                <w:b/>
                <w:i w:val="0"/>
                <w:color w:val="FFFFFF"/>
                <w:sz w:val="16"/>
              </w:rPr>
              <w:t>Time</w:t>
            </w:r>
          </w:p>
        </w:tc>
        <w:tc>
          <w:tcPr>
            <w:tcW w:type="dxa" w:w="3888"/>
            <w:shd w:fill="172A50"/>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jc w:val="left"/>
            </w:pPr>
            <w:r>
              <w:rPr>
                <w:rFonts w:ascii="Montserrat" w:hAnsi="Montserrat" w:eastAsia="Montserrat"/>
                <w:b/>
                <w:i w:val="0"/>
                <w:color w:val="FFFFFF"/>
                <w:sz w:val="16"/>
              </w:rPr>
              <w:t>LMS Component</w:t>
            </w:r>
          </w:p>
        </w:tc>
      </w:tr>
      <w:tr>
        <w:trPr>
          <w:cantSplit/>
        </w:trPr>
        <w:tc>
          <w:tcPr>
            <w:tcW w:type="dxa" w:w="792"/>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M01</w:t>
            </w:r>
          </w:p>
        </w:tc>
        <w:tc>
          <w:tcPr>
            <w:tcW w:type="dxa" w:w="446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California Regulatory Frameworks &amp; BBS Updates</w:t>
            </w:r>
          </w:p>
        </w:tc>
        <w:tc>
          <w:tcPr>
            <w:tcW w:type="dxa" w:w="122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1:00:07</w:t>
            </w:r>
          </w:p>
        </w:tc>
        <w:tc>
          <w:tcPr>
            <w:tcW w:type="dxa" w:w="3888"/>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sz w:val="16"/>
              </w:rPr>
              <w:t>Vimeo embed, embedded knowledge checks, answer explanations</w:t>
            </w:r>
          </w:p>
        </w:tc>
      </w:tr>
      <w:tr>
        <w:trPr>
          <w:cantSplit/>
        </w:trPr>
        <w:tc>
          <w:tcPr>
            <w:tcW w:type="dxa" w:w="792"/>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M02</w:t>
            </w:r>
          </w:p>
        </w:tc>
        <w:tc>
          <w:tcPr>
            <w:tcW w:type="dxa" w:w="446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Informed Consent &amp; Digital Boundaries</w:t>
            </w:r>
          </w:p>
        </w:tc>
        <w:tc>
          <w:tcPr>
            <w:tcW w:type="dxa" w:w="122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58:08</w:t>
            </w:r>
          </w:p>
        </w:tc>
        <w:tc>
          <w:tcPr>
            <w:tcW w:type="dxa" w:w="3888"/>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sz w:val="16"/>
              </w:rPr>
              <w:t>Vimeo embed, cases, knowledge check, answer explanation</w:t>
            </w:r>
          </w:p>
        </w:tc>
      </w:tr>
      <w:tr>
        <w:trPr>
          <w:cantSplit/>
        </w:trPr>
        <w:tc>
          <w:tcPr>
            <w:tcW w:type="dxa" w:w="792"/>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M03</w:t>
            </w:r>
          </w:p>
        </w:tc>
        <w:tc>
          <w:tcPr>
            <w:tcW w:type="dxa" w:w="446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Confidentiality, Privilege &amp; Disclosure</w:t>
            </w:r>
          </w:p>
        </w:tc>
        <w:tc>
          <w:tcPr>
            <w:tcW w:type="dxa" w:w="122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1:02:35</w:t>
            </w:r>
          </w:p>
        </w:tc>
        <w:tc>
          <w:tcPr>
            <w:tcW w:type="dxa" w:w="3888"/>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sz w:val="16"/>
              </w:rPr>
              <w:t>Vimeo embed, scenarios, knowledge checks, answer explanations</w:t>
            </w:r>
          </w:p>
        </w:tc>
      </w:tr>
      <w:tr>
        <w:trPr>
          <w:cantSplit/>
        </w:trPr>
        <w:tc>
          <w:tcPr>
            <w:tcW w:type="dxa" w:w="792"/>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M04</w:t>
            </w:r>
          </w:p>
        </w:tc>
        <w:tc>
          <w:tcPr>
            <w:tcW w:type="dxa" w:w="446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Working with Minors: Consent, Crisis &amp; Parents</w:t>
            </w:r>
          </w:p>
        </w:tc>
        <w:tc>
          <w:tcPr>
            <w:tcW w:type="dxa" w:w="122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58:18</w:t>
            </w:r>
          </w:p>
        </w:tc>
        <w:tc>
          <w:tcPr>
            <w:tcW w:type="dxa" w:w="3888"/>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sz w:val="16"/>
              </w:rPr>
              <w:t>Vimeo embed, case analysis, knowledge check, answer explanation</w:t>
            </w:r>
          </w:p>
        </w:tc>
      </w:tr>
      <w:tr>
        <w:trPr>
          <w:cantSplit/>
        </w:trPr>
        <w:tc>
          <w:tcPr>
            <w:tcW w:type="dxa" w:w="792"/>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M05</w:t>
            </w:r>
          </w:p>
        </w:tc>
        <w:tc>
          <w:tcPr>
            <w:tcW w:type="dxa" w:w="446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Crisis Management, Tarasoff &amp; Professional Liability</w:t>
            </w:r>
          </w:p>
        </w:tc>
        <w:tc>
          <w:tcPr>
            <w:tcW w:type="dxa" w:w="122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53:21</w:t>
            </w:r>
          </w:p>
        </w:tc>
        <w:tc>
          <w:tcPr>
            <w:tcW w:type="dxa" w:w="3888"/>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sz w:val="16"/>
              </w:rPr>
              <w:t>Vimeo embed, scenarios, knowledge checks, answer explanations</w:t>
            </w:r>
          </w:p>
        </w:tc>
      </w:tr>
      <w:tr>
        <w:trPr>
          <w:cantSplit/>
        </w:trPr>
        <w:tc>
          <w:tcPr>
            <w:tcW w:type="dxa" w:w="792"/>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M06</w:t>
            </w:r>
          </w:p>
        </w:tc>
        <w:tc>
          <w:tcPr>
            <w:tcW w:type="dxa" w:w="446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Documentation, Professional Practice &amp; Licensure Protection</w:t>
            </w:r>
          </w:p>
        </w:tc>
        <w:tc>
          <w:tcPr>
            <w:tcW w:type="dxa" w:w="122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55:03</w:t>
            </w:r>
          </w:p>
        </w:tc>
        <w:tc>
          <w:tcPr>
            <w:tcW w:type="dxa" w:w="3888"/>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sz w:val="16"/>
              </w:rPr>
              <w:t>Vimeo embed, knowledge checks, reflection, transition to capstone</w:t>
            </w:r>
          </w:p>
        </w:tc>
      </w:tr>
      <w:tr>
        <w:trPr>
          <w:cantSplit/>
        </w:trPr>
        <w:tc>
          <w:tcPr>
            <w:tcW w:type="dxa" w:w="792"/>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CAP</w:t>
            </w:r>
          </w:p>
        </w:tc>
        <w:tc>
          <w:tcPr>
            <w:tcW w:type="dxa" w:w="446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Course Integration Capstone: One Case, Six Legal and Ethical Decision Points</w:t>
            </w:r>
          </w:p>
        </w:tc>
        <w:tc>
          <w:tcPr>
            <w:tcW w:type="dxa" w:w="122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14:05</w:t>
            </w:r>
          </w:p>
        </w:tc>
        <w:tc>
          <w:tcPr>
            <w:tcW w:type="dxa" w:w="3888"/>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sz w:val="16"/>
              </w:rPr>
              <w:t>Required Vimeo-embedded integration lesson before final examination</w:t>
            </w:r>
          </w:p>
        </w:tc>
      </w:tr>
      <w:tr>
        <w:trPr>
          <w:cantSplit/>
        </w:trPr>
        <w:tc>
          <w:tcPr>
            <w:tcW w:type="dxa" w:w="792"/>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RES</w:t>
            </w:r>
          </w:p>
        </w:tc>
        <w:tc>
          <w:tcPr>
            <w:tcW w:type="dxa" w:w="446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Practice Protection Toolkit</w:t>
            </w:r>
          </w:p>
        </w:tc>
        <w:tc>
          <w:tcPr>
            <w:tcW w:type="dxa" w:w="122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Learner resource</w:t>
            </w:r>
          </w:p>
        </w:tc>
        <w:tc>
          <w:tcPr>
            <w:tcW w:type="dxa" w:w="3888"/>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Protected download</w:t>
            </w:r>
          </w:p>
        </w:tc>
      </w:tr>
      <w:tr>
        <w:trPr>
          <w:cantSplit/>
        </w:trPr>
        <w:tc>
          <w:tcPr>
            <w:tcW w:type="dxa" w:w="792"/>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EXAM</w:t>
            </w:r>
          </w:p>
        </w:tc>
        <w:tc>
          <w:tcPr>
            <w:tcW w:type="dxa" w:w="446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Final Examination</w:t>
            </w:r>
          </w:p>
        </w:tc>
        <w:tc>
          <w:tcPr>
            <w:tcW w:type="dxa" w:w="122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Administrative completion activity</w:t>
            </w:r>
          </w:p>
        </w:tc>
        <w:tc>
          <w:tcPr>
            <w:tcW w:type="dxa" w:w="3888"/>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25 questions; 70%; unlimited attempts; no time limit</w:t>
            </w:r>
          </w:p>
        </w:tc>
      </w:tr>
      <w:tr>
        <w:trPr>
          <w:cantSplit/>
        </w:trPr>
        <w:tc>
          <w:tcPr>
            <w:tcW w:type="dxa" w:w="792"/>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EVAL</w:t>
            </w:r>
          </w:p>
        </w:tc>
        <w:tc>
          <w:tcPr>
            <w:tcW w:type="dxa" w:w="446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Course Evaluation and Attestation</w:t>
            </w:r>
          </w:p>
        </w:tc>
        <w:tc>
          <w:tcPr>
            <w:tcW w:type="dxa" w:w="122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Administrative completion activity</w:t>
            </w:r>
          </w:p>
        </w:tc>
        <w:tc>
          <w:tcPr>
            <w:tcW w:type="dxa" w:w="3888"/>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Required; all six objectives rated</w:t>
            </w:r>
          </w:p>
        </w:tc>
      </w:tr>
      <w:tr>
        <w:trPr>
          <w:cantSplit/>
        </w:trPr>
        <w:tc>
          <w:tcPr>
            <w:tcW w:type="dxa" w:w="792"/>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CERT</w:t>
            </w:r>
          </w:p>
        </w:tc>
        <w:tc>
          <w:tcPr>
            <w:tcW w:type="dxa" w:w="446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Certificate of Completion</w:t>
            </w:r>
          </w:p>
        </w:tc>
        <w:tc>
          <w:tcPr>
            <w:tcW w:type="dxa" w:w="1224"/>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Released after completion</w:t>
            </w:r>
          </w:p>
        </w:tc>
        <w:tc>
          <w:tcPr>
            <w:tcW w:type="dxa" w:w="3888"/>
            <w:vAlign w:val="center"/>
            <w:tcMar>
              <w:top w:w="50" w:type="dxa"/>
              <w:start w:w="80" w:type="dxa"/>
              <w:bottom w:w="50" w:type="dxa"/>
              <w:end w:w="80" w:type="dxa"/>
            </w:tcMar>
            <w:tcBorders>
              <w:top w:val="single" w:sz="5" w:color="B8C0CC"/>
              <w:left w:val="single" w:sz="5" w:color="B8C0CC"/>
              <w:bottom w:val="single" w:sz="5" w:color="B8C0CC"/>
              <w:right w:val="single" w:sz="5" w:color="B8C0CC"/>
            </w:tcBorders>
          </w:tcPr>
          <w:p>
            <w:pPr>
              <w:spacing w:before="0" w:after="0" w:line="240" w:lineRule="auto"/>
              <w:ind w:left="0" w:right="0" w:firstLine="0"/>
            </w:pPr>
            <w:r>
              <w:rPr>
                <w:rFonts w:ascii="Montserrat" w:hAnsi="Montserrat" w:eastAsia="Montserrat"/>
                <w:b w:val="0"/>
                <w:color w:val="1F2937"/>
                <w:sz w:val="16"/>
              </w:rPr>
              <w:t>Locked until every requirement is met</w:t>
            </w:r>
          </w:p>
        </w:tc>
      </w:tr>
    </w:tbl>
    <w:p>
      <w:pPr>
        <w:keepNext/>
        <w:pBdr>
          <w:bottom w:val="single" w:sz="10" w:space="4" w:color="18A6A1"/>
        </w:pBdr>
        <w:spacing w:before="100" w:after="120" w:line="240" w:lineRule="auto"/>
      </w:pPr>
      <w:r>
        <w:rPr>
          <w:rFonts w:ascii="Montserrat" w:hAnsi="Montserrat" w:eastAsia="Montserrat"/>
          <w:b/>
          <w:i w:val="0"/>
          <w:color w:val="172A50"/>
          <w:sz w:val="29"/>
        </w:rPr>
        <w:t xml:space="preserve">4. </w:t>
      </w:r>
      <w:r>
        <w:rPr>
          <w:rFonts w:ascii="Montserrat" w:hAnsi="Montserrat" w:eastAsia="Montserrat"/>
          <w:b/>
          <w:i w:val="0"/>
          <w:color w:val="172A50"/>
          <w:sz w:val="29"/>
        </w:rPr>
        <w:t>LMS Progression, Assessment, and Completion Settings</w:t>
      </w:r>
    </w:p>
    <w:p>
      <w:pPr>
        <w:keepNext/>
        <w:spacing w:before="100" w:after="60" w:line="240" w:lineRule="auto"/>
      </w:pPr>
      <w:r>
        <w:rPr>
          <w:rFonts w:ascii="Montserrat" w:hAnsi="Montserrat" w:eastAsia="Montserrat"/>
          <w:b/>
          <w:i w:val="0"/>
          <w:color w:val="18A6A1"/>
          <w:sz w:val="23"/>
        </w:rPr>
        <w:t>A. Required Outcomes</w:t>
      </w:r>
    </w:p>
    <w:tbl>
      <w:tblPr>
        <w:tblW w:type="dxa" w:w="10368"/>
        <w:jc w:val="center"/>
        <w:tblLayout w:type="fixed"/>
        <w:tblLook w:firstColumn="1" w:firstRow="1" w:lastColumn="0" w:lastRow="0" w:noHBand="0" w:noVBand="1" w:val="04A0"/>
        <w:tblInd w:w="0" w:type="dxa"/>
      </w:tblPr>
      <w:tblGrid>
        <w:gridCol w:w="1944"/>
        <w:gridCol w:w="7056"/>
        <w:gridCol w:w="1368"/>
      </w:tblGrid>
      <w:tr>
        <w:trPr>
          <w:tblHeader w:val="true"/>
          <w:cantSplit/>
        </w:trPr>
        <w:tc>
          <w:tcPr>
            <w:tcW w:type="dxa" w:w="1944"/>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6"/>
              </w:rPr>
              <w:t>Setting</w:t>
            </w:r>
          </w:p>
        </w:tc>
        <w:tc>
          <w:tcPr>
            <w:tcW w:type="dxa" w:w="7056"/>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6"/>
              </w:rPr>
              <w:t>Configuration</w:t>
            </w:r>
          </w:p>
        </w:tc>
        <w:tc>
          <w:tcPr>
            <w:tcW w:type="dxa" w:w="1368"/>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6"/>
              </w:rPr>
              <w:t>Type</w:t>
            </w:r>
          </w:p>
        </w:tc>
      </w:tr>
      <w:tr>
        <w:trPr>
          <w:cantSplit/>
        </w:trPr>
        <w:tc>
          <w:tcPr>
            <w:tcW w:type="dxa" w:w="194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Module completion</w:t>
            </w:r>
          </w:p>
        </w:tc>
        <w:tc>
          <w:tcPr>
            <w:tcW w:type="dxa" w:w="705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All six instructional modules, embedded learning activities, and the required Course Integration Capstone must be complete.</w:t>
            </w:r>
          </w:p>
        </w:tc>
        <w:tc>
          <w:tcPr>
            <w:tcW w:type="dxa" w:w="1368"/>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Required</w:t>
            </w:r>
          </w:p>
        </w:tc>
      </w:tr>
      <w:tr>
        <w:trPr>
          <w:cantSplit/>
        </w:trPr>
        <w:tc>
          <w:tcPr>
            <w:tcW w:type="dxa" w:w="194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Instructional time</w:t>
            </w:r>
          </w:p>
        </w:tc>
        <w:tc>
          <w:tcPr>
            <w:tcW w:type="dxa" w:w="705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LMS configuration must not count the final examination, evaluation, or attestation toward the 360 public instructional minutes. The recorded instructional media inventory totals 6:01:37.</w:t>
            </w:r>
          </w:p>
        </w:tc>
        <w:tc>
          <w:tcPr>
            <w:tcW w:type="dxa" w:w="1368"/>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Required</w:t>
            </w:r>
          </w:p>
        </w:tc>
      </w:tr>
      <w:tr>
        <w:trPr>
          <w:cantSplit/>
        </w:trPr>
        <w:tc>
          <w:tcPr>
            <w:tcW w:type="dxa" w:w="194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Final exam</w:t>
            </w:r>
          </w:p>
        </w:tc>
        <w:tc>
          <w:tcPr>
            <w:tcW w:type="dxa" w:w="705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25 one-best-answer questions covering every course-level objective and major content area.</w:t>
            </w:r>
          </w:p>
        </w:tc>
        <w:tc>
          <w:tcPr>
            <w:tcW w:type="dxa" w:w="1368"/>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Required</w:t>
            </w:r>
          </w:p>
        </w:tc>
      </w:tr>
      <w:tr>
        <w:trPr>
          <w:cantSplit/>
        </w:trPr>
        <w:tc>
          <w:tcPr>
            <w:tcW w:type="dxa" w:w="194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Passing score</w:t>
            </w:r>
          </w:p>
        </w:tc>
        <w:tc>
          <w:tcPr>
            <w:tcW w:type="dxa" w:w="705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70% minimum; 18 of 25 questions.</w:t>
            </w:r>
          </w:p>
        </w:tc>
        <w:tc>
          <w:tcPr>
            <w:tcW w:type="dxa" w:w="1368"/>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Required</w:t>
            </w:r>
          </w:p>
        </w:tc>
      </w:tr>
      <w:tr>
        <w:trPr>
          <w:cantSplit/>
        </w:trPr>
        <w:tc>
          <w:tcPr>
            <w:tcW w:type="dxa" w:w="194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Attempts</w:t>
            </w:r>
          </w:p>
        </w:tc>
        <w:tc>
          <w:tcPr>
            <w:tcW w:type="dxa" w:w="705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Unlimited.</w:t>
            </w:r>
          </w:p>
        </w:tc>
        <w:tc>
          <w:tcPr>
            <w:tcW w:type="dxa" w:w="1368"/>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Required</w:t>
            </w:r>
          </w:p>
        </w:tc>
      </w:tr>
      <w:tr>
        <w:trPr>
          <w:cantSplit/>
        </w:trPr>
        <w:tc>
          <w:tcPr>
            <w:tcW w:type="dxa" w:w="194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Time limit</w:t>
            </w:r>
          </w:p>
        </w:tc>
        <w:tc>
          <w:tcPr>
            <w:tcW w:type="dxa" w:w="705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None unless a future approved standard changes this setting.</w:t>
            </w:r>
          </w:p>
        </w:tc>
        <w:tc>
          <w:tcPr>
            <w:tcW w:type="dxa" w:w="1368"/>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Required</w:t>
            </w:r>
          </w:p>
        </w:tc>
      </w:tr>
      <w:tr>
        <w:trPr>
          <w:cantSplit/>
        </w:trPr>
        <w:tc>
          <w:tcPr>
            <w:tcW w:type="dxa" w:w="194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Answer release</w:t>
            </w:r>
          </w:p>
        </w:tc>
        <w:tc>
          <w:tcPr>
            <w:tcW w:type="dxa" w:w="705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Configure in accordance with the approved assessment design; do not expose incorrect test data or placeholders.</w:t>
            </w:r>
          </w:p>
        </w:tc>
        <w:tc>
          <w:tcPr>
            <w:tcW w:type="dxa" w:w="1368"/>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Implementation</w:t>
            </w:r>
          </w:p>
        </w:tc>
      </w:tr>
      <w:tr>
        <w:trPr>
          <w:cantSplit/>
        </w:trPr>
        <w:tc>
          <w:tcPr>
            <w:tcW w:type="dxa" w:w="194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Evaluation</w:t>
            </w:r>
          </w:p>
        </w:tc>
        <w:tc>
          <w:tcPr>
            <w:tcW w:type="dxa" w:w="705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Required after passing the final examination; every approved learning objective rated separately.</w:t>
            </w:r>
          </w:p>
        </w:tc>
        <w:tc>
          <w:tcPr>
            <w:tcW w:type="dxa" w:w="1368"/>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Required</w:t>
            </w:r>
          </w:p>
        </w:tc>
      </w:tr>
      <w:tr>
        <w:trPr>
          <w:cantSplit/>
        </w:trPr>
        <w:tc>
          <w:tcPr>
            <w:tcW w:type="dxa" w:w="194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Attestation</w:t>
            </w:r>
          </w:p>
        </w:tc>
        <w:tc>
          <w:tcPr>
            <w:tcW w:type="dxa" w:w="705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Required asynchronous completion attestation.</w:t>
            </w:r>
          </w:p>
        </w:tc>
        <w:tc>
          <w:tcPr>
            <w:tcW w:type="dxa" w:w="1368"/>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Required</w:t>
            </w:r>
          </w:p>
        </w:tc>
      </w:tr>
      <w:tr>
        <w:trPr>
          <w:cantSplit/>
        </w:trPr>
        <w:tc>
          <w:tcPr>
            <w:tcW w:type="dxa" w:w="194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Certificate trigger</w:t>
            </w:r>
          </w:p>
        </w:tc>
        <w:tc>
          <w:tcPr>
            <w:tcW w:type="dxa" w:w="705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Release only after modules, capstone, final exam, evaluation, and attestation are complete.</w:t>
            </w:r>
          </w:p>
        </w:tc>
        <w:tc>
          <w:tcPr>
            <w:tcW w:type="dxa" w:w="1368"/>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Required</w:t>
            </w:r>
          </w:p>
        </w:tc>
      </w:tr>
      <w:tr>
        <w:trPr>
          <w:cantSplit/>
        </w:trPr>
        <w:tc>
          <w:tcPr>
            <w:tcW w:type="dxa" w:w="194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Resources</w:t>
            </w:r>
          </w:p>
        </w:tc>
        <w:tc>
          <w:tcPr>
            <w:tcW w:type="dxa" w:w="705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Protected downloads must function and use the exact approved title/version.</w:t>
            </w:r>
          </w:p>
        </w:tc>
        <w:tc>
          <w:tcPr>
            <w:tcW w:type="dxa" w:w="1368"/>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center"/>
            </w:pPr>
            <w:r>
              <w:rPr>
                <w:rFonts w:ascii="Montserrat" w:hAnsi="Montserrat" w:eastAsia="Montserrat"/>
                <w:b w:val="0"/>
                <w:i w:val="0"/>
                <w:color w:val="1F2937"/>
                <w:sz w:val="16"/>
              </w:rPr>
              <w:t>Required</w:t>
            </w:r>
          </w:p>
        </w:tc>
      </w:tr>
    </w:tbl>
    <w:p>
      <w:pPr>
        <w:keepNext/>
        <w:spacing w:before="100" w:after="60" w:line="240" w:lineRule="auto"/>
      </w:pPr>
      <w:r>
        <w:rPr>
          <w:rFonts w:ascii="Montserrat" w:hAnsi="Montserrat" w:eastAsia="Montserrat"/>
          <w:b/>
          <w:i w:val="0"/>
          <w:color w:val="18A6A1"/>
          <w:sz w:val="23"/>
        </w:rPr>
        <w:t>B. Recommended LMS Implementation - Requires Platform Confirmation</w:t>
      </w:r>
    </w:p>
    <w:p>
      <w:pPr>
        <w:pStyle w:val="ListBullet"/>
        <w:spacing w:after="10" w:before="0" w:line="240" w:lineRule="auto"/>
      </w:pPr>
      <w:r>
        <w:rPr>
          <w:rFonts w:ascii="Montserrat" w:hAnsi="Montserrat" w:eastAsia="Montserrat"/>
          <w:b w:val="0"/>
          <w:i w:val="0"/>
          <w:color w:val="1F2937"/>
          <w:sz w:val="17"/>
        </w:rPr>
        <w:t>Use sequential progression from Module 1 through Module 6, then require completion of the Course Integration Capstone before the final examination opens.</w:t>
      </w:r>
    </w:p>
    <w:p>
      <w:pPr>
        <w:pStyle w:val="ListBullet"/>
        <w:spacing w:after="10" w:before="0" w:line="240" w:lineRule="auto"/>
      </w:pPr>
      <w:r>
        <w:rPr>
          <w:rFonts w:ascii="Montserrat" w:hAnsi="Montserrat" w:eastAsia="Montserrat"/>
          <w:b w:val="0"/>
          <w:i w:val="0"/>
          <w:color w:val="1F2937"/>
          <w:sz w:val="17"/>
        </w:rPr>
        <w:t>Require each instructional lesson and the Course Integration Capstone to be marked complete before the final examination opens.</w:t>
      </w:r>
    </w:p>
    <w:p>
      <w:pPr>
        <w:pStyle w:val="ListBullet"/>
        <w:spacing w:after="10" w:before="0" w:line="240" w:lineRule="auto"/>
      </w:pPr>
      <w:r>
        <w:rPr>
          <w:rFonts w:ascii="Montserrat" w:hAnsi="Montserrat" w:eastAsia="Montserrat"/>
          <w:b w:val="0"/>
          <w:i w:val="0"/>
          <w:color w:val="1F2937"/>
          <w:sz w:val="17"/>
        </w:rPr>
        <w:t>Open the evaluation and attestation only after the learner achieves the passing examination score.</w:t>
      </w:r>
    </w:p>
    <w:p>
      <w:pPr>
        <w:pStyle w:val="ListBullet"/>
        <w:spacing w:after="10" w:before="0" w:line="240" w:lineRule="auto"/>
      </w:pPr>
      <w:r>
        <w:rPr>
          <w:rFonts w:ascii="Montserrat" w:hAnsi="Montserrat" w:eastAsia="Montserrat"/>
          <w:b w:val="0"/>
          <w:i w:val="0"/>
          <w:color w:val="1F2937"/>
          <w:sz w:val="17"/>
        </w:rPr>
        <w:t>Keep the certificate object hidden and locked until the LMS completion rule is satisfied.</w:t>
      </w:r>
    </w:p>
    <w:p>
      <w:pPr>
        <w:pStyle w:val="ListBullet"/>
        <w:spacing w:after="10" w:before="0" w:line="240" w:lineRule="auto"/>
      </w:pPr>
      <w:r>
        <w:rPr>
          <w:rFonts w:ascii="Montserrat" w:hAnsi="Montserrat" w:eastAsia="Montserrat"/>
          <w:b w:val="0"/>
          <w:i w:val="0"/>
          <w:color w:val="1F2937"/>
          <w:sz w:val="17"/>
        </w:rPr>
        <w:t>Include a visible progress indicator and a final completion checklist.</w:t>
      </w:r>
    </w:p>
    <w:p>
      <w:pPr>
        <w:pStyle w:val="ListBullet"/>
        <w:spacing w:after="10" w:before="0" w:line="240" w:lineRule="auto"/>
      </w:pPr>
      <w:r>
        <w:rPr>
          <w:rFonts w:ascii="Montserrat" w:hAnsi="Montserrat" w:eastAsia="Montserrat"/>
          <w:b w:val="0"/>
          <w:i w:val="0"/>
          <w:color w:val="1F2937"/>
          <w:sz w:val="17"/>
        </w:rPr>
        <w:t>Display the downloadable toolkit in the course resource area and again before final completion.</w:t>
      </w:r>
    </w:p>
    <w:p>
      <w:pPr>
        <w:pStyle w:val="ListBullet"/>
        <w:spacing w:after="10" w:before="0" w:line="240" w:lineRule="auto"/>
      </w:pPr>
      <w:r>
        <w:rPr>
          <w:rFonts w:ascii="Montserrat" w:hAnsi="Montserrat" w:eastAsia="Montserrat"/>
          <w:b w:val="0"/>
          <w:i w:val="0"/>
          <w:color w:val="1F2937"/>
          <w:sz w:val="17"/>
        </w:rPr>
        <w:t>Test all progression and certificate rules using a learner-level test account on desktop and mobile.</w:t>
      </w:r>
    </w:p>
    <w:tbl>
      <w:tblPr>
        <w:tblW w:type="dxa" w:w="10368"/>
        <w:jc w:val="center"/>
        <w:tblLayout w:type="fixed"/>
        <w:tblLook w:firstColumn="1" w:firstRow="1" w:lastColumn="0" w:lastRow="0" w:noHBand="0" w:noVBand="1" w:val="04A0"/>
        <w:tblInd w:w="0" w:type="dxa"/>
      </w:tblPr>
      <w:tblGrid>
        <w:gridCol w:w="10368"/>
      </w:tblGrid>
      <w:tr>
        <w:trPr>
          <w:tblHeader w:val="true"/>
        </w:trPr>
        <w:tc>
          <w:tcPr>
            <w:tcW w:type="dxa" w:w="10368"/>
            <w:shd w:fill="FFF8E1"/>
            <w:tcBorders>
              <w:top w:val="single" w:sz="8" w:color="D69E2E"/>
              <w:left w:val="single" w:sz="8" w:color="D69E2E"/>
              <w:bottom w:val="single" w:sz="8" w:color="D69E2E"/>
              <w:right w:val="single" w:sz="8" w:color="D69E2E"/>
            </w:tcBorders>
            <w:tcMar>
              <w:top w:w="50" w:type="dxa"/>
              <w:start w:w="80" w:type="dxa"/>
              <w:bottom w:w="50" w:type="dxa"/>
              <w:end w:w="80" w:type="dxa"/>
            </w:tcMar>
            <w:vAlign w:val="center"/>
          </w:tcPr>
          <w:p>
            <w:pPr>
              <w:spacing w:before="0" w:after="0" w:line="240" w:lineRule="auto"/>
              <w:ind w:left="0" w:right="0" w:firstLine="0"/>
              <w:jc w:val="left"/>
            </w:pPr>
            <w:r>
              <w:rPr>
                <w:rFonts w:ascii="Montserrat" w:hAnsi="Montserrat" w:eastAsia="Montserrat"/>
                <w:b/>
                <w:i w:val="0"/>
                <w:color w:val="172A50"/>
                <w:sz w:val="18"/>
              </w:rPr>
              <w:t>IMPLEMENTATION DISTINCTION</w:t>
            </w:r>
          </w:p>
          <w:p>
            <w:pPr>
              <w:spacing w:before="0" w:after="0" w:line="240" w:lineRule="auto"/>
              <w:ind w:left="0" w:right="0" w:firstLine="0"/>
              <w:jc w:val="left"/>
            </w:pPr>
            <w:r>
              <w:rPr>
                <w:rFonts w:ascii="Montserrat" w:hAnsi="Montserrat" w:eastAsia="Montserrat"/>
                <w:b/>
                <w:i w:val="0"/>
                <w:color w:val="1F2937"/>
                <w:sz w:val="18"/>
              </w:rPr>
              <w:t>The outcomes above are required by the CTA standards and syllabus. The sequential-release mechanics are a recommended LMS configuration because the current source set does not identify a specific LMS platform or its exact feature names.</w:t>
            </w:r>
          </w:p>
        </w:tc>
      </w:tr>
    </w:tbl>
    <w:p>
      <w:pPr>
        <w:spacing w:after="0"/>
      </w:pPr>
    </w:p>
    <w:p>
      <w:pPr>
        <w:keepNext/>
        <w:pBdr>
          <w:bottom w:val="single" w:sz="10" w:space="4" w:color="18A6A1"/>
        </w:pBdr>
        <w:spacing w:before="100" w:after="120" w:line="240" w:lineRule="auto"/>
      </w:pPr>
      <w:r>
        <w:rPr>
          <w:rFonts w:ascii="Montserrat" w:hAnsi="Montserrat" w:eastAsia="Montserrat"/>
          <w:b/>
          <w:i w:val="0"/>
          <w:color w:val="172A50"/>
          <w:sz w:val="29"/>
        </w:rPr>
        <w:t xml:space="preserve">5. </w:t>
      </w:r>
      <w:r>
        <w:rPr>
          <w:rFonts w:ascii="Montserrat" w:hAnsi="Montserrat" w:eastAsia="Montserrat"/>
          <w:b/>
          <w:i w:val="0"/>
          <w:color w:val="172A50"/>
          <w:sz w:val="29"/>
        </w:rPr>
        <w:t>Certificate Metadata and Trigger Map</w:t>
      </w:r>
    </w:p>
    <w:p>
      <w:pPr>
        <w:keepNext/>
        <w:spacing w:before="100" w:after="60" w:line="240" w:lineRule="auto"/>
      </w:pPr>
      <w:r>
        <w:rPr>
          <w:rFonts w:ascii="Montserrat" w:hAnsi="Montserrat" w:eastAsia="Montserrat"/>
          <w:b/>
          <w:i w:val="0"/>
          <w:color w:val="18A6A1"/>
          <w:sz w:val="23"/>
        </w:rPr>
        <w:t>A. Exact Certificate Fields</w:t>
      </w:r>
    </w:p>
    <w:tbl>
      <w:tblPr>
        <w:tblW w:type="dxa" w:w="10367"/>
        <w:jc w:val="center"/>
        <w:tblLayout w:type="fixed"/>
        <w:tblLook w:firstColumn="1" w:firstRow="1" w:lastColumn="0" w:lastRow="0" w:noHBand="0" w:noVBand="1" w:val="04A0"/>
        <w:tblInd w:w="0" w:type="dxa"/>
      </w:tblPr>
      <w:tblGrid>
        <w:gridCol w:w="3096"/>
        <w:gridCol w:w="7272"/>
      </w:tblGrid>
      <w:tr>
        <w:trPr>
          <w:tblHeader w:val="true"/>
          <w:cantSplit/>
        </w:trPr>
        <w:tc>
          <w:tcPr>
            <w:tcW w:type="dxa" w:w="3096"/>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8"/>
              </w:rPr>
              <w:t>Certificate Field</w:t>
            </w:r>
          </w:p>
        </w:tc>
        <w:tc>
          <w:tcPr>
            <w:tcW w:type="dxa" w:w="7272"/>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8"/>
              </w:rPr>
              <w:t>Controlled Entry</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Organization / provider name</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Clinical Training and Supervision Academy</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Participant name</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[DYNAMIC LEARNER FULL NAME]</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Certificate statement</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has successfully completed the continuing education course</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Exact course title</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California Law &amp; Ethics for Mental Health Professionals: Navigating the Evolving Clinical Landscape</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CE hours</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6.0 CE Hours</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Completion date</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[DYNAMIC COMPLETION DATE]</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Instructional method</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Asynchronous Distance Learning</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Presenter / author</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Candice Fuimaono, MS, LMFT</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Provider approval number</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[INSERT EXACT APPROVED PROVIDER NUMBER]</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Provider approval statement</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[INSERT EXACT APPROVED PROVIDER STATEMENT]</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Certificate ID</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[DYNAMIC UNIQUE CERTIFICATE ID]</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Issue date</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[DYNAMIC ISSUE DATE]</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Authorized signature</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[INSERT APPROVED SIGNATORY NAME, TITLE, AND SIGNATURE]</w:t>
            </w:r>
          </w:p>
        </w:tc>
      </w:tr>
      <w:tr>
        <w:trPr>
          <w:cantSplit/>
        </w:trPr>
        <w:tc>
          <w:tcPr>
            <w:tcW w:type="dxa" w:w="309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Course code</w:t>
            </w:r>
          </w:p>
        </w:tc>
        <w:tc>
          <w:tcPr>
            <w:tcW w:type="dxa" w:w="727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CTA-CE-001</w:t>
            </w:r>
          </w:p>
        </w:tc>
      </w:tr>
      <w:tr>
        <w:trPr>
          <w:cantSplit/>
        </w:trPr>
        <w:tc>
          <w:tcPr>
            <w:tcW w:type="dxa" w:w="309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Course version</w:t>
            </w:r>
          </w:p>
        </w:tc>
        <w:tc>
          <w:tcPr>
            <w:tcW w:type="dxa" w:w="727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v1.0</w:t>
            </w:r>
          </w:p>
        </w:tc>
      </w:tr>
    </w:tbl>
    <w:p>
      <w:pPr>
        <w:keepNext/>
        <w:spacing w:before="100" w:after="60" w:line="240" w:lineRule="auto"/>
      </w:pPr>
      <w:r>
        <w:rPr>
          <w:rFonts w:ascii="Montserrat" w:hAnsi="Montserrat" w:eastAsia="Montserrat"/>
          <w:b/>
          <w:i w:val="0"/>
          <w:color w:val="18A6A1"/>
          <w:sz w:val="23"/>
        </w:rPr>
        <w:t>B. Certificate Body Copy</w:t>
      </w:r>
    </w:p>
    <w:p>
      <w:pPr>
        <w:keepNext/>
        <w:spacing w:before="80" w:after="40" w:line="240" w:lineRule="auto"/>
      </w:pPr>
      <w:r>
        <w:rPr>
          <w:rFonts w:ascii="Montserrat" w:hAnsi="Montserrat" w:eastAsia="Montserrat"/>
          <w:b/>
          <w:i w:val="0"/>
          <w:color w:val="172A50"/>
          <w:sz w:val="18"/>
        </w:rPr>
        <w:t>Certificate Text</w:t>
      </w:r>
    </w:p>
    <w:tbl>
      <w:tblPr>
        <w:tblW w:type="dxa" w:w="10368"/>
        <w:jc w:val="center"/>
        <w:tblLayout w:type="fixed"/>
        <w:tblLook w:firstColumn="1" w:firstRow="1" w:lastColumn="0" w:lastRow="0" w:noHBand="0" w:noVBand="1" w:val="04A0"/>
        <w:tblInd w:w="0" w:type="dxa"/>
      </w:tblPr>
      <w:tblGrid>
        <w:gridCol w:w="10368"/>
      </w:tblGrid>
      <w:tr>
        <w:trPr>
          <w:tblHeader w:val="true"/>
        </w:trPr>
        <w:tc>
          <w:tcPr>
            <w:tcW w:type="dxa" w:w="10368"/>
            <w:shd w:fill="EEF3FA"/>
            <w:tcBorders>
              <w:top w:val="single" w:sz="5" w:color="AAB2BD"/>
              <w:left w:val="single" w:sz="5" w:color="AAB2BD"/>
              <w:bottom w:val="single" w:sz="5" w:color="AAB2BD"/>
              <w:right w:val="single" w:sz="5" w:color="AAB2BD"/>
            </w:tcBorders>
            <w:tcMar>
              <w:top w:w="50" w:type="dxa"/>
              <w:start w:w="80" w:type="dxa"/>
              <w:bottom w:w="50" w:type="dxa"/>
              <w:end w:w="80" w:type="dxa"/>
            </w:tcMar>
            <w:vAlign w:val="center"/>
          </w:tcPr>
          <w:p>
            <w:pPr>
              <w:spacing w:before="0" w:after="0" w:line="240" w:lineRule="auto"/>
              <w:ind w:left="0" w:right="0" w:firstLine="0"/>
              <w:jc w:val="left"/>
            </w:pPr>
            <w:r>
              <w:rPr>
                <w:rFonts w:ascii="Montserrat" w:hAnsi="Montserrat" w:eastAsia="Montserrat"/>
                <w:b/>
                <w:i w:val="0"/>
                <w:color w:val="1F2937"/>
                <w:sz w:val="18"/>
              </w:rPr>
              <w:t>Clinical Training and Supervision Academy</w:t>
              <w:br/>
              <w:br/>
              <w:t>certifies that</w:t>
              <w:br/>
              <w:br/>
              <w:t>[DYNAMIC LEARNER FULL NAME]</w:t>
              <w:br/>
              <w:br/>
              <w:t>has successfully completed the continuing education course</w:t>
              <w:br/>
              <w:br/>
              <w:t>California Law &amp; Ethics for Mental Health Professionals: Navigating the Evolving Clinical Landscape</w:t>
              <w:br/>
              <w:br/>
              <w:t>6.0 CE Hours</w:t>
              <w:br/>
              <w:br/>
              <w:t>Completed: [DYNAMIC COMPLETION DATE]</w:t>
              <w:br/>
              <w:t>Instructional Method: Asynchronous Distance Learning</w:t>
              <w:br/>
              <w:t>Presenter/Author: Candice Fuimaono, MS, LMFT</w:t>
              <w:br/>
              <w:br/>
              <w:t>[INSERT EXACT PROVIDER APPROVAL STATEMENT AND PROVIDER NUMBER]</w:t>
              <w:br/>
              <w:t>Certificate ID: [DYNAMIC UNIQUE CERTIFICATE ID]</w:t>
            </w:r>
          </w:p>
        </w:tc>
      </w:tr>
    </w:tbl>
    <w:p>
      <w:pPr>
        <w:keepNext/>
        <w:spacing w:before="100" w:after="60" w:line="240" w:lineRule="auto"/>
      </w:pPr>
      <w:r>
        <w:rPr>
          <w:rFonts w:ascii="Montserrat" w:hAnsi="Montserrat" w:eastAsia="Montserrat"/>
          <w:b/>
          <w:i w:val="0"/>
          <w:color w:val="18A6A1"/>
          <w:sz w:val="23"/>
        </w:rPr>
        <w:t>C. Certificate Release Logic</w:t>
      </w:r>
    </w:p>
    <w:p>
      <w:pPr>
        <w:pStyle w:val="ListBullet"/>
        <w:spacing w:after="10" w:before="0" w:line="240" w:lineRule="auto"/>
      </w:pPr>
      <w:r>
        <w:rPr>
          <w:rFonts w:ascii="Montserrat" w:hAnsi="Montserrat" w:eastAsia="Montserrat"/>
          <w:b w:val="0"/>
          <w:i w:val="0"/>
          <w:color w:val="1F2937"/>
          <w:sz w:val="17"/>
        </w:rPr>
        <w:t>All six instructional modules and the required Course Integration Capstone are complete.</w:t>
      </w:r>
    </w:p>
    <w:p>
      <w:pPr>
        <w:pStyle w:val="ListBullet"/>
        <w:spacing w:after="10" w:before="0" w:line="240" w:lineRule="auto"/>
      </w:pPr>
      <w:r>
        <w:rPr>
          <w:rFonts w:ascii="Montserrat" w:hAnsi="Montserrat" w:eastAsia="Montserrat"/>
          <w:b w:val="0"/>
          <w:i w:val="0"/>
          <w:color w:val="1F2937"/>
          <w:sz w:val="17"/>
        </w:rPr>
        <w:t>All embedded required learning activities are complete.</w:t>
      </w:r>
    </w:p>
    <w:p>
      <w:pPr>
        <w:pStyle w:val="ListBullet"/>
        <w:spacing w:after="10" w:before="0" w:line="240" w:lineRule="auto"/>
      </w:pPr>
      <w:r>
        <w:rPr>
          <w:rFonts w:ascii="Montserrat" w:hAnsi="Montserrat" w:eastAsia="Montserrat"/>
          <w:b w:val="0"/>
          <w:i w:val="0"/>
          <w:color w:val="1F2937"/>
          <w:sz w:val="17"/>
        </w:rPr>
        <w:t>Final examination score is at least 70% (18/25).</w:t>
      </w:r>
    </w:p>
    <w:p>
      <w:pPr>
        <w:pStyle w:val="ListBullet"/>
        <w:spacing w:after="10" w:before="0" w:line="240" w:lineRule="auto"/>
      </w:pPr>
      <w:r>
        <w:rPr>
          <w:rFonts w:ascii="Montserrat" w:hAnsi="Montserrat" w:eastAsia="Montserrat"/>
          <w:b w:val="0"/>
          <w:i w:val="0"/>
          <w:color w:val="1F2937"/>
          <w:sz w:val="17"/>
        </w:rPr>
        <w:t>Course-specific evaluation is complete.</w:t>
      </w:r>
    </w:p>
    <w:p>
      <w:pPr>
        <w:pStyle w:val="ListBullet"/>
        <w:spacing w:after="10" w:before="0" w:line="240" w:lineRule="auto"/>
      </w:pPr>
      <w:r>
        <w:rPr>
          <w:rFonts w:ascii="Montserrat" w:hAnsi="Montserrat" w:eastAsia="Montserrat"/>
          <w:b w:val="0"/>
          <w:i w:val="0"/>
          <w:color w:val="1F2937"/>
          <w:sz w:val="17"/>
        </w:rPr>
        <w:t>Course-completion attestation is submitted.</w:t>
      </w:r>
    </w:p>
    <w:p>
      <w:pPr>
        <w:pStyle w:val="ListBullet"/>
        <w:spacing w:after="10" w:before="0" w:line="240" w:lineRule="auto"/>
      </w:pPr>
      <w:r>
        <w:rPr>
          <w:rFonts w:ascii="Montserrat" w:hAnsi="Montserrat" w:eastAsia="Montserrat"/>
          <w:b w:val="0"/>
          <w:i w:val="0"/>
          <w:color w:val="1F2937"/>
          <w:sz w:val="17"/>
        </w:rPr>
        <w:t>Participant name and completion date are populated correctly.</w:t>
      </w:r>
    </w:p>
    <w:p>
      <w:pPr>
        <w:pStyle w:val="ListBullet"/>
        <w:spacing w:after="10" w:before="0" w:line="240" w:lineRule="auto"/>
      </w:pPr>
      <w:r>
        <w:rPr>
          <w:rFonts w:ascii="Montserrat" w:hAnsi="Montserrat" w:eastAsia="Montserrat"/>
          <w:b w:val="0"/>
          <w:i w:val="0"/>
          <w:color w:val="1F2937"/>
          <w:sz w:val="17"/>
        </w:rPr>
        <w:t>Certificate title and CE hours match the syllabus exactly.</w:t>
      </w:r>
    </w:p>
    <w:p>
      <w:pPr>
        <w:keepNext/>
        <w:spacing w:before="100" w:after="60" w:line="240" w:lineRule="auto"/>
      </w:pPr>
      <w:r>
        <w:rPr>
          <w:rFonts w:ascii="Montserrat" w:hAnsi="Montserrat" w:eastAsia="Montserrat"/>
          <w:b/>
          <w:i w:val="0"/>
          <w:color w:val="18A6A1"/>
          <w:sz w:val="23"/>
        </w:rPr>
        <w:t>D. Certificate Design Notes</w:t>
      </w:r>
    </w:p>
    <w:p>
      <w:pPr>
        <w:pStyle w:val="ListBullet"/>
        <w:spacing w:after="10" w:before="0" w:line="240" w:lineRule="auto"/>
      </w:pPr>
      <w:r>
        <w:rPr>
          <w:rFonts w:ascii="Montserrat" w:hAnsi="Montserrat" w:eastAsia="Montserrat"/>
          <w:b w:val="0"/>
          <w:i w:val="0"/>
          <w:color w:val="1F2937"/>
          <w:sz w:val="17"/>
        </w:rPr>
        <w:t>Use an approved CTA certificate branding format.</w:t>
      </w:r>
    </w:p>
    <w:p>
      <w:pPr>
        <w:pStyle w:val="ListBullet"/>
        <w:spacing w:after="10" w:before="0" w:line="240" w:lineRule="auto"/>
      </w:pPr>
      <w:r>
        <w:rPr>
          <w:rFonts w:ascii="Montserrat" w:hAnsi="Montserrat" w:eastAsia="Montserrat"/>
          <w:b w:val="0"/>
          <w:i w:val="0"/>
          <w:color w:val="1F2937"/>
          <w:sz w:val="17"/>
        </w:rPr>
        <w:t>Use the approved secondary/circular CTA logo for certificates when available.</w:t>
      </w:r>
    </w:p>
    <w:p>
      <w:pPr>
        <w:pStyle w:val="ListBullet"/>
        <w:spacing w:after="10" w:before="0" w:line="240" w:lineRule="auto"/>
      </w:pPr>
      <w:r>
        <w:rPr>
          <w:rFonts w:ascii="Montserrat" w:hAnsi="Montserrat" w:eastAsia="Montserrat"/>
          <w:b w:val="0"/>
          <w:i w:val="0"/>
          <w:color w:val="1F2937"/>
          <w:sz w:val="17"/>
        </w:rPr>
        <w:t>Maintain CTA navy, teal, white, and light-gray branding.</w:t>
      </w:r>
    </w:p>
    <w:p>
      <w:pPr>
        <w:pStyle w:val="ListBullet"/>
        <w:spacing w:after="10" w:before="0" w:line="240" w:lineRule="auto"/>
      </w:pPr>
      <w:r>
        <w:rPr>
          <w:rFonts w:ascii="Montserrat" w:hAnsi="Montserrat" w:eastAsia="Montserrat"/>
          <w:b w:val="0"/>
          <w:i w:val="0"/>
          <w:color w:val="1F2937"/>
          <w:sz w:val="17"/>
        </w:rPr>
        <w:t>Do not stretch, distort, recolor, or modify the logo.</w:t>
      </w:r>
    </w:p>
    <w:p>
      <w:pPr>
        <w:pStyle w:val="ListBullet"/>
        <w:spacing w:after="10" w:before="0" w:line="240" w:lineRule="auto"/>
      </w:pPr>
      <w:r>
        <w:rPr>
          <w:rFonts w:ascii="Montserrat" w:hAnsi="Montserrat" w:eastAsia="Montserrat"/>
          <w:b w:val="0"/>
          <w:i w:val="0"/>
          <w:color w:val="1F2937"/>
          <w:sz w:val="17"/>
        </w:rPr>
        <w:t>Keep the exact course title and 6.0 CE Hours prominent and legible.</w:t>
      </w:r>
    </w:p>
    <w:p>
      <w:pPr>
        <w:pStyle w:val="ListBullet"/>
        <w:spacing w:after="10" w:before="0" w:line="240" w:lineRule="auto"/>
      </w:pPr>
      <w:r>
        <w:rPr>
          <w:rFonts w:ascii="Montserrat" w:hAnsi="Montserrat" w:eastAsia="Montserrat"/>
          <w:b w:val="0"/>
          <w:i w:val="0"/>
          <w:color w:val="1F2937"/>
          <w:sz w:val="17"/>
        </w:rPr>
        <w:t>Do not display an approval number or provider statement until the exact approved wording has been confirmed.</w:t>
      </w:r>
    </w:p>
    <w:p>
      <w:pPr>
        <w:keepNext/>
        <w:pBdr>
          <w:bottom w:val="single" w:sz="10" w:space="4" w:color="18A6A1"/>
        </w:pBdr>
        <w:spacing w:before="100" w:after="120" w:line="240" w:lineRule="auto"/>
      </w:pPr>
      <w:r>
        <w:rPr>
          <w:rFonts w:ascii="Montserrat" w:hAnsi="Montserrat" w:eastAsia="Montserrat"/>
          <w:b/>
          <w:i w:val="0"/>
          <w:color w:val="172A50"/>
          <w:sz w:val="29"/>
        </w:rPr>
        <w:t>6. Course Image Status</w:t>
      </w:r>
      <w:r>
        <w:rPr>
          <w:rFonts w:ascii="Montserrat" w:hAnsi="Montserrat" w:eastAsia="Montserrat"/>
          <w:b/>
          <w:i w:val="0"/>
          <w:color w:val="172A50"/>
          <w:sz w:val="29"/>
        </w:rPr>
      </w:r>
    </w:p>
    <w:tbl>
      <w:tblPr>
        <w:tblW w:type="dxa" w:w="10368"/>
        <w:jc w:val="center"/>
        <w:tblLayout w:type="fixed"/>
        <w:tblLook w:firstColumn="1" w:firstRow="1" w:lastColumn="0" w:lastRow="0" w:noHBand="0" w:noVBand="1" w:val="04A0"/>
        <w:tblInd w:w="0" w:type="dxa"/>
      </w:tblPr>
      <w:tblGrid>
        <w:gridCol w:w="2880"/>
        <w:gridCol w:w="7488"/>
      </w:tblGrid>
      <w:tr>
        <w:trPr>
          <w:tblHeader w:val="true"/>
          <w:cantSplit/>
        </w:trPr>
        <w:tc>
          <w:tcPr>
            <w:tcW w:type="dxa" w:w="2880"/>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8"/>
              </w:rPr>
              <w:t>Element</w:t>
            </w:r>
          </w:p>
        </w:tc>
        <w:tc>
          <w:tcPr>
            <w:tcW w:type="dxa" w:w="7488"/>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8"/>
              </w:rPr>
              <w:t>Required Direction</w:t>
            </w:r>
          </w:p>
        </w:tc>
      </w:tr>
      <w:tr>
        <w:trPr>
          <w:cantSplit/>
        </w:trPr>
        <w:tc>
          <w:tcPr>
            <w:tcW w:type="dxa" w:w="288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Image status</w:t>
            </w:r>
          </w:p>
        </w:tc>
        <w:tc>
          <w:tcPr>
            <w:tcW w:type="dxa" w:w="7488"/>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The approved course image was previously supplied to David and is already implemented on the website.</w:t>
            </w:r>
          </w:p>
        </w:tc>
      </w:tr>
      <w:tr>
        <w:trPr>
          <w:cantSplit/>
        </w:trPr>
        <w:tc>
          <w:tcPr>
            <w:tcW w:type="dxa" w:w="288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Handoff instruction</w:t>
            </w:r>
          </w:p>
        </w:tc>
        <w:tc>
          <w:tcPr>
            <w:tcW w:type="dxa" w:w="7488"/>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No additional course image file or replacement upload is included in this package. Retain the current website image unless CTA provides a later revision.</w:t>
            </w:r>
          </w:p>
        </w:tc>
      </w:tr>
      <w:tr>
        <w:trPr>
          <w:cantSplit/>
        </w:trPr>
        <w:tc>
          <w:tcPr>
            <w:tcW w:type="dxa" w:w="288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Accessibility</w:t>
            </w:r>
          </w:p>
        </w:tc>
        <w:tc>
          <w:tcPr>
            <w:tcW w:type="dxa" w:w="7488"/>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Retain descriptive alt text and verify that the existing image remains legible in desktop and mobile views.</w:t>
            </w:r>
          </w:p>
        </w:tc>
      </w:tr>
    </w:tbl>
    <w:p>
      <w:pPr>
        <w:keepNext/>
        <w:pageBreakBefore w:val="0"/>
        <w:pBdr>
          <w:bottom w:val="single" w:sz="10" w:space="4" w:color="18A6A1"/>
        </w:pBdr>
        <w:spacing w:before="100" w:after="120" w:line="240" w:lineRule="auto"/>
      </w:pPr>
      <w:r>
        <w:rPr>
          <w:rFonts w:ascii="Montserrat" w:hAnsi="Montserrat" w:eastAsia="Montserrat"/>
          <w:b/>
          <w:i w:val="0"/>
          <w:color w:val="172A50"/>
          <w:sz w:val="29"/>
        </w:rPr>
        <w:t xml:space="preserve">7. </w:t>
      </w:r>
      <w:r>
        <w:rPr>
          <w:rFonts w:ascii="Montserrat" w:hAnsi="Montserrat" w:eastAsia="Montserrat"/>
          <w:b/>
          <w:i w:val="0"/>
          <w:color w:val="172A50"/>
          <w:sz w:val="29"/>
        </w:rPr>
        <w:t>Catalog, Pricing, Website, LMS, and Certificate Synchronization</w:t>
      </w:r>
    </w:p>
    <w:tbl>
      <w:tblPr>
        <w:tblW w:type="dxa" w:w="10368"/>
        <w:jc w:val="center"/>
        <w:tblLayout w:type="fixed"/>
        <w:tblLook w:firstColumn="1" w:firstRow="1" w:lastColumn="0" w:lastRow="0" w:noHBand="0" w:noVBand="1" w:val="04A0"/>
        <w:tblInd w:w="0" w:type="dxa"/>
      </w:tblPr>
      <w:tblGrid>
        <w:gridCol w:w="2232"/>
        <w:gridCol w:w="3816"/>
        <w:gridCol w:w="4320"/>
      </w:tblGrid>
      <w:tr>
        <w:trPr>
          <w:tblHeader w:val="true"/>
          <w:cantSplit/>
        </w:trPr>
        <w:tc>
          <w:tcPr>
            <w:tcW w:type="dxa" w:w="2232"/>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6"/>
              </w:rPr>
              <w:t>Data Element</w:t>
            </w:r>
          </w:p>
        </w:tc>
        <w:tc>
          <w:tcPr>
            <w:tcW w:type="dxa" w:w="3816"/>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6"/>
              </w:rPr>
              <w:t>Controlled Value</w:t>
            </w:r>
          </w:p>
        </w:tc>
        <w:tc>
          <w:tcPr>
            <w:tcW w:type="dxa" w:w="4320"/>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6"/>
              </w:rPr>
              <w:t>Systems to Match</w:t>
            </w:r>
          </w:p>
        </w:tc>
      </w:tr>
      <w:tr>
        <w:trPr>
          <w:cantSplit/>
        </w:trPr>
        <w:tc>
          <w:tcPr>
            <w:tcW w:type="dxa" w:w="223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Course titles</w:t>
            </w:r>
          </w:p>
        </w:tc>
        <w:tc>
          <w:tcPr>
            <w:tcW w:type="dxa" w:w="381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Display: California Law &amp; Ethics for Mental Health Professionals</w:t>
              <w:br/>
              <w:t>Formal: California Law &amp; Ethics for Mental Health Professionals: Navigating the Evolving Clinical Landscape</w:t>
            </w:r>
          </w:p>
        </w:tc>
        <w:tc>
          <w:tcPr>
            <w:tcW w:type="dxa" w:w="432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6"/>
              </w:rPr>
              <w:t>Display: website, LMS, checkout, learner dashboard</w:t>
              <w:br/>
              <w:t>Formal: syllabus, catalog, evaluation, certificate, internal records</w:t>
            </w:r>
          </w:p>
        </w:tc>
      </w:tr>
      <w:tr>
        <w:trPr>
          <w:cantSplit/>
        </w:trPr>
        <w:tc>
          <w:tcPr>
            <w:tcW w:type="dxa" w:w="223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CE hours</w:t>
            </w:r>
          </w:p>
        </w:tc>
        <w:tc>
          <w:tcPr>
            <w:tcW w:type="dxa" w:w="381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6.0 CE Hours / 360 public instructional minutes / recorded media total 6:01:37</w:t>
            </w:r>
          </w:p>
        </w:tc>
        <w:tc>
          <w:tcPr>
            <w:tcW w:type="dxa" w:w="432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Syllabus, catalog, website, LMS, certificate</w:t>
            </w:r>
          </w:p>
        </w:tc>
      </w:tr>
      <w:tr>
        <w:trPr>
          <w:cantSplit/>
        </w:trPr>
        <w:tc>
          <w:tcPr>
            <w:tcW w:type="dxa" w:w="223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Price</w:t>
            </w:r>
          </w:p>
        </w:tc>
        <w:tc>
          <w:tcPr>
            <w:tcW w:type="dxa" w:w="381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$79</w:t>
            </w:r>
          </w:p>
        </w:tc>
        <w:tc>
          <w:tcPr>
            <w:tcW w:type="dxa" w:w="432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Pricing catalog, website, LMS/checkout</w:t>
            </w:r>
          </w:p>
        </w:tc>
      </w:tr>
      <w:tr>
        <w:trPr>
          <w:cantSplit/>
        </w:trPr>
        <w:tc>
          <w:tcPr>
            <w:tcW w:type="dxa" w:w="223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Audience</w:t>
            </w:r>
          </w:p>
        </w:tc>
        <w:tc>
          <w:tcPr>
            <w:tcW w:type="dxa" w:w="381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LMFTs, LCSWs, LPCCs, LEPs, and Registered Associates</w:t>
            </w:r>
          </w:p>
        </w:tc>
        <w:tc>
          <w:tcPr>
            <w:tcW w:type="dxa" w:w="432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Syllabus, catalog, website, LMS</w:t>
            </w:r>
          </w:p>
        </w:tc>
      </w:tr>
      <w:tr>
        <w:trPr>
          <w:cantSplit/>
        </w:trPr>
        <w:tc>
          <w:tcPr>
            <w:tcW w:type="dxa" w:w="223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Instructional method</w:t>
            </w:r>
          </w:p>
        </w:tc>
        <w:tc>
          <w:tcPr>
            <w:tcW w:type="dxa" w:w="381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Asynchronous Distance Learning</w:t>
            </w:r>
          </w:p>
        </w:tc>
        <w:tc>
          <w:tcPr>
            <w:tcW w:type="dxa" w:w="432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Syllabus, catalog, website, LMS, certificate</w:t>
            </w:r>
          </w:p>
        </w:tc>
      </w:tr>
      <w:tr>
        <w:trPr>
          <w:cantSplit/>
        </w:trPr>
        <w:tc>
          <w:tcPr>
            <w:tcW w:type="dxa" w:w="223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Presenter</w:t>
            </w:r>
          </w:p>
        </w:tc>
        <w:tc>
          <w:tcPr>
            <w:tcW w:type="dxa" w:w="381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Candice Fuimaono, MS, LMFT</w:t>
            </w:r>
          </w:p>
        </w:tc>
        <w:tc>
          <w:tcPr>
            <w:tcW w:type="dxa" w:w="432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Syllabus, website, LMS, certificate</w:t>
            </w:r>
          </w:p>
        </w:tc>
      </w:tr>
      <w:tr>
        <w:trPr>
          <w:cantSplit/>
        </w:trPr>
        <w:tc>
          <w:tcPr>
            <w:tcW w:type="dxa" w:w="223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Learning objectives</w:t>
            </w:r>
          </w:p>
        </w:tc>
        <w:tc>
          <w:tcPr>
            <w:tcW w:type="dxa" w:w="381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Six approved objectives, unchanged</w:t>
            </w:r>
          </w:p>
        </w:tc>
        <w:tc>
          <w:tcPr>
            <w:tcW w:type="dxa" w:w="432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Syllabus, LMS, website, evaluation, assessment map</w:t>
            </w:r>
          </w:p>
        </w:tc>
      </w:tr>
      <w:tr>
        <w:trPr>
          <w:cantSplit/>
        </w:trPr>
        <w:tc>
          <w:tcPr>
            <w:tcW w:type="dxa" w:w="223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Resource</w:t>
            </w:r>
          </w:p>
        </w:tc>
        <w:tc>
          <w:tcPr>
            <w:tcW w:type="dxa" w:w="381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CTA California Law &amp; Ethics Practice Protection Toolkit v1.0</w:t>
            </w:r>
          </w:p>
        </w:tc>
        <w:tc>
          <w:tcPr>
            <w:tcW w:type="dxa" w:w="432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LMS, public description where included, course folder</w:t>
            </w:r>
          </w:p>
        </w:tc>
      </w:tr>
      <w:tr>
        <w:trPr>
          <w:cantSplit/>
        </w:trPr>
        <w:tc>
          <w:tcPr>
            <w:tcW w:type="dxa" w:w="2232"/>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Evaluation</w:t>
            </w:r>
          </w:p>
        </w:tc>
        <w:tc>
          <w:tcPr>
            <w:tcW w:type="dxa" w:w="3816"/>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CTA California Law &amp; Ethics Course Evaluation v1.0</w:t>
            </w:r>
          </w:p>
        </w:tc>
        <w:tc>
          <w:tcPr>
            <w:tcW w:type="dxa" w:w="4320"/>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LMS, course folder</w:t>
            </w:r>
          </w:p>
        </w:tc>
      </w:tr>
      <w:tr>
        <w:trPr>
          <w:cantSplit/>
        </w:trPr>
        <w:tc>
          <w:tcPr>
            <w:tcW w:type="dxa" w:w="2232"/>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Certificate trigger</w:t>
            </w:r>
          </w:p>
        </w:tc>
        <w:tc>
          <w:tcPr>
            <w:tcW w:type="dxa" w:w="3816"/>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Modules + required capstone + final exam + evaluation + attestation</w:t>
            </w:r>
          </w:p>
        </w:tc>
        <w:tc>
          <w:tcPr>
            <w:tcW w:type="dxa" w:w="4320"/>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6"/>
              </w:rPr>
              <w:t>LMS completion rules</w:t>
            </w:r>
          </w:p>
        </w:tc>
      </w:tr>
    </w:tbl>
    <w:p>
      <w:pPr>
        <w:keepNext/>
        <w:spacing w:before="100" w:after="60" w:line="240" w:lineRule="auto"/>
      </w:pPr>
      <w:r>
        <w:rPr>
          <w:rFonts w:ascii="Montserrat" w:hAnsi="Montserrat" w:eastAsia="Montserrat"/>
          <w:b/>
          <w:i w:val="0"/>
          <w:color w:val="18A6A1"/>
          <w:sz w:val="23"/>
        </w:rPr>
        <w:t>Unresolved Fields Before Publication</w:t>
      </w:r>
    </w:p>
    <w:p>
      <w:pPr>
        <w:pStyle w:val="ListBullet"/>
        <w:spacing w:after="10" w:before="0" w:line="240" w:lineRule="auto"/>
      </w:pPr>
      <w:r>
        <w:rPr>
          <w:rFonts w:ascii="Montserrat" w:hAnsi="Montserrat" w:eastAsia="Montserrat"/>
          <w:b w:val="0"/>
          <w:i w:val="0"/>
          <w:color w:val="1F2937"/>
          <w:sz w:val="17"/>
        </w:rPr>
        <w:t>Retain course code CTA-CE-001 across the LMS, certificate, and administrative records.</w:t>
      </w:r>
    </w:p>
    <w:p>
      <w:pPr>
        <w:pStyle w:val="ListBullet"/>
        <w:spacing w:after="10" w:before="0" w:line="240" w:lineRule="auto"/>
      </w:pPr>
      <w:r>
        <w:rPr>
          <w:rFonts w:ascii="Montserrat" w:hAnsi="Montserrat" w:eastAsia="Montserrat"/>
          <w:b w:val="0"/>
          <w:i w:val="0"/>
          <w:color w:val="1F2937"/>
          <w:sz w:val="17"/>
        </w:rPr>
        <w:t>Define the learner access period.</w:t>
      </w:r>
    </w:p>
    <w:p>
      <w:pPr>
        <w:pStyle w:val="ListBullet"/>
        <w:spacing w:after="10" w:before="0" w:line="240" w:lineRule="auto"/>
      </w:pPr>
      <w:r>
        <w:rPr>
          <w:rFonts w:ascii="Montserrat" w:hAnsi="Montserrat" w:eastAsia="Montserrat"/>
          <w:b w:val="0"/>
          <w:i w:val="0"/>
          <w:color w:val="1F2937"/>
          <w:sz w:val="17"/>
        </w:rPr>
        <w:t>Retain the approved course image already implemented on the website; no additional image upload is required.</w:t>
      </w:r>
    </w:p>
    <w:p>
      <w:pPr>
        <w:pStyle w:val="ListBullet"/>
        <w:spacing w:after="10" w:before="0" w:line="240" w:lineRule="auto"/>
      </w:pPr>
      <w:r>
        <w:rPr>
          <w:rFonts w:ascii="Montserrat" w:hAnsi="Montserrat" w:eastAsia="Montserrat"/>
          <w:b w:val="0"/>
          <w:i w:val="0"/>
          <w:color w:val="1F2937"/>
          <w:sz w:val="17"/>
        </w:rPr>
        <w:t>Confirm the exact provider approval number and legally required provider statement.</w:t>
      </w:r>
    </w:p>
    <w:p>
      <w:pPr>
        <w:pStyle w:val="ListBullet"/>
        <w:spacing w:after="10" w:before="0" w:line="240" w:lineRule="auto"/>
      </w:pPr>
      <w:r>
        <w:rPr>
          <w:rFonts w:ascii="Montserrat" w:hAnsi="Montserrat" w:eastAsia="Montserrat"/>
          <w:b w:val="0"/>
          <w:i w:val="0"/>
          <w:color w:val="1F2937"/>
          <w:sz w:val="17"/>
        </w:rPr>
        <w:t>Identify the authorized certificate signatory.</w:t>
      </w:r>
    </w:p>
    <w:p>
      <w:pPr>
        <w:pStyle w:val="ListBullet"/>
        <w:spacing w:after="10" w:before="0" w:line="240" w:lineRule="auto"/>
      </w:pPr>
      <w:r>
        <w:rPr>
          <w:rFonts w:ascii="Montserrat" w:hAnsi="Montserrat" w:eastAsia="Montserrat"/>
          <w:b w:val="0"/>
          <w:i w:val="0"/>
          <w:color w:val="1F2937"/>
          <w:sz w:val="17"/>
        </w:rPr>
        <w:t>Confirm checkout, refund, grievance, accessibility, privacy, and support links in the website/LMS environment.</w:t>
      </w:r>
    </w:p>
    <w:p>
      <w:pPr>
        <w:pStyle w:val="ListBullet"/>
        <w:spacing w:after="10" w:before="0" w:line="240" w:lineRule="auto"/>
      </w:pPr>
      <w:r>
        <w:rPr>
          <w:rFonts w:ascii="Montserrat" w:hAnsi="Montserrat" w:eastAsia="Montserrat"/>
          <w:b w:val="0"/>
          <w:i w:val="0"/>
          <w:color w:val="1F2937"/>
          <w:sz w:val="17"/>
        </w:rPr>
        <w:t>Complete the required legal and factual verification identified in the Master References &amp; Course Update Log.</w:t>
      </w:r>
    </w:p>
    <w:p>
      <w:pPr>
        <w:pStyle w:val="ListBullet"/>
        <w:spacing w:after="10" w:before="0" w:line="240" w:lineRule="auto"/>
      </w:pPr>
      <w:r>
        <w:rPr>
          <w:rFonts w:ascii="Montserrat" w:hAnsi="Montserrat" w:eastAsia="Montserrat"/>
          <w:b w:val="0"/>
          <w:i w:val="0"/>
          <w:color w:val="1F2937"/>
          <w:sz w:val="17"/>
        </w:rPr>
        <w:t>Retain the finalized Module 3, Module 6 transition, and Course Integration Capstone assets.</w:t>
      </w:r>
    </w:p>
    <w:p>
      <w:pPr>
        <w:keepNext/>
        <w:pBdr>
          <w:bottom w:val="single" w:sz="10" w:space="4" w:color="18A6A1"/>
        </w:pBdr>
        <w:spacing w:before="100" w:after="120" w:line="240" w:lineRule="auto"/>
      </w:pPr>
      <w:r>
        <w:rPr>
          <w:rFonts w:ascii="Montserrat" w:hAnsi="Montserrat" w:eastAsia="Montserrat"/>
          <w:b/>
          <w:i w:val="0"/>
          <w:color w:val="172A50"/>
          <w:sz w:val="29"/>
        </w:rPr>
        <w:t xml:space="preserve">8. </w:t>
      </w:r>
      <w:r>
        <w:rPr>
          <w:rFonts w:ascii="Montserrat" w:hAnsi="Montserrat" w:eastAsia="Montserrat"/>
          <w:b/>
          <w:i w:val="0"/>
          <w:color w:val="172A50"/>
          <w:sz w:val="29"/>
        </w:rPr>
        <w:t>Implementation and Publication QA Checklist</w:t>
      </w:r>
    </w:p>
    <w:p>
      <w:pPr>
        <w:spacing w:after="0" w:before="0" w:line="228" w:lineRule="auto"/>
      </w:pPr>
      <w:r>
        <w:rPr>
          <w:rFonts w:ascii="Montserrat" w:hAnsi="Montserrat" w:eastAsia="Montserrat"/>
          <w:b w:val="0"/>
          <w:i w:val="0"/>
          <w:color w:val="172A50"/>
          <w:sz w:val="17"/>
        </w:rPr>
        <w:t>☐  Display title, formal title, CE hours, audience, presenter, price, and existing course image match the controlling records.</w:t>
      </w:r>
      <w:r>
        <w:rPr>
          <w:rFonts w:ascii="Montserrat" w:hAnsi="Montserrat" w:eastAsia="Montserrat"/>
          <w:b w:val="0"/>
          <w:i w:val="0"/>
          <w:color w:val="1F2937"/>
          <w:sz w:val="17"/>
        </w:rPr>
      </w:r>
    </w:p>
    <w:p>
      <w:pPr>
        <w:spacing w:after="0" w:before="0" w:line="228" w:lineRule="auto"/>
      </w:pPr>
      <w:r>
        <w:rPr>
          <w:rFonts w:ascii="Montserrat" w:hAnsi="Montserrat" w:eastAsia="Montserrat"/>
          <w:b w:val="0"/>
          <w:i w:val="0"/>
          <w:color w:val="172A50"/>
          <w:sz w:val="17"/>
        </w:rPr>
        <w:t xml:space="preserve">☐  </w:t>
      </w:r>
      <w:r>
        <w:rPr>
          <w:rFonts w:ascii="Montserrat" w:hAnsi="Montserrat" w:eastAsia="Montserrat"/>
          <w:b w:val="0"/>
          <w:i w:val="0"/>
          <w:color w:val="1F2937"/>
          <w:sz w:val="17"/>
        </w:rPr>
        <w:t>Website short and full descriptions contain no unsupported approval or acceptance claims.</w:t>
      </w:r>
    </w:p>
    <w:p>
      <w:pPr>
        <w:spacing w:after="0" w:before="0" w:line="228" w:lineRule="auto"/>
      </w:pPr>
      <w:r>
        <w:rPr>
          <w:rFonts w:ascii="Montserrat" w:hAnsi="Montserrat" w:eastAsia="Montserrat"/>
          <w:b w:val="0"/>
          <w:i w:val="0"/>
          <w:color w:val="172A50"/>
          <w:sz w:val="17"/>
        </w:rPr>
        <w:t>☐  Course code CTA-CE-001 is inserted everywhere, and the learner access period is approved before publication.</w:t>
      </w:r>
      <w:r>
        <w:rPr>
          <w:rFonts w:ascii="Montserrat" w:hAnsi="Montserrat" w:eastAsia="Montserrat"/>
          <w:b w:val="0"/>
          <w:i w:val="0"/>
          <w:color w:val="1F2937"/>
          <w:sz w:val="17"/>
        </w:rPr>
      </w:r>
    </w:p>
    <w:p>
      <w:pPr>
        <w:spacing w:after="0" w:before="0" w:line="228" w:lineRule="auto"/>
      </w:pPr>
      <w:r>
        <w:rPr>
          <w:rFonts w:ascii="Montserrat" w:hAnsi="Montserrat" w:eastAsia="Montserrat"/>
          <w:b w:val="0"/>
          <w:i w:val="0"/>
          <w:color w:val="172A50"/>
          <w:sz w:val="17"/>
        </w:rPr>
        <w:t>☐  Modules 1-6 and the required Course Integration Capstone use the approved sequence and titles.</w:t>
      </w:r>
      <w:r>
        <w:rPr>
          <w:rFonts w:ascii="Montserrat" w:hAnsi="Montserrat" w:eastAsia="Montserrat"/>
          <w:b w:val="0"/>
          <w:i w:val="0"/>
          <w:color w:val="1F2937"/>
          <w:sz w:val="17"/>
        </w:rPr>
      </w:r>
    </w:p>
    <w:p>
      <w:pPr>
        <w:spacing w:after="0" w:before="0" w:line="228" w:lineRule="auto"/>
      </w:pPr>
      <w:r>
        <w:rPr>
          <w:rFonts w:ascii="Montserrat" w:hAnsi="Montserrat" w:eastAsia="Montserrat"/>
          <w:b w:val="0"/>
          <w:i w:val="0"/>
          <w:color w:val="172A50"/>
          <w:sz w:val="17"/>
        </w:rPr>
        <w:t xml:space="preserve">☐  </w:t>
      </w:r>
      <w:r>
        <w:rPr>
          <w:rFonts w:ascii="Montserrat" w:hAnsi="Montserrat" w:eastAsia="Montserrat"/>
          <w:b w:val="0"/>
          <w:i w:val="0"/>
          <w:color w:val="1F2937"/>
          <w:sz w:val="17"/>
        </w:rPr>
        <w:t>Instructional minutes total 360 and exclude the final examination, evaluation, and attestation.</w:t>
      </w:r>
    </w:p>
    <w:p>
      <w:pPr>
        <w:spacing w:after="0" w:before="0" w:line="228" w:lineRule="auto"/>
      </w:pPr>
      <w:r>
        <w:rPr>
          <w:rFonts w:ascii="Montserrat" w:hAnsi="Montserrat" w:eastAsia="Montserrat"/>
          <w:b w:val="0"/>
          <w:i w:val="0"/>
          <w:color w:val="172A50"/>
          <w:sz w:val="17"/>
        </w:rPr>
        <w:t xml:space="preserve">☐  </w:t>
      </w:r>
      <w:r>
        <w:rPr>
          <w:rFonts w:ascii="Montserrat" w:hAnsi="Montserrat" w:eastAsia="Montserrat"/>
          <w:b w:val="0"/>
          <w:i w:val="0"/>
          <w:color w:val="1F2937"/>
          <w:sz w:val="17"/>
        </w:rPr>
        <w:t>Final examination is set to 25 questions, 70% passing, unlimited attempts, and no time limit.</w:t>
      </w:r>
    </w:p>
    <w:p>
      <w:pPr>
        <w:spacing w:after="0" w:before="0" w:line="228" w:lineRule="auto"/>
      </w:pPr>
      <w:r>
        <w:rPr>
          <w:rFonts w:ascii="Montserrat" w:hAnsi="Montserrat" w:eastAsia="Montserrat"/>
          <w:b w:val="0"/>
          <w:i w:val="0"/>
          <w:color w:val="172A50"/>
          <w:sz w:val="17"/>
        </w:rPr>
        <w:t xml:space="preserve">☐  </w:t>
      </w:r>
      <w:r>
        <w:rPr>
          <w:rFonts w:ascii="Montserrat" w:hAnsi="Montserrat" w:eastAsia="Montserrat"/>
          <w:b w:val="0"/>
          <w:i w:val="0"/>
          <w:color w:val="1F2937"/>
          <w:sz w:val="17"/>
        </w:rPr>
        <w:t>Evaluation is the course-specific v1.0 file and contains all six objectives separately.</w:t>
      </w:r>
    </w:p>
    <w:p>
      <w:pPr>
        <w:spacing w:after="0" w:before="0" w:line="228" w:lineRule="auto"/>
      </w:pPr>
      <w:r>
        <w:rPr>
          <w:rFonts w:ascii="Montserrat" w:hAnsi="Montserrat" w:eastAsia="Montserrat"/>
          <w:b w:val="0"/>
          <w:i w:val="0"/>
          <w:color w:val="172A50"/>
          <w:sz w:val="17"/>
        </w:rPr>
        <w:t xml:space="preserve">☐  </w:t>
      </w:r>
      <w:r>
        <w:rPr>
          <w:rFonts w:ascii="Montserrat" w:hAnsi="Montserrat" w:eastAsia="Montserrat"/>
          <w:b w:val="0"/>
          <w:i w:val="0"/>
          <w:color w:val="1F2937"/>
          <w:sz w:val="17"/>
        </w:rPr>
        <w:t>Completion attestation is required.</w:t>
      </w:r>
    </w:p>
    <w:p>
      <w:pPr>
        <w:spacing w:after="0" w:before="0" w:line="228" w:lineRule="auto"/>
      </w:pPr>
      <w:r>
        <w:rPr>
          <w:rFonts w:ascii="Montserrat" w:hAnsi="Montserrat" w:eastAsia="Montserrat"/>
          <w:b w:val="0"/>
          <w:i w:val="0"/>
          <w:color w:val="172A50"/>
          <w:sz w:val="17"/>
        </w:rPr>
        <w:t xml:space="preserve">☐  </w:t>
      </w:r>
      <w:r>
        <w:rPr>
          <w:rFonts w:ascii="Montserrat" w:hAnsi="Montserrat" w:eastAsia="Montserrat"/>
          <w:b w:val="0"/>
          <w:i w:val="0"/>
          <w:color w:val="1F2937"/>
          <w:sz w:val="17"/>
        </w:rPr>
        <w:t>Certificate remains locked until every completion requirement is satisfied.</w:t>
      </w:r>
    </w:p>
    <w:p>
      <w:pPr>
        <w:spacing w:after="0" w:before="0" w:line="228" w:lineRule="auto"/>
      </w:pPr>
      <w:r>
        <w:rPr>
          <w:rFonts w:ascii="Montserrat" w:hAnsi="Montserrat" w:eastAsia="Montserrat"/>
          <w:b w:val="0"/>
          <w:i w:val="0"/>
          <w:color w:val="172A50"/>
          <w:sz w:val="17"/>
        </w:rPr>
        <w:t xml:space="preserve">☐  </w:t>
      </w:r>
      <w:r>
        <w:rPr>
          <w:rFonts w:ascii="Montserrat" w:hAnsi="Montserrat" w:eastAsia="Montserrat"/>
          <w:b w:val="0"/>
          <w:i w:val="0"/>
          <w:color w:val="1F2937"/>
          <w:sz w:val="17"/>
        </w:rPr>
        <w:t>Certificate title and CE hours match the syllabus exactly.</w:t>
      </w:r>
    </w:p>
    <w:p>
      <w:pPr>
        <w:spacing w:after="0" w:before="0" w:line="228" w:lineRule="auto"/>
      </w:pPr>
      <w:r>
        <w:rPr>
          <w:rFonts w:ascii="Montserrat" w:hAnsi="Montserrat" w:eastAsia="Montserrat"/>
          <w:b w:val="0"/>
          <w:i w:val="0"/>
          <w:color w:val="172A50"/>
          <w:sz w:val="17"/>
        </w:rPr>
        <w:t xml:space="preserve">☐  </w:t>
      </w:r>
      <w:r>
        <w:rPr>
          <w:rFonts w:ascii="Montserrat" w:hAnsi="Montserrat" w:eastAsia="Montserrat"/>
          <w:b w:val="0"/>
          <w:i w:val="0"/>
          <w:color w:val="1F2937"/>
          <w:sz w:val="17"/>
        </w:rPr>
        <w:t>Provider number and approval statement are verified before insertion.</w:t>
      </w:r>
    </w:p>
    <w:p>
      <w:pPr>
        <w:spacing w:after="0" w:before="0" w:line="228" w:lineRule="auto"/>
      </w:pPr>
      <w:r>
        <w:rPr>
          <w:rFonts w:ascii="Montserrat" w:hAnsi="Montserrat" w:eastAsia="Montserrat"/>
          <w:b w:val="0"/>
          <w:i w:val="0"/>
          <w:color w:val="172A50"/>
          <w:sz w:val="17"/>
        </w:rPr>
        <w:t xml:space="preserve">☐  </w:t>
      </w:r>
      <w:r>
        <w:rPr>
          <w:rFonts w:ascii="Montserrat" w:hAnsi="Montserrat" w:eastAsia="Montserrat"/>
          <w:b w:val="0"/>
          <w:i w:val="0"/>
          <w:color w:val="1F2937"/>
          <w:sz w:val="17"/>
        </w:rPr>
        <w:t>Toolkit downloads correctly and retains its approved filename/version.</w:t>
      </w:r>
    </w:p>
    <w:p>
      <w:pPr>
        <w:spacing w:after="0" w:before="0" w:line="228" w:lineRule="auto"/>
      </w:pPr>
      <w:r>
        <w:rPr>
          <w:rFonts w:ascii="Montserrat" w:hAnsi="Montserrat" w:eastAsia="Montserrat"/>
          <w:b w:val="0"/>
          <w:i w:val="0"/>
          <w:color w:val="172A50"/>
          <w:sz w:val="17"/>
        </w:rPr>
        <w:t xml:space="preserve">☐  </w:t>
      </w:r>
      <w:r>
        <w:rPr>
          <w:rFonts w:ascii="Montserrat" w:hAnsi="Montserrat" w:eastAsia="Montserrat"/>
          <w:b w:val="0"/>
          <w:i w:val="0"/>
          <w:color w:val="1F2937"/>
          <w:sz w:val="17"/>
        </w:rPr>
        <w:t>All links and downloads function from a learner account.</w:t>
      </w:r>
    </w:p>
    <w:p>
      <w:pPr>
        <w:spacing w:after="0" w:before="0" w:line="228" w:lineRule="auto"/>
      </w:pPr>
      <w:r>
        <w:rPr>
          <w:rFonts w:ascii="Montserrat" w:hAnsi="Montserrat" w:eastAsia="Montserrat"/>
          <w:b w:val="0"/>
          <w:i w:val="0"/>
          <w:color w:val="172A50"/>
          <w:sz w:val="17"/>
        </w:rPr>
        <w:t xml:space="preserve">☐  </w:t>
      </w:r>
      <w:r>
        <w:rPr>
          <w:rFonts w:ascii="Montserrat" w:hAnsi="Montserrat" w:eastAsia="Montserrat"/>
          <w:b w:val="0"/>
          <w:i w:val="0"/>
          <w:color w:val="1F2937"/>
          <w:sz w:val="17"/>
        </w:rPr>
        <w:t>Placeholder text, test users, test certificates, and unpublished notes are removed.</w:t>
      </w:r>
    </w:p>
    <w:p>
      <w:pPr>
        <w:spacing w:after="0" w:before="0" w:line="228" w:lineRule="auto"/>
      </w:pPr>
      <w:r>
        <w:rPr>
          <w:rFonts w:ascii="Montserrat" w:hAnsi="Montserrat" w:eastAsia="Montserrat"/>
          <w:b w:val="0"/>
          <w:i w:val="0"/>
          <w:color w:val="172A50"/>
          <w:sz w:val="17"/>
        </w:rPr>
        <w:t xml:space="preserve">☐  </w:t>
      </w:r>
      <w:r>
        <w:rPr>
          <w:rFonts w:ascii="Montserrat" w:hAnsi="Montserrat" w:eastAsia="Montserrat"/>
          <w:b w:val="0"/>
          <w:i w:val="0"/>
          <w:color w:val="1F2937"/>
          <w:sz w:val="17"/>
        </w:rPr>
        <w:t>Desktop and mobile learner views have been checked.</w:t>
      </w:r>
    </w:p>
    <w:p>
      <w:pPr>
        <w:spacing w:after="0" w:before="0" w:line="228" w:lineRule="auto"/>
      </w:pPr>
      <w:r>
        <w:rPr>
          <w:rFonts w:ascii="Montserrat" w:hAnsi="Montserrat" w:eastAsia="Montserrat"/>
          <w:b w:val="0"/>
          <w:i w:val="0"/>
          <w:color w:val="172A50"/>
          <w:sz w:val="17"/>
        </w:rPr>
        <w:t>☐  The existing website course image and alt text remain approved and unchanged.</w:t>
      </w:r>
      <w:r>
        <w:rPr>
          <w:rFonts w:ascii="Montserrat" w:hAnsi="Montserrat" w:eastAsia="Montserrat"/>
          <w:b w:val="0"/>
          <w:i w:val="0"/>
          <w:color w:val="1F2937"/>
          <w:sz w:val="17"/>
        </w:rPr>
      </w:r>
    </w:p>
    <w:p>
      <w:pPr>
        <w:spacing w:after="0" w:before="0" w:line="228" w:lineRule="auto"/>
      </w:pPr>
      <w:r>
        <w:rPr>
          <w:rFonts w:ascii="Montserrat" w:hAnsi="Montserrat" w:eastAsia="Montserrat"/>
          <w:b w:val="0"/>
          <w:i w:val="0"/>
          <w:color w:val="172A50"/>
          <w:sz w:val="17"/>
        </w:rPr>
        <w:t xml:space="preserve">☐  </w:t>
      </w:r>
      <w:r>
        <w:rPr>
          <w:rFonts w:ascii="Montserrat" w:hAnsi="Montserrat" w:eastAsia="Montserrat"/>
          <w:b w:val="0"/>
          <w:i w:val="0"/>
          <w:color w:val="1F2937"/>
          <w:sz w:val="17"/>
        </w:rPr>
        <w:t>Final CE Course Consistency Checklist and approval record are complete.</w:t>
      </w:r>
    </w:p>
    <w:p>
      <w:pPr>
        <w:keepNext/>
        <w:pageBreakBefore w:val="0"/>
        <w:pBdr>
          <w:bottom w:val="single" w:sz="10" w:space="4" w:color="18A6A1"/>
        </w:pBdr>
        <w:spacing w:before="100" w:after="120" w:line="240" w:lineRule="auto"/>
      </w:pPr>
      <w:r>
        <w:rPr>
          <w:rFonts w:ascii="Montserrat" w:hAnsi="Montserrat" w:eastAsia="Montserrat"/>
          <w:b/>
          <w:i w:val="0"/>
          <w:color w:val="172A50"/>
          <w:sz w:val="29"/>
        </w:rPr>
        <w:t xml:space="preserve">9. </w:t>
      </w:r>
      <w:r>
        <w:rPr>
          <w:rFonts w:ascii="Montserrat" w:hAnsi="Montserrat" w:eastAsia="Montserrat"/>
          <w:b/>
          <w:i w:val="0"/>
          <w:color w:val="172A50"/>
          <w:sz w:val="29"/>
        </w:rPr>
        <w:t>Metadata Approval Record</w:t>
      </w:r>
    </w:p>
    <w:tbl>
      <w:tblPr>
        <w:tblW w:type="dxa" w:w="10367"/>
        <w:jc w:val="center"/>
        <w:tblLayout w:type="fixed"/>
        <w:tblLook w:firstColumn="1" w:firstRow="1" w:lastColumn="0" w:lastRow="0" w:noHBand="0" w:noVBand="1" w:val="04A0"/>
        <w:tblInd w:w="0" w:type="dxa"/>
      </w:tblPr>
      <w:tblGrid>
        <w:gridCol w:w="3024"/>
        <w:gridCol w:w="7343"/>
      </w:tblGrid>
      <w:tr>
        <w:trPr>
          <w:tblHeader w:val="true"/>
          <w:cantSplit/>
        </w:trPr>
        <w:tc>
          <w:tcPr>
            <w:tcW w:type="dxa" w:w="3024"/>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8"/>
              </w:rPr>
              <w:t>Field</w:t>
            </w:r>
          </w:p>
        </w:tc>
        <w:tc>
          <w:tcPr>
            <w:tcW w:type="dxa" w:w="7343"/>
            <w:shd w:fill="172A50"/>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i w:val="0"/>
                <w:color w:val="FFFFFF"/>
                <w:sz w:val="18"/>
              </w:rPr>
              <w:t>Entry</w:t>
            </w:r>
          </w:p>
        </w:tc>
      </w:tr>
      <w:tr>
        <w:trPr>
          <w:cantSplit/>
        </w:trPr>
        <w:tc>
          <w:tcPr>
            <w:tcW w:type="dxa" w:w="302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Course version</w:t>
            </w:r>
          </w:p>
        </w:tc>
        <w:tc>
          <w:tcPr>
            <w:tcW w:type="dxa" w:w="734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v1.2</w:t>
            </w:r>
          </w:p>
        </w:tc>
      </w:tr>
      <w:tr>
        <w:trPr>
          <w:cantSplit/>
        </w:trPr>
        <w:tc>
          <w:tcPr>
            <w:tcW w:type="dxa" w:w="302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Website copy approved</w:t>
            </w:r>
          </w:p>
        </w:tc>
        <w:tc>
          <w:tcPr>
            <w:tcW w:type="dxa" w:w="734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 Yes   ☐ No</w:t>
            </w:r>
          </w:p>
        </w:tc>
      </w:tr>
      <w:tr>
        <w:trPr>
          <w:cantSplit/>
        </w:trPr>
        <w:tc>
          <w:tcPr>
            <w:tcW w:type="dxa" w:w="302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LMS metadata approved</w:t>
            </w:r>
          </w:p>
        </w:tc>
        <w:tc>
          <w:tcPr>
            <w:tcW w:type="dxa" w:w="734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 Yes   ☐ No</w:t>
            </w:r>
          </w:p>
        </w:tc>
      </w:tr>
      <w:tr>
        <w:trPr>
          <w:cantSplit/>
        </w:trPr>
        <w:tc>
          <w:tcPr>
            <w:tcW w:type="dxa" w:w="302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LMS progression tested</w:t>
            </w:r>
          </w:p>
        </w:tc>
        <w:tc>
          <w:tcPr>
            <w:tcW w:type="dxa" w:w="734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 Yes   ☐ No</w:t>
            </w:r>
          </w:p>
        </w:tc>
      </w:tr>
      <w:tr>
        <w:trPr>
          <w:cantSplit/>
        </w:trPr>
        <w:tc>
          <w:tcPr>
            <w:tcW w:type="dxa" w:w="302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Certificate fields approved</w:t>
            </w:r>
          </w:p>
        </w:tc>
        <w:tc>
          <w:tcPr>
            <w:tcW w:type="dxa" w:w="734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 Yes   ☐ No</w:t>
            </w:r>
          </w:p>
        </w:tc>
      </w:tr>
      <w:tr>
        <w:trPr>
          <w:cantSplit/>
        </w:trPr>
        <w:tc>
          <w:tcPr>
            <w:tcW w:type="dxa" w:w="302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Course image approved</w:t>
            </w:r>
          </w:p>
        </w:tc>
        <w:tc>
          <w:tcPr>
            <w:tcW w:type="dxa" w:w="734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 Yes   ☐ No</w:t>
            </w:r>
          </w:p>
        </w:tc>
      </w:tr>
      <w:tr>
        <w:trPr>
          <w:cantSplit/>
        </w:trPr>
        <w:tc>
          <w:tcPr>
            <w:tcW w:type="dxa" w:w="302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Catalog and pricing synchronized</w:t>
            </w:r>
          </w:p>
        </w:tc>
        <w:tc>
          <w:tcPr>
            <w:tcW w:type="dxa" w:w="734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 Yes   ☐ No</w:t>
            </w:r>
          </w:p>
        </w:tc>
      </w:tr>
      <w:tr>
        <w:trPr>
          <w:cantSplit/>
        </w:trPr>
        <w:tc>
          <w:tcPr>
            <w:tcW w:type="dxa" w:w="302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Date approved</w:t>
            </w:r>
          </w:p>
        </w:tc>
        <w:tc>
          <w:tcPr>
            <w:tcW w:type="dxa" w:w="734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______________________________________________</w:t>
            </w:r>
          </w:p>
        </w:tc>
      </w:tr>
      <w:tr>
        <w:trPr>
          <w:cantSplit/>
        </w:trPr>
        <w:tc>
          <w:tcPr>
            <w:tcW w:type="dxa" w:w="302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Approved by</w:t>
            </w:r>
          </w:p>
        </w:tc>
        <w:tc>
          <w:tcPr>
            <w:tcW w:type="dxa" w:w="734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______________________________________________</w:t>
            </w:r>
          </w:p>
        </w:tc>
      </w:tr>
      <w:tr>
        <w:trPr>
          <w:cantSplit/>
        </w:trPr>
        <w:tc>
          <w:tcPr>
            <w:tcW w:type="dxa" w:w="3024"/>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Publication status</w:t>
            </w:r>
          </w:p>
        </w:tc>
        <w:tc>
          <w:tcPr>
            <w:tcW w:type="dxa" w:w="7343"/>
            <w:shd w:fill="F2F4F7"/>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 Draft   ☒ Under Review   ☐ Approved for Publication   ☐ Archived</w:t>
            </w:r>
          </w:p>
        </w:tc>
      </w:tr>
      <w:tr>
        <w:trPr>
          <w:cantSplit/>
        </w:trPr>
        <w:tc>
          <w:tcPr>
            <w:tcW w:type="dxa" w:w="3024"/>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jc w:val="left"/>
            </w:pPr>
            <w:r>
              <w:rPr>
                <w:rFonts w:ascii="Montserrat" w:hAnsi="Montserrat" w:eastAsia="Montserrat"/>
                <w:b w:val="0"/>
                <w:i w:val="0"/>
                <w:color w:val="1F2937"/>
                <w:sz w:val="18"/>
              </w:rPr>
              <w:t>Comments</w:t>
            </w:r>
          </w:p>
        </w:tc>
        <w:tc>
          <w:tcPr>
            <w:tcW w:type="dxa" w:w="7343"/>
            <w:shd w:fill="FFFFFF"/>
            <w:vAlign w:val="center"/>
            <w:tcMar>
              <w:top w:w="50" w:type="dxa"/>
              <w:start w:w="80" w:type="dxa"/>
              <w:bottom w:w="50" w:type="dxa"/>
              <w:end w:w="80" w:type="dxa"/>
            </w:tcMar>
            <w:tcBorders>
              <w:top w:val="single" w:sz="5" w:color="AAB2BD"/>
              <w:left w:val="single" w:sz="5" w:color="AAB2BD"/>
              <w:bottom w:val="single" w:sz="5" w:color="AAB2BD"/>
              <w:right w:val="single" w:sz="5" w:color="AAB2BD"/>
            </w:tcBorders>
          </w:tcPr>
          <w:p>
            <w:pPr>
              <w:spacing w:before="0" w:after="0" w:line="240" w:lineRule="auto"/>
              <w:ind w:left="0" w:right="0" w:firstLine="0"/>
            </w:pPr>
            <w:r>
              <w:rPr>
                <w:rFonts w:ascii="Montserrat" w:hAnsi="Montserrat"/>
                <w:sz w:val="18"/>
              </w:rPr>
              <w:t>Updated to distinguish the formal course title from the Website/LMS display title; add course code CTA-CE-001; confirm that the course image was already supplied and implemented; add the required Course Integration Capstone to learner flow and certificate-release logic; and correct table spacing and widths. Public CE designation remains 6.0 CE Hours / 360 minutes; internal recorded media total is 6:01:37. LMS learner-flow testing remains pending.</w:t>
            </w:r>
          </w:p>
        </w:tc>
      </w:tr>
    </w:tbl>
    <w:p>
      <w:pPr>
        <w:spacing w:before="160" w:after="40" w:line="240" w:lineRule="auto"/>
        <w:jc w:val="center"/>
      </w:pPr>
      <w:r>
        <w:rPr>
          <w:rFonts w:ascii="Montserrat" w:hAnsi="Montserrat" w:eastAsia="Montserrat"/>
          <w:b w:val="0"/>
          <w:i/>
          <w:color w:val="667085"/>
          <w:sz w:val="19"/>
        </w:rPr>
        <w:t>Teaching Clinicians How to Think.</w:t>
      </w:r>
    </w:p>
    <w:sectPr w:rsidR="00FC693F" w:rsidRPr="0006063C" w:rsidSect="00034616">
      <w:headerReference w:type="default" r:id="rId9"/>
      <w:footerReference w:type="default" r:id="rId10"/>
      <w:pgSz w:w="12240" w:h="15840"/>
      <w:pgMar w:top="648" w:right="936" w:bottom="792" w:left="936" w:header="259"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b w:val="0"/>
        <w:i w:val="0"/>
        <w:color w:val="667085"/>
        <w:sz w:val="14"/>
      </w:rPr>
      <w:t xml:space="preserve">Clinical Training &amp; Supervision Academy  |  California Law &amp; Ethics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ontserrat" w:hAnsi="Montserrat" w:eastAsia="Montserrat"/>
        <w:b/>
        <w:i w:val="0"/>
        <w:color w:val="667085"/>
        <w:sz w:val="14"/>
      </w:rPr>
      <w:t>LMS, WEBSITE &amp; CERTIFICATE METADATA  |  VERSION 1.2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Montserrat" w:hAnsi="Montserrat" w:eastAsia="Montserrat"/>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Montserrat" w:hAnsi="Montserrat" w:eastAsia="Montserrat"/>
      <w:b/>
      <w:bCs/>
      <w:color w:val="172A50"/>
      <w:sz w:val="29"/>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Montserrat" w:hAnsi="Montserrat" w:eastAsia="Montserrat"/>
      <w:b/>
      <w:bCs/>
      <w:color w:val="18A6A1"/>
      <w:sz w:val="23"/>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Montserrat" w:hAnsi="Montserrat" w:eastAsia="Montserrat"/>
      <w:b/>
      <w:bCs/>
      <w:color w:val="172A5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Montserrat" w:hAnsi="Montserrat" w:eastAsia="Montserrat"/>
      <w:b/>
      <w:color w:val="172A5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Montserrat" w:hAnsi="Montserrat" w:eastAsia="Montserrat"/>
      <w:color w:val="6670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California Law &amp; Ethics LMS, Website and Certificate Metadata</dc:title>
  <dc:subject>Website copy, LMS field map, course image brief, and certificate metadata</dc:subject>
  <dc:creator>Clinical Training &amp; Supervision Academy</dc:creator>
  <cp:keywords/>
  <dc:description>Version 1.1 | August 2026 | Capstone added to LMS/website/certificate metadata</dc:description>
  <cp:lastModifiedBy/>
  <cp:revision>1</cp:revision>
  <dcterms:created xsi:type="dcterms:W3CDTF">2013-12-23T23:15:00Z</dcterms:created>
  <dcterms:modified xsi:type="dcterms:W3CDTF">2013-12-23T23:15:00Z</dcterms:modified>
  <cp:category/>
</cp:coreProperties>
</file>