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1234440" cy="892311"/>
            <wp:docPr id="1" name="Picture 1" descr="Clinical Training Academy logo" title="Clinical Training Academy logo"/>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234440" cy="892311"/>
                    </a:xfrm>
                    <a:prstGeom prst="rect"/>
                  </pic:spPr>
                </pic:pic>
              </a:graphicData>
            </a:graphic>
          </wp:inline>
        </w:drawing>
      </w:r>
    </w:p>
    <w:p>
      <w:pPr>
        <w:spacing w:after="60"/>
        <w:jc w:val="center"/>
      </w:pPr>
      <w:r>
        <w:t>LCSW ASWB CLINICAL EXAM PREPARATION PROGRAM</w:t>
      </w:r>
    </w:p>
    <w:p>
      <w:pPr>
        <w:spacing w:after="240"/>
        <w:jc w:val="center"/>
      </w:pPr>
      <w:r>
        <w:t>Student Workbook</w:t>
      </w:r>
    </w:p>
    <w:p>
      <w:pPr>
        <w:pStyle w:val="Title"/>
        <w:spacing w:after="160"/>
        <w:jc w:val="center"/>
      </w:pPr>
      <w:r>
        <w:t>CTA LCSW Workbook 2: Values, Ethics, Self-Determination, and Social Justice</w:t>
      </w:r>
    </w:p>
    <w:p>
      <w:pPr>
        <w:spacing w:after="240"/>
        <w:jc w:val="center"/>
      </w:pPr>
      <w:r>
        <w:rPr>
          <w:b w:val="0"/>
          <w:i/>
          <w:color w:val="5B6573"/>
          <w:sz w:val="24"/>
        </w:rPr>
        <w:t>Use ethical principles, client rights, power awareness, and accessible service delivery to choose the best next action</w:t>
      </w:r>
    </w:p>
    <w:p>
      <w:pPr>
        <w:spacing w:after="360"/>
        <w:jc w:val="center"/>
      </w:pPr>
      <w:r>
        <w:t>Version 1.0 - July 2026</w:t>
      </w:r>
    </w:p>
    <w:tbl>
      <w:tblPr>
        <w:tblW w:type="auto" w:w="0"/>
        <w:jc w:val="center"/>
        <w:tblLayout w:type="fixed"/>
        <w:tblLook w:firstColumn="1" w:firstRow="1" w:lastColumn="0" w:lastRow="0" w:noHBand="0" w:noVBand="1" w:val="04A0"/>
      </w:tblPr>
      <w:tblGrid>
        <w:gridCol w:w="8352"/>
      </w:tblGrid>
      <w:tr>
        <w:trPr>
          <w:cantSplit w:val="true"/>
        </w:trPr>
        <w:tc>
          <w:tcPr>
            <w:tcW w:type="dxa" w:w="8640"/>
            <w:shd w:fill="FFF7E6" w:val="clear"/>
            <w:tcBorders>
              <w:top w:val="single" w:sz="6" w:color="9EBAD0"/>
              <w:left w:val="single" w:sz="6" w:color="9EBAD0"/>
              <w:bottom w:val="single" w:sz="6" w:color="9EBAD0"/>
              <w:right w:val="single" w:sz="6" w:color="9EBAD0"/>
              <w:insideH w:val="single" w:sz="6" w:color="9EBAD0"/>
              <w:insideV w:val="single" w:sz="6" w:color="9EBAD0"/>
            </w:tcBorders>
            <w:vAlign w:val="center"/>
          </w:tcPr>
          <w:p>
            <w:pPr>
              <w:spacing w:before="100" w:after="100"/>
              <w:jc w:val="left"/>
            </w:pPr>
            <w:r>
              <w:rPr>
                <w:rFonts w:ascii="Aptos" w:hAnsi="Aptos"/>
                <w:b/>
                <w:color w:val="17365D"/>
                <w:sz w:val="19"/>
              </w:rPr>
              <w:t>STUDENT-FACING EXAM PREPARATION MATERIAL</w:t>
            </w:r>
            <w:r>
              <w:rPr>
                <w:rFonts w:ascii="Aptos" w:hAnsi="Aptos"/>
                <w:color w:val="1F2937"/>
                <w:sz w:val="18"/>
              </w:rPr>
              <w:br/>
              <w:t>All practice questions are original CTA items and are not actual licensing-examination questions.</w:t>
            </w:r>
          </w:p>
        </w:tc>
      </w:tr>
    </w:tbl>
    <w:p>
      <w:pPr>
        <w:spacing w:before="240"/>
        <w:jc w:val="center"/>
      </w:pPr>
      <w:r>
        <w:t>Clinical Training Academy</w:t>
      </w:r>
    </w:p>
    <w:p>
      <w:r>
        <w:br w:type="page"/>
      </w:r>
    </w:p>
    <w:p>
      <w:pPr>
        <w:pStyle w:val="Heading1"/>
      </w:pPr>
      <w:r>
        <w:t>How to Use This Workbook</w:t>
      </w:r>
    </w:p>
    <w:p>
      <w:r>
        <w:t>Use this workbook to practice ethical reasoning rather than memorizing isolated rules. Study the CLEAR sequence, connect values to specific professional actions, complete the worksheet, answer all 10 questions before viewing the key, and review every rationale to identify whether an error involved role clarity, client rights, power, risk, access, or sequencing.</w:t>
      </w:r>
    </w:p>
    <w:tbl>
      <w:tblPr>
        <w:tblW w:type="auto" w:w="0"/>
        <w:jc w:val="center"/>
        <w:tblLayout w:type="autofit"/>
        <w:tblLook w:firstColumn="1" w:firstRow="1" w:lastColumn="0" w:lastRow="0" w:noHBand="0" w:noVBand="1" w:val="04A0"/>
      </w:tblPr>
      <w:tblGrid>
        <w:gridCol w:w="10080"/>
      </w:tblGrid>
      <w:tr>
        <w:trPr>
          <w:cantSplit w:val="true"/>
        </w:trPr>
        <w:tc>
          <w:tcPr>
            <w:tcW w:type="dxa" w:w="10080"/>
            <w:shd w:fill="EAF5F8" w:val="clear"/>
            <w:tcBorders>
              <w:top w:val="single" w:sz="6" w:color="A7BDC6"/>
              <w:left w:val="single" w:sz="6" w:color="A7BDC6"/>
              <w:bottom w:val="single" w:sz="6" w:color="A7BDC6"/>
              <w:right w:val="single" w:sz="6" w:color="A7BDC6"/>
              <w:insideH w:val="single" w:sz="6" w:color="A7BDC6"/>
              <w:insideV w:val="single" w:sz="6" w:color="A7BDC6"/>
            </w:tcBorders>
            <w:vAlign w:val="center"/>
          </w:tcPr>
          <w:p>
            <w:pPr>
              <w:spacing w:before="100" w:after="100"/>
              <w:jc w:val="left"/>
            </w:pPr>
            <w:r>
              <w:rPr>
                <w:rFonts w:ascii="Aptos" w:hAnsi="Aptos"/>
                <w:b/>
                <w:color w:val="17365D"/>
                <w:sz w:val="19"/>
              </w:rPr>
              <w:t>EDUCATIONAL, NON-AFFILIATION, AND SCOPE NOTICE</w:t>
            </w:r>
            <w:r>
              <w:rPr>
                <w:rFonts w:ascii="Aptos" w:hAnsi="Aptos"/>
                <w:color w:val="1F2937"/>
                <w:sz w:val="18"/>
              </w:rPr>
              <w:br/>
              <w:t>This workbook is an independent educational resource developed by Clinical Training and Supervision Academy. CTA is not affiliated with, endorsed by, or sponsored by the California Board of Behavioral Sciences, Pearson VUE, the Association of Social Work Boards, or any other licensing or testing organization. Completion does not guarantee examination passage. The material is not legal advice, clinical supervision, diagnosis, treatment, or a substitute for consultation with qualified legal, clinical, regulatory, or professional experts. Examination specifications and rules may change; consult current official sources before registering or testing.</w:t>
            </w:r>
          </w:p>
        </w:tc>
      </w:tr>
    </w:tbl>
    <w:tbl>
      <w:tblPr>
        <w:tblW w:type="auto" w:w="0"/>
        <w:jc w:val="center"/>
        <w:tblLayout w:type="fixed"/>
        <w:tblLook w:firstColumn="1" w:firstRow="1" w:lastColumn="0" w:lastRow="0" w:noHBand="0" w:noVBand="1" w:val="04A0"/>
      </w:tblPr>
      <w:tblGrid>
        <w:gridCol w:w="9936"/>
      </w:tblGrid>
      <w:tr>
        <w:trPr>
          <w:cantSplit/>
        </w:trPr>
        <w:tc>
          <w:tcPr>
            <w:tcW w:type="dxa" w:w="10080"/>
            <w:shd w:fill="EAF3F8"/>
            <w:tcMar>
              <w:top w:w="150" w:type="dxa"/>
              <w:start w:w="180" w:type="dxa"/>
              <w:bottom w:w="150" w:type="dxa"/>
              <w:end w:w="180" w:type="dxa"/>
            </w:tcMar>
          </w:tcPr>
          <w:p>
            <w:pPr>
              <w:spacing w:after="80"/>
            </w:pPr>
            <w:r>
              <w:rPr>
                <w:b/>
                <w:i w:val="0"/>
                <w:color w:val="1F4E78"/>
              </w:rPr>
              <w:t>National Examination Lens</w:t>
            </w:r>
          </w:p>
          <w:p>
            <w:pPr>
              <w:spacing w:after="0"/>
            </w:pPr>
            <w:r>
              <w:t>Unless a vignette provides a jurisdiction-specific rule, do not invent one state’s law. Use the facts given, broad professional ethics, client rights, safety, consultation, and the least intrusive proportionate response.</w:t>
            </w:r>
          </w:p>
        </w:tc>
      </w:tr>
    </w:tbl>
    <w:p>
      <w:pPr>
        <w:spacing w:after="0"/>
      </w:pPr>
    </w:p>
    <w:p>
      <w:pPr>
        <w:pStyle w:val="Heading1"/>
      </w:pPr>
      <w:r>
        <w:t>Learning Objectives</w:t>
      </w:r>
    </w:p>
    <w:p>
      <w:pPr>
        <w:pStyle w:val="ListBullet"/>
        <w:keepNext w:val="0"/>
      </w:pPr>
      <w:r>
        <w:t>Identify the professional values and ethical responsibilities that guide safe, honest, and client-centered social work practice.</w:t>
      </w:r>
    </w:p>
    <w:p>
      <w:pPr>
        <w:pStyle w:val="ListBullet"/>
        <w:keepNext w:val="0"/>
      </w:pPr>
      <w:r>
        <w:t>Distinguish informed consent, privacy, confidentiality, privilege, authorization, and required disclosure for examination reasoning.</w:t>
      </w:r>
    </w:p>
    <w:p>
      <w:pPr>
        <w:pStyle w:val="ListBullet"/>
        <w:keepNext w:val="0"/>
      </w:pPr>
      <w:r>
        <w:t>Apply self-determination and informed-choice principles while recognizing proportionate limits related to law, capacity, or serious safety concerns.</w:t>
      </w:r>
    </w:p>
    <w:p>
      <w:pPr>
        <w:pStyle w:val="ListBullet"/>
        <w:keepNext w:val="0"/>
      </w:pPr>
      <w:r>
        <w:t>Evaluate boundaries, power, competence, impairment, documentation, technology, billing, organizational ethics, and continuity concerns.</w:t>
      </w:r>
    </w:p>
    <w:p>
      <w:pPr>
        <w:pStyle w:val="ListBullet"/>
        <w:keepNext w:val="0"/>
      </w:pPr>
      <w:r>
        <w:t>Select accessible, anti-oppressive, and social-justice-informed actions using the CLEAR ethical decision sequence.</w:t>
      </w:r>
    </w:p>
    <w:p>
      <w:pPr>
        <w:pStyle w:val="Heading1"/>
      </w:pPr>
      <w:r>
        <w:t>Why This Topic Matters</w:t>
      </w:r>
    </w:p>
    <w:p>
      <w:r>
        <w:rPr>
          <w:i w:val="0"/>
        </w:rPr>
        <w:t>Ethical exam questions are rarely solved by locating a dramatic action. They are solved by clarifying the role, identifying the actual conflict, protecting the client’s rights and safety, considering power and access, and choosing the least intrusive action that adequately addresses the concern. Consultation and documentation often support the decision, but they do not replace it.</w:t>
      </w:r>
    </w:p>
    <w:tbl>
      <w:tblPr>
        <w:tblW w:type="auto" w:w="0"/>
        <w:jc w:val="center"/>
        <w:tblLayout w:type="fixed"/>
        <w:tblLook w:firstColumn="1" w:firstRow="1" w:lastColumn="0" w:lastRow="0" w:noHBand="0" w:noVBand="1" w:val="04A0"/>
      </w:tblPr>
      <w:tblGrid>
        <w:gridCol w:w="9936"/>
      </w:tblGrid>
      <w:tr>
        <w:trPr>
          <w:cantSplit/>
        </w:trPr>
        <w:tc>
          <w:tcPr>
            <w:tcW w:type="dxa" w:w="10080"/>
            <w:shd w:fill="E7F5F4"/>
            <w:tcMar>
              <w:top w:w="150" w:type="dxa"/>
              <w:start w:w="180" w:type="dxa"/>
              <w:bottom w:w="150" w:type="dxa"/>
              <w:end w:w="180" w:type="dxa"/>
            </w:tcMar>
          </w:tcPr>
          <w:p>
            <w:pPr>
              <w:spacing w:after="80"/>
            </w:pPr>
            <w:r>
              <w:rPr>
                <w:b/>
                <w:i w:val="0"/>
                <w:color w:val="0F7C82"/>
              </w:rPr>
              <w:t>Memory Aid: CLEAR</w:t>
            </w:r>
          </w:p>
          <w:p>
            <w:pPr>
              <w:spacing w:after="0"/>
            </w:pPr>
            <w:r>
              <w:t>C — Clarify the role, facts, setting, and governing duties. L — Locate the ethical conflict and affected rights. E — Evaluate safety, capacity, consent, power, culture, access, and alternatives. A — Act with the least intrusive proportionate response. R — Review, document, consult, and follow up.</w:t>
            </w:r>
          </w:p>
        </w:tc>
      </w:tr>
    </w:tbl>
    <w:p>
      <w:pPr>
        <w:spacing w:after="0"/>
      </w:pPr>
    </w:p>
    <w:p>
      <w:pPr>
        <w:pStyle w:val="Heading1"/>
      </w:pPr>
      <w:r>
        <w:t>1. Professional Values and Ethical Responsibilities</w:t>
      </w:r>
    </w:p>
    <w:p>
      <w:r>
        <w:rPr>
          <w:i w:val="0"/>
        </w:rPr>
        <w:t>The current Clinical blueprint identifies competence, social justice, integrity, dignity and worth of the person, and other professional values as core knowledge. On the exam, values guide action; they are not slogans. A strong response respects the client, maintains honesty and role clarity, protects against harm and exploitation, and uses professional authority responsibly.</w:t>
      </w:r>
    </w:p>
    <w:tbl>
      <w:tblPr>
        <w:tblStyle w:val="TableGrid"/>
        <w:tblW w:type="auto" w:w="0"/>
        <w:jc w:val="center"/>
        <w:tblLayout w:type="fixed"/>
        <w:tblLook w:firstColumn="1" w:firstRow="1" w:lastColumn="0" w:lastRow="0" w:noHBand="0" w:noVBand="1" w:val="04A0"/>
      </w:tblPr>
      <w:tblGrid>
        <w:gridCol w:w="2088"/>
        <w:gridCol w:w="4536"/>
        <w:gridCol w:w="3312"/>
      </w:tblGrid>
      <w:tr>
        <w:trPr>
          <w:tblHeader w:val="true"/>
          <w:cantSplit/>
          <w:tblHeader w:val="true"/>
        </w:trPr>
        <w:tc>
          <w:tcPr>
            <w:tcW w:type="dxa" w:w="3360"/>
            <w:shd w:fill="17365D"/>
            <w:tcMar>
              <w:top w:w="100" w:type="dxa"/>
              <w:start w:w="120" w:type="dxa"/>
              <w:bottom w:w="100" w:type="dxa"/>
              <w:end w:w="120" w:type="dxa"/>
            </w:tcMar>
          </w:tcPr>
          <w:p>
            <w:pPr>
              <w:spacing w:after="0"/>
            </w:pPr>
            <w:r>
              <w:rPr>
                <w:b/>
                <w:color w:val="FFFFFF"/>
                <w:sz w:val="17"/>
              </w:rPr>
              <w:t>Value in Action</w:t>
            </w:r>
          </w:p>
        </w:tc>
        <w:tc>
          <w:tcPr>
            <w:tcW w:type="dxa" w:w="3360"/>
            <w:shd w:fill="17365D"/>
            <w:tcMar>
              <w:top w:w="100" w:type="dxa"/>
              <w:start w:w="120" w:type="dxa"/>
              <w:bottom w:w="100" w:type="dxa"/>
              <w:end w:w="120" w:type="dxa"/>
            </w:tcMar>
          </w:tcPr>
          <w:p>
            <w:pPr>
              <w:spacing w:after="0"/>
            </w:pPr>
            <w:r>
              <w:rPr>
                <w:b/>
                <w:color w:val="FFFFFF"/>
                <w:sz w:val="17"/>
              </w:rPr>
              <w:t>What It Looks Like</w:t>
            </w:r>
          </w:p>
        </w:tc>
        <w:tc>
          <w:tcPr>
            <w:tcW w:type="dxa" w:w="3360"/>
            <w:shd w:fill="17365D"/>
            <w:tcMar>
              <w:top w:w="100" w:type="dxa"/>
              <w:start w:w="120" w:type="dxa"/>
              <w:bottom w:w="100" w:type="dxa"/>
              <w:end w:w="120" w:type="dxa"/>
            </w:tcMar>
          </w:tcPr>
          <w:p>
            <w:pPr>
              <w:spacing w:after="0"/>
            </w:pPr>
            <w:r>
              <w:rPr>
                <w:b/>
                <w:color w:val="FFFFFF"/>
                <w:sz w:val="17"/>
              </w:rPr>
              <w:t>Common Distortion</w:t>
            </w:r>
          </w:p>
        </w:tc>
      </w:tr>
      <w:tr>
        <w:trPr>
          <w:cantSplit/>
        </w:trPr>
        <w:tc>
          <w:tcPr>
            <w:tcW w:type="dxa" w:w="2088"/>
            <w:tcMar>
              <w:top w:w="100" w:type="dxa"/>
              <w:start w:w="120" w:type="dxa"/>
              <w:bottom w:w="100" w:type="dxa"/>
              <w:end w:w="120" w:type="dxa"/>
            </w:tcMar>
          </w:tcPr>
          <w:p>
            <w:pPr>
              <w:spacing w:after="0"/>
            </w:pPr>
            <w:r>
              <w:rPr>
                <w:sz w:val="17"/>
              </w:rPr>
              <w:t>Dignity and worth</w:t>
            </w:r>
          </w:p>
        </w:tc>
        <w:tc>
          <w:tcPr>
            <w:tcW w:type="dxa" w:w="4536"/>
            <w:tcMar>
              <w:top w:w="100" w:type="dxa"/>
              <w:start w:w="120" w:type="dxa"/>
              <w:bottom w:w="100" w:type="dxa"/>
              <w:end w:w="120" w:type="dxa"/>
            </w:tcMar>
          </w:tcPr>
          <w:p>
            <w:pPr>
              <w:spacing w:after="0"/>
            </w:pPr>
            <w:r>
              <w:rPr>
                <w:sz w:val="17"/>
              </w:rPr>
              <w:t>Respectful language, participation, informed choice, and nonpunitive care</w:t>
            </w:r>
          </w:p>
        </w:tc>
        <w:tc>
          <w:tcPr>
            <w:tcW w:type="dxa" w:w="3312"/>
            <w:tcMar>
              <w:top w:w="100" w:type="dxa"/>
              <w:start w:w="120" w:type="dxa"/>
              <w:bottom w:w="100" w:type="dxa"/>
              <w:end w:w="120" w:type="dxa"/>
            </w:tcMar>
          </w:tcPr>
          <w:p>
            <w:pPr>
              <w:spacing w:after="0"/>
            </w:pPr>
            <w:r>
              <w:rPr>
                <w:sz w:val="17"/>
              </w:rPr>
              <w:t>Agreeing with every request regardless of safety or scope</w:t>
            </w:r>
          </w:p>
        </w:tc>
      </w:tr>
      <w:tr>
        <w:trPr>
          <w:cantSplit/>
        </w:trPr>
        <w:tc>
          <w:tcPr>
            <w:tcW w:type="dxa" w:w="2088"/>
            <w:tcMar>
              <w:top w:w="100" w:type="dxa"/>
              <w:start w:w="120" w:type="dxa"/>
              <w:bottom w:w="100" w:type="dxa"/>
              <w:end w:w="120" w:type="dxa"/>
            </w:tcMar>
            <w:shd w:fill="F7F8FA"/>
          </w:tcPr>
          <w:p>
            <w:pPr>
              <w:spacing w:after="0"/>
            </w:pPr>
            <w:r>
              <w:rPr>
                <w:sz w:val="17"/>
              </w:rPr>
              <w:t>Integrity</w:t>
            </w:r>
          </w:p>
        </w:tc>
        <w:tc>
          <w:tcPr>
            <w:tcW w:type="dxa" w:w="4536"/>
            <w:tcMar>
              <w:top w:w="100" w:type="dxa"/>
              <w:start w:w="120" w:type="dxa"/>
              <w:bottom w:w="100" w:type="dxa"/>
              <w:end w:w="120" w:type="dxa"/>
            </w:tcMar>
            <w:shd w:fill="F7F8FA"/>
          </w:tcPr>
          <w:p>
            <w:pPr>
              <w:spacing w:after="0"/>
            </w:pPr>
            <w:r>
              <w:rPr>
                <w:sz w:val="17"/>
              </w:rPr>
              <w:t>Accurate representation, records, billing, communication, and follow-through</w:t>
            </w:r>
          </w:p>
        </w:tc>
        <w:tc>
          <w:tcPr>
            <w:tcW w:type="dxa" w:w="3312"/>
            <w:tcMar>
              <w:top w:w="100" w:type="dxa"/>
              <w:start w:w="120" w:type="dxa"/>
              <w:bottom w:w="100" w:type="dxa"/>
              <w:end w:w="120" w:type="dxa"/>
            </w:tcMar>
            <w:shd w:fill="F7F8FA"/>
          </w:tcPr>
          <w:p>
            <w:pPr>
              <w:spacing w:after="0"/>
            </w:pPr>
            <w:r>
              <w:rPr>
                <w:sz w:val="17"/>
              </w:rPr>
              <w:t>Protecting the organization’s image by hiding an error</w:t>
            </w:r>
          </w:p>
        </w:tc>
      </w:tr>
      <w:tr>
        <w:trPr>
          <w:cantSplit/>
        </w:trPr>
        <w:tc>
          <w:tcPr>
            <w:tcW w:type="dxa" w:w="2088"/>
            <w:tcMar>
              <w:top w:w="100" w:type="dxa"/>
              <w:start w:w="120" w:type="dxa"/>
              <w:bottom w:w="100" w:type="dxa"/>
              <w:end w:w="120" w:type="dxa"/>
            </w:tcMar>
          </w:tcPr>
          <w:p>
            <w:pPr>
              <w:spacing w:after="0"/>
            </w:pPr>
            <w:r>
              <w:rPr>
                <w:sz w:val="17"/>
              </w:rPr>
              <w:t>Competence</w:t>
            </w:r>
          </w:p>
        </w:tc>
        <w:tc>
          <w:tcPr>
            <w:tcW w:type="dxa" w:w="4536"/>
            <w:tcMar>
              <w:top w:w="100" w:type="dxa"/>
              <w:start w:w="120" w:type="dxa"/>
              <w:bottom w:w="100" w:type="dxa"/>
              <w:end w:w="120" w:type="dxa"/>
            </w:tcMar>
          </w:tcPr>
          <w:p>
            <w:pPr>
              <w:spacing w:after="0"/>
            </w:pPr>
            <w:r>
              <w:rPr>
                <w:sz w:val="17"/>
              </w:rPr>
              <w:t>Practice within preparation; use supervision, training, consultation, and referral</w:t>
            </w:r>
          </w:p>
        </w:tc>
        <w:tc>
          <w:tcPr>
            <w:tcW w:type="dxa" w:w="3312"/>
            <w:tcMar>
              <w:top w:w="100" w:type="dxa"/>
              <w:start w:w="120" w:type="dxa"/>
              <w:bottom w:w="100" w:type="dxa"/>
              <w:end w:w="120" w:type="dxa"/>
            </w:tcMar>
          </w:tcPr>
          <w:p>
            <w:pPr>
              <w:spacing w:after="0"/>
            </w:pPr>
            <w:r>
              <w:rPr>
                <w:sz w:val="17"/>
              </w:rPr>
              <w:t>Attempting unfamiliar treatment because access is limited</w:t>
            </w:r>
          </w:p>
        </w:tc>
      </w:tr>
      <w:tr>
        <w:trPr>
          <w:cantSplit/>
        </w:trPr>
        <w:tc>
          <w:tcPr>
            <w:tcW w:type="dxa" w:w="2088"/>
            <w:tcMar>
              <w:top w:w="100" w:type="dxa"/>
              <w:start w:w="120" w:type="dxa"/>
              <w:bottom w:w="100" w:type="dxa"/>
              <w:end w:w="120" w:type="dxa"/>
            </w:tcMar>
            <w:shd w:fill="F7F8FA"/>
          </w:tcPr>
          <w:p>
            <w:pPr>
              <w:spacing w:after="0"/>
            </w:pPr>
            <w:r>
              <w:rPr>
                <w:sz w:val="17"/>
              </w:rPr>
              <w:t>Social justice</w:t>
            </w:r>
          </w:p>
        </w:tc>
        <w:tc>
          <w:tcPr>
            <w:tcW w:type="dxa" w:w="4536"/>
            <w:tcMar>
              <w:top w:w="100" w:type="dxa"/>
              <w:start w:w="120" w:type="dxa"/>
              <w:bottom w:w="100" w:type="dxa"/>
              <w:end w:w="120" w:type="dxa"/>
            </w:tcMar>
            <w:shd w:fill="F7F8FA"/>
          </w:tcPr>
          <w:p>
            <w:pPr>
              <w:spacing w:after="0"/>
            </w:pPr>
            <w:r>
              <w:rPr>
                <w:sz w:val="17"/>
              </w:rPr>
              <w:t>Addressing barriers, inequity, discrimination, and unequal access with client participation</w:t>
            </w:r>
          </w:p>
        </w:tc>
        <w:tc>
          <w:tcPr>
            <w:tcW w:type="dxa" w:w="3312"/>
            <w:tcMar>
              <w:top w:w="100" w:type="dxa"/>
              <w:start w:w="120" w:type="dxa"/>
              <w:bottom w:w="100" w:type="dxa"/>
              <w:end w:w="120" w:type="dxa"/>
            </w:tcMar>
            <w:shd w:fill="F7F8FA"/>
          </w:tcPr>
          <w:p>
            <w:pPr>
              <w:spacing w:after="0"/>
            </w:pPr>
            <w:r>
              <w:rPr>
                <w:sz w:val="17"/>
              </w:rPr>
              <w:t>Making decisions for the client in the name of advocacy</w:t>
            </w:r>
          </w:p>
        </w:tc>
      </w:tr>
      <w:tr>
        <w:trPr>
          <w:cantSplit/>
        </w:trPr>
        <w:tc>
          <w:tcPr>
            <w:tcW w:type="dxa" w:w="2088"/>
            <w:tcMar>
              <w:top w:w="100" w:type="dxa"/>
              <w:start w:w="120" w:type="dxa"/>
              <w:bottom w:w="100" w:type="dxa"/>
              <w:end w:w="120" w:type="dxa"/>
            </w:tcMar>
          </w:tcPr>
          <w:p>
            <w:pPr>
              <w:spacing w:after="0"/>
            </w:pPr>
            <w:r>
              <w:rPr>
                <w:sz w:val="17"/>
              </w:rPr>
              <w:t>Importance of relationships</w:t>
            </w:r>
          </w:p>
        </w:tc>
        <w:tc>
          <w:tcPr>
            <w:tcW w:type="dxa" w:w="4536"/>
            <w:tcMar>
              <w:top w:w="100" w:type="dxa"/>
              <w:start w:w="120" w:type="dxa"/>
              <w:bottom w:w="100" w:type="dxa"/>
              <w:end w:w="120" w:type="dxa"/>
            </w:tcMar>
          </w:tcPr>
          <w:p>
            <w:pPr>
              <w:spacing w:after="0"/>
            </w:pPr>
            <w:r>
              <w:rPr>
                <w:sz w:val="17"/>
              </w:rPr>
              <w:t>Using collaboration and supportive systems while protecting boundaries</w:t>
            </w:r>
          </w:p>
        </w:tc>
        <w:tc>
          <w:tcPr>
            <w:tcW w:type="dxa" w:w="3312"/>
            <w:tcMar>
              <w:top w:w="100" w:type="dxa"/>
              <w:start w:w="120" w:type="dxa"/>
              <w:bottom w:w="100" w:type="dxa"/>
              <w:end w:w="120" w:type="dxa"/>
            </w:tcMar>
          </w:tcPr>
          <w:p>
            <w:pPr>
              <w:spacing w:after="0"/>
            </w:pPr>
            <w:r>
              <w:rPr>
                <w:sz w:val="17"/>
              </w:rPr>
              <w:t>Treating closeness as permission for dual roles or overinvolvement</w:t>
            </w:r>
          </w:p>
        </w:tc>
      </w:tr>
    </w:tbl>
    <w:p>
      <w:pPr>
        <w:spacing w:after="0"/>
      </w:pPr>
    </w:p>
    <w:p>
      <w:pPr>
        <w:pStyle w:val="Heading1"/>
      </w:pPr>
      <w:r>
        <w:t>2. Informed Consent and Role Clarity</w:t>
      </w:r>
    </w:p>
    <w:p>
      <w:r>
        <w:rPr>
          <w:i w:val="0"/>
        </w:rPr>
        <w:t>Informed consent is a continuing conversation, not a signature alone. Explain the social worker’s role, purpose of service, foreseeable risks and benefits, alternatives, fees or third-party involvement when relevant, records and communication practices, confidentiality and its limits, and the voluntary or mandated parts of service. Check understanding and revisit consent when the role, modality, participants, technology, or purpose changes.</w:t>
      </w:r>
    </w:p>
    <w:tbl>
      <w:tblPr>
        <w:tblW w:type="auto" w:w="0"/>
        <w:jc w:val="center"/>
        <w:tblLayout w:type="fixed"/>
        <w:tblLook w:firstColumn="1" w:firstRow="1" w:lastColumn="0" w:lastRow="0" w:noHBand="0" w:noVBand="1" w:val="04A0"/>
      </w:tblPr>
      <w:tblGrid>
        <w:gridCol w:w="9936"/>
      </w:tblGrid>
      <w:tr>
        <w:trPr>
          <w:cantSplit/>
        </w:trPr>
        <w:tc>
          <w:tcPr>
            <w:tcW w:type="dxa" w:w="10080"/>
            <w:shd w:fill="FFF4D6"/>
            <w:tcMar>
              <w:top w:w="150" w:type="dxa"/>
              <w:start w:w="180" w:type="dxa"/>
              <w:bottom w:w="150" w:type="dxa"/>
              <w:end w:w="180" w:type="dxa"/>
            </w:tcMar>
          </w:tcPr>
          <w:p>
            <w:pPr>
              <w:spacing w:after="80"/>
            </w:pPr>
            <w:r>
              <w:rPr>
                <w:b/>
                <w:i w:val="0"/>
                <w:color w:val="C17C00"/>
              </w:rPr>
              <w:t>Mandated or Involuntary Services</w:t>
            </w:r>
          </w:p>
          <w:p>
            <w:pPr>
              <w:spacing w:after="0"/>
            </w:pPr>
            <w:r>
              <w:t>Be transparent about what is required, what choices remain, who receives information, and the consequences of participation or nonparticipation. A mandate limits some choices; it does not eliminate dignity, collaboration, or self-determination.</w:t>
            </w:r>
          </w:p>
        </w:tc>
      </w:tr>
    </w:tbl>
    <w:p>
      <w:pPr>
        <w:spacing w:after="0"/>
      </w:pPr>
    </w:p>
    <w:p>
      <w:pPr>
        <w:pStyle w:val="Heading1"/>
      </w:pPr>
      <w:r>
        <w:t>3. Confidentiality, Privacy, Privilege, and Disclosure</w:t>
      </w:r>
    </w:p>
    <w:p>
      <w:r>
        <w:rPr>
          <w:i w:val="0"/>
        </w:rPr>
        <w:t>For exam purposes, first identify who the client or client system is, the purpose of the requested disclosure, whether authorization exists, whether an exception or legal duty is stated, and what information is actually needed. Confidentiality is the professional duty to protect information; privacy concerns the person’s control over access; privilege is an evidentiary concept controlled by law; authorization permits specified disclosure. Do not release an entire record merely because collaboration may be useful.</w:t>
      </w:r>
    </w:p>
    <w:tbl>
      <w:tblPr>
        <w:tblStyle w:val="TableGrid"/>
        <w:tblW w:type="auto" w:w="0"/>
        <w:jc w:val="center"/>
        <w:tblLayout w:type="fixed"/>
        <w:tblLook w:firstColumn="1" w:firstRow="1" w:lastColumn="0" w:lastRow="0" w:noHBand="0" w:noVBand="1" w:val="04A0"/>
      </w:tblPr>
      <w:tblGrid>
        <w:gridCol w:w="3888"/>
        <w:gridCol w:w="6048"/>
      </w:tblGrid>
      <w:tr>
        <w:trPr>
          <w:tblHeader w:val="true"/>
          <w:cantSplit/>
          <w:tblHeader w:val="true"/>
        </w:trPr>
        <w:tc>
          <w:tcPr>
            <w:tcW w:type="dxa" w:w="5040"/>
            <w:shd w:fill="17365D"/>
            <w:tcMar>
              <w:top w:w="100" w:type="dxa"/>
              <w:start w:w="120" w:type="dxa"/>
              <w:bottom w:w="100" w:type="dxa"/>
              <w:end w:w="120" w:type="dxa"/>
            </w:tcMar>
          </w:tcPr>
          <w:p>
            <w:pPr>
              <w:spacing w:after="0"/>
            </w:pPr>
            <w:r>
              <w:rPr>
                <w:b/>
                <w:color w:val="FFFFFF"/>
                <w:sz w:val="17"/>
              </w:rPr>
              <w:t>Question to Ask</w:t>
            </w:r>
          </w:p>
        </w:tc>
        <w:tc>
          <w:tcPr>
            <w:tcW w:type="dxa" w:w="5040"/>
            <w:shd w:fill="17365D"/>
            <w:tcMar>
              <w:top w:w="100" w:type="dxa"/>
              <w:start w:w="120" w:type="dxa"/>
              <w:bottom w:w="100" w:type="dxa"/>
              <w:end w:w="120" w:type="dxa"/>
            </w:tcMar>
          </w:tcPr>
          <w:p>
            <w:pPr>
              <w:spacing w:after="0"/>
            </w:pPr>
            <w:r>
              <w:rPr>
                <w:b/>
                <w:color w:val="FFFFFF"/>
                <w:sz w:val="17"/>
              </w:rPr>
              <w:t>Why It Matters</w:t>
            </w:r>
          </w:p>
        </w:tc>
      </w:tr>
      <w:tr>
        <w:trPr>
          <w:cantSplit/>
        </w:trPr>
        <w:tc>
          <w:tcPr>
            <w:tcW w:type="dxa" w:w="3888"/>
            <w:tcMar>
              <w:top w:w="100" w:type="dxa"/>
              <w:start w:w="120" w:type="dxa"/>
              <w:bottom w:w="100" w:type="dxa"/>
              <w:end w:w="120" w:type="dxa"/>
            </w:tcMar>
          </w:tcPr>
          <w:p>
            <w:pPr>
              <w:spacing w:after="0"/>
            </w:pPr>
            <w:r>
              <w:rPr>
                <w:sz w:val="17"/>
              </w:rPr>
              <w:t>Who is requesting information, and for what purpose?</w:t>
            </w:r>
          </w:p>
        </w:tc>
        <w:tc>
          <w:tcPr>
            <w:tcW w:type="dxa" w:w="6048"/>
            <w:tcMar>
              <w:top w:w="100" w:type="dxa"/>
              <w:start w:w="120" w:type="dxa"/>
              <w:bottom w:w="100" w:type="dxa"/>
              <w:end w:w="120" w:type="dxa"/>
            </w:tcMar>
          </w:tcPr>
          <w:p>
            <w:pPr>
              <w:spacing w:after="0"/>
            </w:pPr>
            <w:r>
              <w:rPr>
                <w:sz w:val="17"/>
              </w:rPr>
              <w:t>A title, family relationship, referral role, or team membership does not automatically create access.</w:t>
            </w:r>
          </w:p>
        </w:tc>
      </w:tr>
      <w:tr>
        <w:trPr>
          <w:cantSplit/>
        </w:trPr>
        <w:tc>
          <w:tcPr>
            <w:tcW w:type="dxa" w:w="3888"/>
            <w:tcMar>
              <w:top w:w="100" w:type="dxa"/>
              <w:start w:w="120" w:type="dxa"/>
              <w:bottom w:w="100" w:type="dxa"/>
              <w:end w:w="120" w:type="dxa"/>
            </w:tcMar>
            <w:shd w:fill="F7F8FA"/>
          </w:tcPr>
          <w:p>
            <w:pPr>
              <w:spacing w:after="0"/>
            </w:pPr>
            <w:r>
              <w:rPr>
                <w:sz w:val="17"/>
              </w:rPr>
              <w:t>What has the client authorized?</w:t>
            </w:r>
          </w:p>
        </w:tc>
        <w:tc>
          <w:tcPr>
            <w:tcW w:type="dxa" w:w="6048"/>
            <w:tcMar>
              <w:top w:w="100" w:type="dxa"/>
              <w:start w:w="120" w:type="dxa"/>
              <w:bottom w:w="100" w:type="dxa"/>
              <w:end w:w="120" w:type="dxa"/>
            </w:tcMar>
            <w:shd w:fill="F7F8FA"/>
          </w:tcPr>
          <w:p>
            <w:pPr>
              <w:spacing w:after="0"/>
            </w:pPr>
            <w:r>
              <w:rPr>
                <w:sz w:val="17"/>
              </w:rPr>
              <w:t>Consent should match the recipient, purpose, information, and time period.</w:t>
            </w:r>
          </w:p>
        </w:tc>
      </w:tr>
      <w:tr>
        <w:trPr>
          <w:cantSplit/>
        </w:trPr>
        <w:tc>
          <w:tcPr>
            <w:tcW w:type="dxa" w:w="3888"/>
            <w:tcMar>
              <w:top w:w="100" w:type="dxa"/>
              <w:start w:w="120" w:type="dxa"/>
              <w:bottom w:w="100" w:type="dxa"/>
              <w:end w:w="120" w:type="dxa"/>
            </w:tcMar>
          </w:tcPr>
          <w:p>
            <w:pPr>
              <w:spacing w:after="0"/>
            </w:pPr>
            <w:r>
              <w:rPr>
                <w:sz w:val="17"/>
              </w:rPr>
              <w:t>Is a specific exception or duty provided in the vignette?</w:t>
            </w:r>
          </w:p>
        </w:tc>
        <w:tc>
          <w:tcPr>
            <w:tcW w:type="dxa" w:w="6048"/>
            <w:tcMar>
              <w:top w:w="100" w:type="dxa"/>
              <w:start w:w="120" w:type="dxa"/>
              <w:bottom w:w="100" w:type="dxa"/>
              <w:end w:w="120" w:type="dxa"/>
            </w:tcMar>
          </w:tcPr>
          <w:p>
            <w:pPr>
              <w:spacing w:after="0"/>
            </w:pPr>
            <w:r>
              <w:rPr>
                <w:sz w:val="17"/>
              </w:rPr>
              <w:t>Use the facts given rather than inventing a jurisdictional rule.</w:t>
            </w:r>
          </w:p>
        </w:tc>
      </w:tr>
      <w:tr>
        <w:trPr>
          <w:cantSplit/>
        </w:trPr>
        <w:tc>
          <w:tcPr>
            <w:tcW w:type="dxa" w:w="3888"/>
            <w:tcMar>
              <w:top w:w="100" w:type="dxa"/>
              <w:start w:w="120" w:type="dxa"/>
              <w:bottom w:w="100" w:type="dxa"/>
              <w:end w:w="120" w:type="dxa"/>
            </w:tcMar>
            <w:shd w:fill="F7F8FA"/>
          </w:tcPr>
          <w:p>
            <w:pPr>
              <w:spacing w:after="0"/>
            </w:pPr>
            <w:r>
              <w:rPr>
                <w:sz w:val="17"/>
              </w:rPr>
              <w:t>What is the least information needed?</w:t>
            </w:r>
          </w:p>
        </w:tc>
        <w:tc>
          <w:tcPr>
            <w:tcW w:type="dxa" w:w="6048"/>
            <w:tcMar>
              <w:top w:w="100" w:type="dxa"/>
              <w:start w:w="120" w:type="dxa"/>
              <w:bottom w:w="100" w:type="dxa"/>
              <w:end w:w="120" w:type="dxa"/>
            </w:tcMar>
            <w:shd w:fill="F7F8FA"/>
          </w:tcPr>
          <w:p>
            <w:pPr>
              <w:spacing w:after="0"/>
            </w:pPr>
            <w:r>
              <w:rPr>
                <w:sz w:val="17"/>
              </w:rPr>
              <w:t>Minimum relevant disclosure protects privacy while permitting necessary coordination.</w:t>
            </w:r>
          </w:p>
        </w:tc>
      </w:tr>
      <w:tr>
        <w:trPr>
          <w:cantSplit/>
        </w:trPr>
        <w:tc>
          <w:tcPr>
            <w:tcW w:type="dxa" w:w="3888"/>
            <w:tcMar>
              <w:top w:w="100" w:type="dxa"/>
              <w:start w:w="120" w:type="dxa"/>
              <w:bottom w:w="100" w:type="dxa"/>
              <w:end w:w="120" w:type="dxa"/>
            </w:tcMar>
          </w:tcPr>
          <w:p>
            <w:pPr>
              <w:spacing w:after="0"/>
            </w:pPr>
            <w:r>
              <w:rPr>
                <w:sz w:val="17"/>
              </w:rPr>
              <w:t>How will the client be informed and involved?</w:t>
            </w:r>
          </w:p>
        </w:tc>
        <w:tc>
          <w:tcPr>
            <w:tcW w:type="dxa" w:w="6048"/>
            <w:tcMar>
              <w:top w:w="100" w:type="dxa"/>
              <w:start w:w="120" w:type="dxa"/>
              <w:bottom w:w="100" w:type="dxa"/>
              <w:end w:w="120" w:type="dxa"/>
            </w:tcMar>
          </w:tcPr>
          <w:p>
            <w:pPr>
              <w:spacing w:after="0"/>
            </w:pPr>
            <w:r>
              <w:rPr>
                <w:sz w:val="17"/>
              </w:rPr>
              <w:t>Transparency supports trust, autonomy, and repair when disclosure is required.</w:t>
            </w:r>
          </w:p>
        </w:tc>
      </w:tr>
    </w:tbl>
    <w:p>
      <w:pPr>
        <w:spacing w:after="0"/>
      </w:pPr>
    </w:p>
    <w:p>
      <w:pPr>
        <w:pStyle w:val="Heading1"/>
      </w:pPr>
      <w:r>
        <w:t>4. Self-Determination, Capacity, and Informed Choice</w:t>
      </w:r>
    </w:p>
    <w:p>
      <w:r>
        <w:rPr>
          <w:i w:val="0"/>
        </w:rPr>
        <w:t>Self-determination means supporting clients in making informed choices about their lives, services, medication, medical treatment, finances, relationships, and other decisions. The social worker may provide information, explore consequences, assess capacity when relevant, reduce coercion, and address safety. Disagreement with the client is not the same as incapacity. Limits should be based on a specific duty or serious concern and should be proportionate and as least restrictive as possible.</w:t>
      </w:r>
    </w:p>
    <w:tbl>
      <w:tblPr>
        <w:tblStyle w:val="TableGrid"/>
        <w:tblW w:type="auto" w:w="0"/>
        <w:jc w:val="center"/>
        <w:tblLayout w:type="fixed"/>
        <w:tblLook w:firstColumn="1" w:firstRow="1" w:lastColumn="0" w:lastRow="0" w:noHBand="0" w:noVBand="1" w:val="04A0"/>
      </w:tblPr>
      <w:tblGrid>
        <w:gridCol w:w="3168"/>
        <w:gridCol w:w="6768"/>
      </w:tblGrid>
      <w:tr>
        <w:trPr>
          <w:tblHeader w:val="true"/>
          <w:cantSplit/>
          <w:tblHeader w:val="true"/>
        </w:trPr>
        <w:tc>
          <w:tcPr>
            <w:tcW w:type="dxa" w:w="5040"/>
            <w:shd w:fill="17365D"/>
            <w:tcMar>
              <w:top w:w="100" w:type="dxa"/>
              <w:start w:w="120" w:type="dxa"/>
              <w:bottom w:w="100" w:type="dxa"/>
              <w:end w:w="120" w:type="dxa"/>
            </w:tcMar>
          </w:tcPr>
          <w:p>
            <w:pPr>
              <w:spacing w:after="0"/>
            </w:pPr>
            <w:r>
              <w:rPr>
                <w:b/>
                <w:color w:val="FFFFFF"/>
                <w:sz w:val="17"/>
              </w:rPr>
              <w:t>Situation</w:t>
            </w:r>
          </w:p>
        </w:tc>
        <w:tc>
          <w:tcPr>
            <w:tcW w:type="dxa" w:w="5040"/>
            <w:shd w:fill="17365D"/>
            <w:tcMar>
              <w:top w:w="100" w:type="dxa"/>
              <w:start w:w="120" w:type="dxa"/>
              <w:bottom w:w="100" w:type="dxa"/>
              <w:end w:w="120" w:type="dxa"/>
            </w:tcMar>
          </w:tcPr>
          <w:p>
            <w:pPr>
              <w:spacing w:after="0"/>
            </w:pPr>
            <w:r>
              <w:rPr>
                <w:b/>
                <w:color w:val="FFFFFF"/>
                <w:sz w:val="17"/>
              </w:rPr>
              <w:t>Ethical Direction</w:t>
            </w:r>
          </w:p>
        </w:tc>
      </w:tr>
      <w:tr>
        <w:trPr>
          <w:cantSplit/>
        </w:trPr>
        <w:tc>
          <w:tcPr>
            <w:tcW w:type="dxa" w:w="3168"/>
            <w:tcMar>
              <w:top w:w="100" w:type="dxa"/>
              <w:start w:w="120" w:type="dxa"/>
              <w:bottom w:w="100" w:type="dxa"/>
              <w:end w:w="120" w:type="dxa"/>
            </w:tcMar>
          </w:tcPr>
          <w:p>
            <w:pPr>
              <w:spacing w:after="0"/>
            </w:pPr>
            <w:r>
              <w:rPr>
                <w:sz w:val="17"/>
              </w:rPr>
              <w:t>Client chooses an option the worker would not choose</w:t>
            </w:r>
          </w:p>
        </w:tc>
        <w:tc>
          <w:tcPr>
            <w:tcW w:type="dxa" w:w="6768"/>
            <w:tcMar>
              <w:top w:w="100" w:type="dxa"/>
              <w:start w:w="120" w:type="dxa"/>
              <w:bottom w:w="100" w:type="dxa"/>
              <w:end w:w="120" w:type="dxa"/>
            </w:tcMar>
          </w:tcPr>
          <w:p>
            <w:pPr>
              <w:spacing w:after="0"/>
            </w:pPr>
            <w:r>
              <w:rPr>
                <w:sz w:val="17"/>
              </w:rPr>
              <w:t>Clarify understanding, risks, alternatives, and values; support informed choice unless a specific limit applies.</w:t>
            </w:r>
          </w:p>
        </w:tc>
      </w:tr>
      <w:tr>
        <w:trPr>
          <w:cantSplit/>
        </w:trPr>
        <w:tc>
          <w:tcPr>
            <w:tcW w:type="dxa" w:w="3168"/>
            <w:tcMar>
              <w:top w:w="100" w:type="dxa"/>
              <w:start w:w="120" w:type="dxa"/>
              <w:bottom w:w="100" w:type="dxa"/>
              <w:end w:w="120" w:type="dxa"/>
            </w:tcMar>
            <w:shd w:fill="F7F8FA"/>
          </w:tcPr>
          <w:p>
            <w:pPr>
              <w:spacing w:after="0"/>
            </w:pPr>
            <w:r>
              <w:rPr>
                <w:sz w:val="17"/>
              </w:rPr>
              <w:t>Capacity is uncertain</w:t>
            </w:r>
          </w:p>
        </w:tc>
        <w:tc>
          <w:tcPr>
            <w:tcW w:type="dxa" w:w="6768"/>
            <w:tcMar>
              <w:top w:w="100" w:type="dxa"/>
              <w:start w:w="120" w:type="dxa"/>
              <w:bottom w:w="100" w:type="dxa"/>
              <w:end w:w="120" w:type="dxa"/>
            </w:tcMar>
            <w:shd w:fill="F7F8FA"/>
          </w:tcPr>
          <w:p>
            <w:pPr>
              <w:spacing w:after="0"/>
            </w:pPr>
            <w:r>
              <w:rPr>
                <w:sz w:val="17"/>
              </w:rPr>
              <w:t>Assess the decision-specific abilities and seek appropriate evaluation rather than making a global assumption.</w:t>
            </w:r>
          </w:p>
        </w:tc>
      </w:tr>
      <w:tr>
        <w:trPr>
          <w:cantSplit/>
        </w:trPr>
        <w:tc>
          <w:tcPr>
            <w:tcW w:type="dxa" w:w="3168"/>
            <w:tcMar>
              <w:top w:w="100" w:type="dxa"/>
              <w:start w:w="120" w:type="dxa"/>
              <w:bottom w:w="100" w:type="dxa"/>
              <w:end w:w="120" w:type="dxa"/>
            </w:tcMar>
          </w:tcPr>
          <w:p>
            <w:pPr>
              <w:spacing w:after="0"/>
            </w:pPr>
            <w:r>
              <w:rPr>
                <w:sz w:val="17"/>
              </w:rPr>
              <w:t>Serious safety concern emerges</w:t>
            </w:r>
          </w:p>
        </w:tc>
        <w:tc>
          <w:tcPr>
            <w:tcW w:type="dxa" w:w="6768"/>
            <w:tcMar>
              <w:top w:w="100" w:type="dxa"/>
              <w:start w:w="120" w:type="dxa"/>
              <w:bottom w:w="100" w:type="dxa"/>
              <w:end w:w="120" w:type="dxa"/>
            </w:tcMar>
          </w:tcPr>
          <w:p>
            <w:pPr>
              <w:spacing w:after="0"/>
            </w:pPr>
            <w:r>
              <w:rPr>
                <w:sz w:val="17"/>
              </w:rPr>
              <w:t>Assess immediacy and severity, use the least restrictive effective response, and involve the client when possible.</w:t>
            </w:r>
          </w:p>
        </w:tc>
      </w:tr>
      <w:tr>
        <w:trPr>
          <w:cantSplit/>
        </w:trPr>
        <w:tc>
          <w:tcPr>
            <w:tcW w:type="dxa" w:w="3168"/>
            <w:tcMar>
              <w:top w:w="100" w:type="dxa"/>
              <w:start w:w="120" w:type="dxa"/>
              <w:bottom w:w="100" w:type="dxa"/>
              <w:end w:w="120" w:type="dxa"/>
            </w:tcMar>
            <w:shd w:fill="F7F8FA"/>
          </w:tcPr>
          <w:p>
            <w:pPr>
              <w:spacing w:after="0"/>
            </w:pPr>
            <w:r>
              <w:rPr>
                <w:sz w:val="17"/>
              </w:rPr>
              <w:t>Family or organization pressures the worker</w:t>
            </w:r>
          </w:p>
        </w:tc>
        <w:tc>
          <w:tcPr>
            <w:tcW w:type="dxa" w:w="6768"/>
            <w:tcMar>
              <w:top w:w="100" w:type="dxa"/>
              <w:start w:w="120" w:type="dxa"/>
              <w:bottom w:w="100" w:type="dxa"/>
              <w:end w:w="120" w:type="dxa"/>
            </w:tcMar>
            <w:shd w:fill="F7F8FA"/>
          </w:tcPr>
          <w:p>
            <w:pPr>
              <w:spacing w:after="0"/>
            </w:pPr>
            <w:r>
              <w:rPr>
                <w:sz w:val="17"/>
              </w:rPr>
              <w:t>Clarify the client, role, authority, consent, and conflicts before sharing or acting.</w:t>
            </w:r>
          </w:p>
        </w:tc>
      </w:tr>
    </w:tbl>
    <w:p>
      <w:pPr>
        <w:spacing w:after="0"/>
      </w:pPr>
    </w:p>
    <w:p>
      <w:pPr>
        <w:pStyle w:val="Heading1"/>
      </w:pPr>
      <w:r>
        <w:t>5. Boundaries, Power, Conflicts, and Professional Use of Self</w:t>
      </w:r>
    </w:p>
    <w:p>
      <w:r>
        <w:rPr>
          <w:i w:val="0"/>
        </w:rPr>
        <w:t>Boundary reasoning is contextual. Evaluate the power difference, whose needs are served, risk of exploitation or dependency, alternatives, cultural meaning, impact on treatment, and the ability to maintain clear roles. Self-disclosure, gifts, contact outside the office, dual relationships, and social-media interactions are not all automatically identical; the exam asks whether the action protects the client and the professional relationship.</w:t>
      </w:r>
    </w:p>
    <w:tbl>
      <w:tblPr>
        <w:tblStyle w:val="TableGrid"/>
        <w:tblW w:type="auto" w:w="0"/>
        <w:jc w:val="center"/>
        <w:tblLayout w:type="fixed"/>
        <w:tblLook w:firstColumn="1" w:firstRow="1" w:lastColumn="0" w:lastRow="0" w:noHBand="0" w:noVBand="1" w:val="04A0"/>
      </w:tblPr>
      <w:tblGrid>
        <w:gridCol w:w="3384"/>
        <w:gridCol w:w="6552"/>
      </w:tblGrid>
      <w:tr>
        <w:trPr>
          <w:tblHeader w:val="true"/>
          <w:cantSplit/>
          <w:tblHeader w:val="true"/>
        </w:trPr>
        <w:tc>
          <w:tcPr>
            <w:tcW w:type="dxa" w:w="5040"/>
            <w:shd w:fill="17365D"/>
            <w:tcMar>
              <w:top w:w="100" w:type="dxa"/>
              <w:start w:w="120" w:type="dxa"/>
              <w:bottom w:w="100" w:type="dxa"/>
              <w:end w:w="120" w:type="dxa"/>
            </w:tcMar>
          </w:tcPr>
          <w:p>
            <w:pPr>
              <w:spacing w:after="0"/>
            </w:pPr>
            <w:r>
              <w:rPr>
                <w:b/>
                <w:color w:val="FFFFFF"/>
                <w:sz w:val="17"/>
              </w:rPr>
              <w:t>Boundary Question</w:t>
            </w:r>
          </w:p>
        </w:tc>
        <w:tc>
          <w:tcPr>
            <w:tcW w:type="dxa" w:w="5040"/>
            <w:shd w:fill="17365D"/>
            <w:tcMar>
              <w:top w:w="100" w:type="dxa"/>
              <w:start w:w="120" w:type="dxa"/>
              <w:bottom w:w="100" w:type="dxa"/>
              <w:end w:w="120" w:type="dxa"/>
            </w:tcMar>
          </w:tcPr>
          <w:p>
            <w:pPr>
              <w:spacing w:after="0"/>
            </w:pPr>
            <w:r>
              <w:rPr>
                <w:b/>
                <w:color w:val="FFFFFF"/>
                <w:sz w:val="17"/>
              </w:rPr>
              <w:t>Stronger Exam Reasoning</w:t>
            </w:r>
          </w:p>
        </w:tc>
      </w:tr>
      <w:tr>
        <w:trPr>
          <w:cantSplit/>
        </w:trPr>
        <w:tc>
          <w:tcPr>
            <w:tcW w:type="dxa" w:w="3384"/>
            <w:tcMar>
              <w:top w:w="100" w:type="dxa"/>
              <w:start w:w="120" w:type="dxa"/>
              <w:bottom w:w="100" w:type="dxa"/>
              <w:end w:w="120" w:type="dxa"/>
            </w:tcMar>
          </w:tcPr>
          <w:p>
            <w:pPr>
              <w:spacing w:after="0"/>
            </w:pPr>
            <w:r>
              <w:rPr>
                <w:sz w:val="17"/>
              </w:rPr>
              <w:t>Would the action benefit the client or the worker?</w:t>
            </w:r>
          </w:p>
        </w:tc>
        <w:tc>
          <w:tcPr>
            <w:tcW w:type="dxa" w:w="6552"/>
            <w:tcMar>
              <w:top w:w="100" w:type="dxa"/>
              <w:start w:w="120" w:type="dxa"/>
              <w:bottom w:w="100" w:type="dxa"/>
              <w:end w:w="120" w:type="dxa"/>
            </w:tcMar>
          </w:tcPr>
          <w:p>
            <w:pPr>
              <w:spacing w:after="0"/>
            </w:pPr>
            <w:r>
              <w:rPr>
                <w:sz w:val="17"/>
              </w:rPr>
              <w:t>Client benefit must be clinically relevant and not a disguise for the worker’s needs.</w:t>
            </w:r>
          </w:p>
        </w:tc>
      </w:tr>
      <w:tr>
        <w:trPr>
          <w:cantSplit/>
        </w:trPr>
        <w:tc>
          <w:tcPr>
            <w:tcW w:type="dxa" w:w="3384"/>
            <w:tcMar>
              <w:top w:w="100" w:type="dxa"/>
              <w:start w:w="120" w:type="dxa"/>
              <w:bottom w:w="100" w:type="dxa"/>
              <w:end w:w="120" w:type="dxa"/>
            </w:tcMar>
            <w:shd w:fill="F7F8FA"/>
          </w:tcPr>
          <w:p>
            <w:pPr>
              <w:spacing w:after="0"/>
            </w:pPr>
            <w:r>
              <w:rPr>
                <w:sz w:val="17"/>
              </w:rPr>
              <w:t>Could the client feel pressure because of the power difference?</w:t>
            </w:r>
          </w:p>
        </w:tc>
        <w:tc>
          <w:tcPr>
            <w:tcW w:type="dxa" w:w="6552"/>
            <w:tcMar>
              <w:top w:w="100" w:type="dxa"/>
              <w:start w:w="120" w:type="dxa"/>
              <w:bottom w:w="100" w:type="dxa"/>
              <w:end w:w="120" w:type="dxa"/>
            </w:tcMar>
            <w:shd w:fill="F7F8FA"/>
          </w:tcPr>
          <w:p>
            <w:pPr>
              <w:spacing w:after="0"/>
            </w:pPr>
            <w:r>
              <w:rPr>
                <w:sz w:val="17"/>
              </w:rPr>
              <w:t>Consider explicit and implicit coercion, especially when services or evaluations are involved.</w:t>
            </w:r>
          </w:p>
        </w:tc>
      </w:tr>
      <w:tr>
        <w:trPr>
          <w:cantSplit/>
        </w:trPr>
        <w:tc>
          <w:tcPr>
            <w:tcW w:type="dxa" w:w="3384"/>
            <w:tcMar>
              <w:top w:w="100" w:type="dxa"/>
              <w:start w:w="120" w:type="dxa"/>
              <w:bottom w:w="100" w:type="dxa"/>
              <w:end w:w="120" w:type="dxa"/>
            </w:tcMar>
          </w:tcPr>
          <w:p>
            <w:pPr>
              <w:spacing w:after="0"/>
            </w:pPr>
            <w:r>
              <w:rPr>
                <w:sz w:val="17"/>
              </w:rPr>
              <w:t>Are there less risky alternatives?</w:t>
            </w:r>
          </w:p>
        </w:tc>
        <w:tc>
          <w:tcPr>
            <w:tcW w:type="dxa" w:w="6552"/>
            <w:tcMar>
              <w:top w:w="100" w:type="dxa"/>
              <w:start w:w="120" w:type="dxa"/>
              <w:bottom w:w="100" w:type="dxa"/>
              <w:end w:w="120" w:type="dxa"/>
            </w:tcMar>
          </w:tcPr>
          <w:p>
            <w:pPr>
              <w:spacing w:after="0"/>
            </w:pPr>
            <w:r>
              <w:rPr>
                <w:sz w:val="17"/>
              </w:rPr>
              <w:t>Choose the option that meets the need with clearer roles and lower exploitation risk.</w:t>
            </w:r>
          </w:p>
        </w:tc>
      </w:tr>
      <w:tr>
        <w:trPr>
          <w:cantSplit/>
        </w:trPr>
        <w:tc>
          <w:tcPr>
            <w:tcW w:type="dxa" w:w="3384"/>
            <w:tcMar>
              <w:top w:w="100" w:type="dxa"/>
              <w:start w:w="120" w:type="dxa"/>
              <w:bottom w:w="100" w:type="dxa"/>
              <w:end w:w="120" w:type="dxa"/>
            </w:tcMar>
            <w:shd w:fill="F7F8FA"/>
          </w:tcPr>
          <w:p>
            <w:pPr>
              <w:spacing w:after="0"/>
            </w:pPr>
            <w:r>
              <w:rPr>
                <w:sz w:val="17"/>
              </w:rPr>
              <w:t>Can the impact be discussed and documented?</w:t>
            </w:r>
          </w:p>
        </w:tc>
        <w:tc>
          <w:tcPr>
            <w:tcW w:type="dxa" w:w="6552"/>
            <w:tcMar>
              <w:top w:w="100" w:type="dxa"/>
              <w:start w:w="120" w:type="dxa"/>
              <w:bottom w:w="100" w:type="dxa"/>
              <w:end w:w="120" w:type="dxa"/>
            </w:tcMar>
            <w:shd w:fill="F7F8FA"/>
          </w:tcPr>
          <w:p>
            <w:pPr>
              <w:spacing w:after="0"/>
            </w:pPr>
            <w:r>
              <w:rPr>
                <w:sz w:val="17"/>
              </w:rPr>
              <w:t>Transparency, consultation, and follow-up support accountability but do not make an exploitative action acceptable.</w:t>
            </w:r>
          </w:p>
        </w:tc>
      </w:tr>
    </w:tbl>
    <w:p>
      <w:pPr>
        <w:spacing w:after="0"/>
      </w:pPr>
    </w:p>
    <w:p>
      <w:pPr>
        <w:pStyle w:val="Heading1"/>
      </w:pPr>
      <w:r>
        <w:t>6. Competence, Impairment, Supervision, and Ethical Service Delivery</w:t>
      </w:r>
    </w:p>
    <w:p>
      <w:r>
        <w:rPr>
          <w:i w:val="0"/>
        </w:rPr>
        <w:t>When competence is limited, protect the client through supervision, consultation, training, referral, and continuity. When impairment may affect practice, the priority is client protection, not secrecy or punishment. Ethical service delivery also includes accurate records, honest billing, appropriate delegation, responsible supervision, and correction of errors. A social worker should not falsify a record, backdate a note, bill for a service not provided, or ask a supervisee to perform beyond competence.</w:t>
      </w:r>
    </w:p>
    <w:tbl>
      <w:tblPr>
        <w:tblW w:type="auto" w:w="0"/>
        <w:jc w:val="center"/>
        <w:tblLayout w:type="fixed"/>
        <w:tblLook w:firstColumn="1" w:firstRow="1" w:lastColumn="0" w:lastRow="0" w:noHBand="0" w:noVBand="1" w:val="04A0"/>
      </w:tblPr>
      <w:tblGrid>
        <w:gridCol w:w="9936"/>
      </w:tblGrid>
      <w:tr>
        <w:trPr>
          <w:cantSplit/>
        </w:trPr>
        <w:tc>
          <w:tcPr>
            <w:tcW w:type="dxa" w:w="10080"/>
            <w:shd w:fill="FCE8E6"/>
            <w:tcMar>
              <w:top w:w="150" w:type="dxa"/>
              <w:start w:w="180" w:type="dxa"/>
              <w:bottom w:w="150" w:type="dxa"/>
              <w:end w:w="180" w:type="dxa"/>
            </w:tcMar>
          </w:tcPr>
          <w:p>
            <w:pPr>
              <w:spacing w:after="80"/>
            </w:pPr>
            <w:r>
              <w:rPr>
                <w:b/>
                <w:i w:val="0"/>
                <w:color w:val="9C2B2E"/>
              </w:rPr>
              <w:t>Consultation Is Not a Shield</w:t>
            </w:r>
          </w:p>
          <w:p>
            <w:pPr>
              <w:spacing w:after="0"/>
            </w:pPr>
            <w:r>
              <w:t>Consultation strengthens reasoning, but the social worker remains responsible for identifying the concern, providing accurate information, evaluating the advice, and taking appropriate action.</w:t>
            </w:r>
          </w:p>
        </w:tc>
      </w:tr>
    </w:tbl>
    <w:p>
      <w:pPr>
        <w:spacing w:after="0"/>
      </w:pPr>
    </w:p>
    <w:p>
      <w:pPr>
        <w:pStyle w:val="Heading1"/>
      </w:pPr>
      <w:r>
        <w:t>7. Documentation, Technology, and Organizational Ethics</w:t>
      </w:r>
    </w:p>
    <w:p>
      <w:r>
        <w:rPr>
          <w:i w:val="0"/>
        </w:rPr>
        <w:t>Records should be accurate, relevant, timely, respectful, and sufficient to support care and accountability. Correct errors transparently rather than deleting or disguising them. With electronic practice, assess informed consent, privacy, security, accessibility, emergency planning, competence, boundaries, and the client’s ability to use the modality. Organizational policies do not eliminate professional duties; use supervision, compliance, ethics, or leadership channels and escalate proportionately when a policy creates harm or requires unethical conduct.</w:t>
      </w:r>
    </w:p>
    <w:tbl>
      <w:tblPr>
        <w:tblStyle w:val="TableGrid"/>
        <w:tblW w:type="auto" w:w="0"/>
        <w:jc w:val="center"/>
        <w:tblLayout w:type="fixed"/>
        <w:tblLook w:firstColumn="1" w:firstRow="1" w:lastColumn="0" w:lastRow="0" w:noHBand="0" w:noVBand="1" w:val="04A0"/>
      </w:tblPr>
      <w:tblGrid>
        <w:gridCol w:w="3024"/>
        <w:gridCol w:w="6912"/>
      </w:tblGrid>
      <w:tr>
        <w:trPr>
          <w:tblHeader w:val="true"/>
          <w:cantSplit/>
          <w:tblHeader w:val="true"/>
        </w:trPr>
        <w:tc>
          <w:tcPr>
            <w:tcW w:type="dxa" w:w="5040"/>
            <w:shd w:fill="17365D"/>
            <w:tcMar>
              <w:top w:w="100" w:type="dxa"/>
              <w:start w:w="120" w:type="dxa"/>
              <w:bottom w:w="100" w:type="dxa"/>
              <w:end w:w="120" w:type="dxa"/>
            </w:tcMar>
          </w:tcPr>
          <w:p>
            <w:pPr>
              <w:spacing w:after="0"/>
            </w:pPr>
            <w:r>
              <w:rPr>
                <w:b/>
                <w:color w:val="FFFFFF"/>
                <w:sz w:val="17"/>
              </w:rPr>
              <w:t>Concern</w:t>
            </w:r>
          </w:p>
        </w:tc>
        <w:tc>
          <w:tcPr>
            <w:tcW w:type="dxa" w:w="5040"/>
            <w:shd w:fill="17365D"/>
            <w:tcMar>
              <w:top w:w="100" w:type="dxa"/>
              <w:start w:w="120" w:type="dxa"/>
              <w:bottom w:w="100" w:type="dxa"/>
              <w:end w:w="120" w:type="dxa"/>
            </w:tcMar>
          </w:tcPr>
          <w:p>
            <w:pPr>
              <w:spacing w:after="0"/>
            </w:pPr>
            <w:r>
              <w:rPr>
                <w:b/>
                <w:color w:val="FFFFFF"/>
                <w:sz w:val="17"/>
              </w:rPr>
              <w:t>Best Initial Direction</w:t>
            </w:r>
          </w:p>
        </w:tc>
      </w:tr>
      <w:tr>
        <w:trPr>
          <w:cantSplit/>
        </w:trPr>
        <w:tc>
          <w:tcPr>
            <w:tcW w:type="dxa" w:w="3024"/>
            <w:tcMar>
              <w:top w:w="100" w:type="dxa"/>
              <w:start w:w="120" w:type="dxa"/>
              <w:bottom w:w="100" w:type="dxa"/>
              <w:end w:w="120" w:type="dxa"/>
            </w:tcMar>
          </w:tcPr>
          <w:p>
            <w:pPr>
              <w:spacing w:after="0"/>
            </w:pPr>
            <w:r>
              <w:rPr>
                <w:sz w:val="17"/>
              </w:rPr>
              <w:t>Documentation error</w:t>
            </w:r>
          </w:p>
        </w:tc>
        <w:tc>
          <w:tcPr>
            <w:tcW w:type="dxa" w:w="6912"/>
            <w:tcMar>
              <w:top w:w="100" w:type="dxa"/>
              <w:start w:w="120" w:type="dxa"/>
              <w:bottom w:w="100" w:type="dxa"/>
              <w:end w:w="120" w:type="dxa"/>
            </w:tcMar>
          </w:tcPr>
          <w:p>
            <w:pPr>
              <w:spacing w:after="0"/>
            </w:pPr>
            <w:r>
              <w:rPr>
                <w:sz w:val="17"/>
              </w:rPr>
              <w:t>Correct according to policy with a dated, transparent amendment; do not conceal the original entry.</w:t>
            </w:r>
          </w:p>
        </w:tc>
      </w:tr>
      <w:tr>
        <w:trPr>
          <w:cantSplit/>
        </w:trPr>
        <w:tc>
          <w:tcPr>
            <w:tcW w:type="dxa" w:w="3024"/>
            <w:tcMar>
              <w:top w:w="100" w:type="dxa"/>
              <w:start w:w="120" w:type="dxa"/>
              <w:bottom w:w="100" w:type="dxa"/>
              <w:end w:w="120" w:type="dxa"/>
            </w:tcMar>
            <w:shd w:fill="F7F8FA"/>
          </w:tcPr>
          <w:p>
            <w:pPr>
              <w:spacing w:after="0"/>
            </w:pPr>
            <w:r>
              <w:rPr>
                <w:sz w:val="17"/>
              </w:rPr>
              <w:t>Telehealth access barrier</w:t>
            </w:r>
          </w:p>
        </w:tc>
        <w:tc>
          <w:tcPr>
            <w:tcW w:type="dxa" w:w="6912"/>
            <w:tcMar>
              <w:top w:w="100" w:type="dxa"/>
              <w:start w:w="120" w:type="dxa"/>
              <w:bottom w:w="100" w:type="dxa"/>
              <w:end w:w="120" w:type="dxa"/>
            </w:tcMar>
            <w:shd w:fill="F7F8FA"/>
          </w:tcPr>
          <w:p>
            <w:pPr>
              <w:spacing w:after="0"/>
            </w:pPr>
            <w:r>
              <w:rPr>
                <w:sz w:val="17"/>
              </w:rPr>
              <w:t>Assess technology, disability, language, privacy, and alternative formats with the client.</w:t>
            </w:r>
          </w:p>
        </w:tc>
      </w:tr>
      <w:tr>
        <w:trPr>
          <w:cantSplit/>
        </w:trPr>
        <w:tc>
          <w:tcPr>
            <w:tcW w:type="dxa" w:w="3024"/>
            <w:tcMar>
              <w:top w:w="100" w:type="dxa"/>
              <w:start w:w="120" w:type="dxa"/>
              <w:bottom w:w="100" w:type="dxa"/>
              <w:end w:w="120" w:type="dxa"/>
            </w:tcMar>
          </w:tcPr>
          <w:p>
            <w:pPr>
              <w:spacing w:after="0"/>
            </w:pPr>
            <w:r>
              <w:rPr>
                <w:sz w:val="17"/>
              </w:rPr>
              <w:t>Employer asks for unnecessary client details</w:t>
            </w:r>
          </w:p>
        </w:tc>
        <w:tc>
          <w:tcPr>
            <w:tcW w:type="dxa" w:w="6912"/>
            <w:tcMar>
              <w:top w:w="100" w:type="dxa"/>
              <w:start w:w="120" w:type="dxa"/>
              <w:bottom w:w="100" w:type="dxa"/>
              <w:end w:w="120" w:type="dxa"/>
            </w:tcMar>
          </w:tcPr>
          <w:p>
            <w:pPr>
              <w:spacing w:after="0"/>
            </w:pPr>
            <w:r>
              <w:rPr>
                <w:sz w:val="17"/>
              </w:rPr>
              <w:t>Clarify purpose, authorization, policy, and minimum relevant information.</w:t>
            </w:r>
          </w:p>
        </w:tc>
      </w:tr>
      <w:tr>
        <w:trPr>
          <w:cantSplit/>
        </w:trPr>
        <w:tc>
          <w:tcPr>
            <w:tcW w:type="dxa" w:w="3024"/>
            <w:tcMar>
              <w:top w:w="100" w:type="dxa"/>
              <w:start w:w="120" w:type="dxa"/>
              <w:bottom w:w="100" w:type="dxa"/>
              <w:end w:w="120" w:type="dxa"/>
            </w:tcMar>
            <w:shd w:fill="F7F8FA"/>
          </w:tcPr>
          <w:p>
            <w:pPr>
              <w:spacing w:after="0"/>
            </w:pPr>
            <w:r>
              <w:rPr>
                <w:sz w:val="17"/>
              </w:rPr>
              <w:t>Unethical billing pressure</w:t>
            </w:r>
          </w:p>
        </w:tc>
        <w:tc>
          <w:tcPr>
            <w:tcW w:type="dxa" w:w="6912"/>
            <w:tcMar>
              <w:top w:w="100" w:type="dxa"/>
              <w:start w:w="120" w:type="dxa"/>
              <w:bottom w:w="100" w:type="dxa"/>
              <w:end w:w="120" w:type="dxa"/>
            </w:tcMar>
            <w:shd w:fill="F7F8FA"/>
          </w:tcPr>
          <w:p>
            <w:pPr>
              <w:spacing w:after="0"/>
            </w:pPr>
            <w:r>
              <w:rPr>
                <w:sz w:val="17"/>
              </w:rPr>
              <w:t>Do not submit false information; consult and use appropriate organizational channels.</w:t>
            </w:r>
          </w:p>
        </w:tc>
      </w:tr>
    </w:tbl>
    <w:p>
      <w:pPr>
        <w:spacing w:after="0"/>
      </w:pPr>
    </w:p>
    <w:p>
      <w:pPr>
        <w:pStyle w:val="Heading1"/>
      </w:pPr>
      <w:r>
        <w:t>8. Diversity, Accessibility, and Social Justice</w:t>
      </w:r>
    </w:p>
    <w:p>
      <w:r>
        <w:rPr>
          <w:i w:val="0"/>
        </w:rPr>
        <w:t>The 2026 Clinical blueprint explicitly includes anti-oppressive and anti-racist approaches; social, racial, environmental, and economic justice; intersectionality; accessibility; language and interpretation; disability and neurodiversity; power differences and privilege; bias and microaggressions; exploitation; restorative practices; immigration and refugee status; and the effects of globalization on service delivery. Ethical practice requires more than cultural curiosity: it requires attention to how systems distribute risk, voice, resources, and access.</w:t>
      </w:r>
    </w:p>
    <w:tbl>
      <w:tblPr>
        <w:tblStyle w:val="TableGrid"/>
        <w:tblW w:type="auto" w:w="0"/>
        <w:jc w:val="center"/>
        <w:tblLayout w:type="fixed"/>
        <w:tblLook w:firstColumn="1" w:firstRow="1" w:lastColumn="0" w:lastRow="0" w:noHBand="0" w:noVBand="1" w:val="04A0"/>
      </w:tblPr>
      <w:tblGrid>
        <w:gridCol w:w="2592"/>
        <w:gridCol w:w="7344"/>
      </w:tblGrid>
      <w:tr>
        <w:trPr>
          <w:tblHeader w:val="true"/>
          <w:cantSplit/>
          <w:tblHeader w:val="true"/>
        </w:trPr>
        <w:tc>
          <w:tcPr>
            <w:tcW w:type="dxa" w:w="5040"/>
            <w:shd w:fill="17365D"/>
            <w:tcMar>
              <w:top w:w="100" w:type="dxa"/>
              <w:start w:w="120" w:type="dxa"/>
              <w:bottom w:w="100" w:type="dxa"/>
              <w:end w:w="120" w:type="dxa"/>
            </w:tcMar>
          </w:tcPr>
          <w:p>
            <w:pPr>
              <w:spacing w:after="0"/>
            </w:pPr>
            <w:r>
              <w:rPr>
                <w:b/>
                <w:color w:val="FFFFFF"/>
                <w:sz w:val="17"/>
              </w:rPr>
              <w:t>Practice Lens</w:t>
            </w:r>
          </w:p>
        </w:tc>
        <w:tc>
          <w:tcPr>
            <w:tcW w:type="dxa" w:w="5040"/>
            <w:shd w:fill="17365D"/>
            <w:tcMar>
              <w:top w:w="100" w:type="dxa"/>
              <w:start w:w="120" w:type="dxa"/>
              <w:bottom w:w="100" w:type="dxa"/>
              <w:end w:w="120" w:type="dxa"/>
            </w:tcMar>
          </w:tcPr>
          <w:p>
            <w:pPr>
              <w:spacing w:after="0"/>
            </w:pPr>
            <w:r>
              <w:rPr>
                <w:b/>
                <w:color w:val="FFFFFF"/>
                <w:sz w:val="17"/>
              </w:rPr>
              <w:t>Applied Question</w:t>
            </w:r>
          </w:p>
        </w:tc>
      </w:tr>
      <w:tr>
        <w:trPr>
          <w:cantSplit/>
        </w:trPr>
        <w:tc>
          <w:tcPr>
            <w:tcW w:type="dxa" w:w="2592"/>
            <w:tcMar>
              <w:top w:w="100" w:type="dxa"/>
              <w:start w:w="120" w:type="dxa"/>
              <w:bottom w:w="100" w:type="dxa"/>
              <w:end w:w="120" w:type="dxa"/>
            </w:tcMar>
          </w:tcPr>
          <w:p>
            <w:pPr>
              <w:spacing w:after="0"/>
            </w:pPr>
            <w:r>
              <w:rPr>
                <w:sz w:val="17"/>
              </w:rPr>
              <w:t>Intersectionality</w:t>
            </w:r>
          </w:p>
        </w:tc>
        <w:tc>
          <w:tcPr>
            <w:tcW w:type="dxa" w:w="7344"/>
            <w:tcMar>
              <w:top w:w="100" w:type="dxa"/>
              <w:start w:w="120" w:type="dxa"/>
              <w:bottom w:w="100" w:type="dxa"/>
              <w:end w:w="120" w:type="dxa"/>
            </w:tcMar>
          </w:tcPr>
          <w:p>
            <w:pPr>
              <w:spacing w:after="0"/>
            </w:pPr>
            <w:r>
              <w:rPr>
                <w:sz w:val="17"/>
              </w:rPr>
              <w:t>How do multiple identities and systems interact in this client’s experience rather than operating as separate labels?</w:t>
            </w:r>
          </w:p>
        </w:tc>
      </w:tr>
      <w:tr>
        <w:trPr>
          <w:cantSplit/>
        </w:trPr>
        <w:tc>
          <w:tcPr>
            <w:tcW w:type="dxa" w:w="2592"/>
            <w:tcMar>
              <w:top w:w="100" w:type="dxa"/>
              <w:start w:w="120" w:type="dxa"/>
              <w:bottom w:w="100" w:type="dxa"/>
              <w:end w:w="120" w:type="dxa"/>
            </w:tcMar>
            <w:shd w:fill="F7F8FA"/>
          </w:tcPr>
          <w:p>
            <w:pPr>
              <w:spacing w:after="0"/>
            </w:pPr>
            <w:r>
              <w:rPr>
                <w:sz w:val="17"/>
              </w:rPr>
              <w:t>Power and privilege</w:t>
            </w:r>
          </w:p>
        </w:tc>
        <w:tc>
          <w:tcPr>
            <w:tcW w:type="dxa" w:w="7344"/>
            <w:tcMar>
              <w:top w:w="100" w:type="dxa"/>
              <w:start w:w="120" w:type="dxa"/>
              <w:bottom w:w="100" w:type="dxa"/>
              <w:end w:w="120" w:type="dxa"/>
            </w:tcMar>
            <w:shd w:fill="F7F8FA"/>
          </w:tcPr>
          <w:p>
            <w:pPr>
              <w:spacing w:after="0"/>
            </w:pPr>
            <w:r>
              <w:rPr>
                <w:sz w:val="17"/>
              </w:rPr>
              <w:t>Who controls information, eligibility, consequences, and definitions of success?</w:t>
            </w:r>
          </w:p>
        </w:tc>
      </w:tr>
      <w:tr>
        <w:trPr>
          <w:cantSplit/>
        </w:trPr>
        <w:tc>
          <w:tcPr>
            <w:tcW w:type="dxa" w:w="2592"/>
            <w:tcMar>
              <w:top w:w="100" w:type="dxa"/>
              <w:start w:w="120" w:type="dxa"/>
              <w:bottom w:w="100" w:type="dxa"/>
              <w:end w:w="120" w:type="dxa"/>
            </w:tcMar>
          </w:tcPr>
          <w:p>
            <w:pPr>
              <w:spacing w:after="0"/>
            </w:pPr>
            <w:r>
              <w:rPr>
                <w:sz w:val="17"/>
              </w:rPr>
              <w:t>Accessibility</w:t>
            </w:r>
          </w:p>
        </w:tc>
        <w:tc>
          <w:tcPr>
            <w:tcW w:type="dxa" w:w="7344"/>
            <w:tcMar>
              <w:top w:w="100" w:type="dxa"/>
              <w:start w:w="120" w:type="dxa"/>
              <w:bottom w:w="100" w:type="dxa"/>
              <w:end w:w="120" w:type="dxa"/>
            </w:tcMar>
          </w:tcPr>
          <w:p>
            <w:pPr>
              <w:spacing w:after="0"/>
            </w:pPr>
            <w:r>
              <w:rPr>
                <w:sz w:val="17"/>
              </w:rPr>
              <w:t>Can the client physically, linguistically, cognitively, culturally, financially, and technologically use the service?</w:t>
            </w:r>
          </w:p>
        </w:tc>
      </w:tr>
      <w:tr>
        <w:trPr>
          <w:cantSplit/>
        </w:trPr>
        <w:tc>
          <w:tcPr>
            <w:tcW w:type="dxa" w:w="2592"/>
            <w:tcMar>
              <w:top w:w="100" w:type="dxa"/>
              <w:start w:w="120" w:type="dxa"/>
              <w:bottom w:w="100" w:type="dxa"/>
              <w:end w:w="120" w:type="dxa"/>
            </w:tcMar>
            <w:shd w:fill="F7F8FA"/>
          </w:tcPr>
          <w:p>
            <w:pPr>
              <w:spacing w:after="0"/>
            </w:pPr>
            <w:r>
              <w:rPr>
                <w:sz w:val="17"/>
              </w:rPr>
              <w:t>Anti-oppressive practice</w:t>
            </w:r>
          </w:p>
        </w:tc>
        <w:tc>
          <w:tcPr>
            <w:tcW w:type="dxa" w:w="7344"/>
            <w:tcMar>
              <w:top w:w="100" w:type="dxa"/>
              <w:start w:w="120" w:type="dxa"/>
              <w:bottom w:w="100" w:type="dxa"/>
              <w:end w:w="120" w:type="dxa"/>
            </w:tcMar>
            <w:shd w:fill="F7F8FA"/>
          </w:tcPr>
          <w:p>
            <w:pPr>
              <w:spacing w:after="0"/>
            </w:pPr>
            <w:r>
              <w:rPr>
                <w:sz w:val="17"/>
              </w:rPr>
              <w:t>Does the response reduce coercion and inequity, or reproduce the system that created the barrier?</w:t>
            </w:r>
          </w:p>
        </w:tc>
      </w:tr>
      <w:tr>
        <w:trPr>
          <w:cantSplit/>
        </w:trPr>
        <w:tc>
          <w:tcPr>
            <w:tcW w:type="dxa" w:w="2592"/>
            <w:tcMar>
              <w:top w:w="100" w:type="dxa"/>
              <w:start w:w="120" w:type="dxa"/>
              <w:bottom w:w="100" w:type="dxa"/>
              <w:end w:w="120" w:type="dxa"/>
            </w:tcMar>
          </w:tcPr>
          <w:p>
            <w:pPr>
              <w:spacing w:after="0"/>
            </w:pPr>
            <w:r>
              <w:rPr>
                <w:sz w:val="17"/>
              </w:rPr>
              <w:t>Restorative and repair-oriented practice</w:t>
            </w:r>
          </w:p>
        </w:tc>
        <w:tc>
          <w:tcPr>
            <w:tcW w:type="dxa" w:w="7344"/>
            <w:tcMar>
              <w:top w:w="100" w:type="dxa"/>
              <w:start w:w="120" w:type="dxa"/>
              <w:bottom w:w="100" w:type="dxa"/>
              <w:end w:w="120" w:type="dxa"/>
            </w:tcMar>
          </w:tcPr>
          <w:p>
            <w:pPr>
              <w:spacing w:after="0"/>
            </w:pPr>
            <w:r>
              <w:rPr>
                <w:sz w:val="17"/>
              </w:rPr>
              <w:t>When harm occurs, how can accountability, voice, repair, and changed practice be supported?</w:t>
            </w:r>
          </w:p>
        </w:tc>
      </w:tr>
    </w:tbl>
    <w:p>
      <w:pPr>
        <w:spacing w:after="0"/>
      </w:pPr>
    </w:p>
    <w:p>
      <w:pPr>
        <w:pStyle w:val="Heading1"/>
      </w:pPr>
      <w:r>
        <w:t>9. Responding to Bias, Microaggressions, and Discrimination</w:t>
      </w:r>
    </w:p>
    <w:p>
      <w:r>
        <w:rPr>
          <w:i w:val="0"/>
        </w:rPr>
        <w:t>When a client reports harm, first understand the impact and context rather than debating intent. When the social worker causes harm, acknowledge the impact, apologize or repair appropriately, examine bias and power, seek consultation, and change the practice. When a system creates an access barrier, collaborate with the client on immediate support and proportionate advocacy. Do not force the client to educate the professional or carry the entire burden of organizational change.</w:t>
      </w:r>
    </w:p>
    <w:p>
      <w:pPr>
        <w:pStyle w:val="Heading1"/>
      </w:pPr>
      <w:r>
        <w:t>Common Examination Traps</w:t>
      </w:r>
    </w:p>
    <w:p>
      <w:pPr>
        <w:pStyle w:val="ListBullet"/>
      </w:pPr>
      <w:r>
        <w:t>Choosing what the social worker believes is best instead of supporting informed client choice.</w:t>
      </w:r>
    </w:p>
    <w:p>
      <w:pPr>
        <w:pStyle w:val="ListBullet"/>
      </w:pPr>
      <w:r>
        <w:t>Treating a consent form as the entire informed-consent process.</w:t>
      </w:r>
    </w:p>
    <w:p>
      <w:pPr>
        <w:pStyle w:val="ListBullet"/>
      </w:pPr>
      <w:r>
        <w:t>Releasing a full record when limited relevant information would meet the purpose.</w:t>
      </w:r>
    </w:p>
    <w:p>
      <w:pPr>
        <w:pStyle w:val="ListBullet"/>
      </w:pPr>
      <w:r>
        <w:t>Assuming family, referral source, payer, or team membership automatically creates a right to information.</w:t>
      </w:r>
    </w:p>
    <w:p>
      <w:pPr>
        <w:pStyle w:val="ListBullet"/>
      </w:pPr>
      <w:r>
        <w:t>Using confidentiality to avoid a clearly stated safety or reporting duty.</w:t>
      </w:r>
    </w:p>
    <w:p>
      <w:pPr>
        <w:pStyle w:val="ListBullet"/>
      </w:pPr>
      <w:r>
        <w:t>Using consultation as the answer when an immediate protective action is already required.</w:t>
      </w:r>
    </w:p>
    <w:p>
      <w:pPr>
        <w:pStyle w:val="ListBullet"/>
      </w:pPr>
      <w:r>
        <w:t>Rigidly labeling every gift, self-disclosure, or community contact as identical without assessing power and impact.</w:t>
      </w:r>
    </w:p>
    <w:p>
      <w:pPr>
        <w:pStyle w:val="ListBullet"/>
      </w:pPr>
      <w:r>
        <w:t>Responding to discrimination only with individual coping advice while ignoring an actionable access barrier.</w:t>
      </w:r>
    </w:p>
    <w:p>
      <w:pPr>
        <w:pStyle w:val="ListBullet"/>
      </w:pPr>
      <w:r>
        <w:t>Confronting an organization publicly before clarifying facts and using proportionate internal or external channels.</w:t>
      </w:r>
    </w:p>
    <w:p>
      <w:pPr>
        <w:pStyle w:val="ListBullet"/>
      </w:pPr>
      <w:r>
        <w:t>Confusing the worker’s discomfort, values, or cultural norm with an ethical violation.</w:t>
      </w:r>
    </w:p>
    <w:p>
      <w:pPr>
        <w:pStyle w:val="Heading1"/>
      </w:pPr>
      <w:r>
        <w:t>Worked Example 1: Self-Determination and Safety</w:t>
      </w:r>
    </w:p>
    <w:p>
      <w:r>
        <w:rPr>
          <w:i w:val="0"/>
        </w:rPr>
        <w:t>An adult client with a chronic medical condition says they plan to stop a recommended treatment because the side effects interfere with work. The social worker strongly disagrees.</w:t>
      </w:r>
    </w:p>
    <w:p>
      <w:pPr>
        <w:spacing w:after="40"/>
        <w:ind w:left="259" w:hanging="259"/>
      </w:pPr>
      <w:r>
        <w:rPr>
          <w:b w:val="0"/>
          <w:i w:val="0"/>
        </w:rPr>
        <w:t xml:space="preserve">1. </w:t>
      </w:r>
      <w:r>
        <w:rPr>
          <w:b w:val="0"/>
          <w:i w:val="0"/>
        </w:rPr>
        <w:t>Clarify the social worker’s role and the client’s understanding of benefits, risks, alternatives, and consequences.</w:t>
      </w:r>
    </w:p>
    <w:p>
      <w:pPr>
        <w:spacing w:after="40"/>
        <w:ind w:left="259" w:hanging="259"/>
      </w:pPr>
      <w:r>
        <w:rPr>
          <w:b w:val="0"/>
          <w:i w:val="0"/>
        </w:rPr>
        <w:t xml:space="preserve">2. </w:t>
      </w:r>
      <w:r>
        <w:rPr>
          <w:b w:val="0"/>
          <w:i w:val="0"/>
        </w:rPr>
        <w:t>Assess whether there is a decision-specific capacity concern rather than assuming incapacity because the choice appears risky.</w:t>
      </w:r>
    </w:p>
    <w:p>
      <w:pPr>
        <w:spacing w:after="40"/>
        <w:ind w:left="259" w:hanging="259"/>
      </w:pPr>
      <w:r>
        <w:rPr>
          <w:b w:val="0"/>
          <w:i w:val="0"/>
        </w:rPr>
        <w:t xml:space="preserve">3. </w:t>
      </w:r>
      <w:r>
        <w:rPr>
          <w:b w:val="0"/>
          <w:i w:val="0"/>
        </w:rPr>
        <w:t>Explore the client’s values, employment pressure, access barriers, and whether the medical team has addressed alternatives.</w:t>
      </w:r>
    </w:p>
    <w:p>
      <w:pPr>
        <w:spacing w:after="40"/>
        <w:ind w:left="259" w:hanging="259"/>
      </w:pPr>
      <w:r>
        <w:rPr>
          <w:b w:val="0"/>
          <w:i w:val="0"/>
        </w:rPr>
        <w:t xml:space="preserve">4. </w:t>
      </w:r>
      <w:r>
        <w:rPr>
          <w:b w:val="0"/>
          <w:i w:val="0"/>
        </w:rPr>
        <w:t>Support informed choice and coordination unless a specific legal or serious safety duty requires a proportionate limit.</w:t>
      </w:r>
    </w:p>
    <w:p>
      <w:pPr>
        <w:spacing w:after="40"/>
        <w:ind w:left="259" w:hanging="259"/>
      </w:pPr>
      <w:r>
        <w:rPr>
          <w:b w:val="0"/>
          <w:i w:val="0"/>
        </w:rPr>
        <w:t xml:space="preserve">5. </w:t>
      </w:r>
      <w:r>
        <w:rPr>
          <w:b w:val="0"/>
          <w:i w:val="0"/>
        </w:rPr>
        <w:t>Document the discussion and follow up on the client’s plan and support needs.</w:t>
      </w:r>
    </w:p>
    <w:p>
      <w:pPr>
        <w:pStyle w:val="Heading1"/>
      </w:pPr>
      <w:r>
        <w:t>Worked Example 2: Social Justice and Access</w:t>
      </w:r>
    </w:p>
    <w:p>
      <w:r>
        <w:rPr>
          <w:i w:val="0"/>
        </w:rPr>
        <w:t>A client who uses an augmentative communication device repeatedly receives shorter appointments because staff say communication takes too long.</w:t>
      </w:r>
    </w:p>
    <w:p>
      <w:pPr>
        <w:spacing w:after="40"/>
        <w:ind w:left="259" w:hanging="259"/>
      </w:pPr>
      <w:r>
        <w:rPr>
          <w:b w:val="0"/>
          <w:i w:val="0"/>
        </w:rPr>
        <w:t xml:space="preserve">1. </w:t>
      </w:r>
      <w:r>
        <w:rPr>
          <w:b w:val="0"/>
          <w:i w:val="0"/>
        </w:rPr>
        <w:t>Identify the access and power problem rather than describing the client as difficult or noncompliant.</w:t>
      </w:r>
    </w:p>
    <w:p>
      <w:pPr>
        <w:spacing w:after="40"/>
        <w:ind w:left="259" w:hanging="259"/>
      </w:pPr>
      <w:r>
        <w:rPr>
          <w:b w:val="0"/>
          <w:i w:val="0"/>
        </w:rPr>
        <w:t xml:space="preserve">2. </w:t>
      </w:r>
      <w:r>
        <w:rPr>
          <w:b w:val="0"/>
          <w:i w:val="0"/>
        </w:rPr>
        <w:t>Ask the client what communication supports and scheduling changes would make the service usable.</w:t>
      </w:r>
    </w:p>
    <w:p>
      <w:pPr>
        <w:spacing w:after="40"/>
        <w:ind w:left="259" w:hanging="259"/>
      </w:pPr>
      <w:r>
        <w:rPr>
          <w:b w:val="0"/>
          <w:i w:val="0"/>
        </w:rPr>
        <w:t xml:space="preserve">3. </w:t>
      </w:r>
      <w:r>
        <w:rPr>
          <w:b w:val="0"/>
          <w:i w:val="0"/>
        </w:rPr>
        <w:t>Address the immediate service barrier and use appropriate organizational advocacy channels.</w:t>
      </w:r>
    </w:p>
    <w:p>
      <w:pPr>
        <w:spacing w:after="40"/>
        <w:ind w:left="259" w:hanging="259"/>
      </w:pPr>
      <w:r>
        <w:rPr>
          <w:b w:val="0"/>
          <w:i w:val="0"/>
        </w:rPr>
        <w:t xml:space="preserve">4. </w:t>
      </w:r>
      <w:r>
        <w:rPr>
          <w:b w:val="0"/>
          <w:i w:val="0"/>
        </w:rPr>
        <w:t>Document the impact and agreed plan, then review whether access actually improves.</w:t>
      </w:r>
    </w:p>
    <w:tbl>
      <w:tblPr>
        <w:tblW w:type="auto" w:w="0"/>
        <w:jc w:val="center"/>
        <w:tblLayout w:type="fixed"/>
        <w:tblLook w:firstColumn="1" w:firstRow="1" w:lastColumn="0" w:lastRow="0" w:noHBand="0" w:noVBand="1" w:val="04A0"/>
      </w:tblPr>
      <w:tblGrid>
        <w:gridCol w:w="9936"/>
      </w:tblGrid>
      <w:tr>
        <w:trPr>
          <w:cantSplit/>
        </w:trPr>
        <w:tc>
          <w:tcPr>
            <w:tcW w:type="dxa" w:w="10080"/>
            <w:shd w:fill="E7F5F4"/>
            <w:tcMar>
              <w:top w:w="150" w:type="dxa"/>
              <w:start w:w="180" w:type="dxa"/>
              <w:bottom w:w="150" w:type="dxa"/>
              <w:end w:w="180" w:type="dxa"/>
            </w:tcMar>
          </w:tcPr>
          <w:p>
            <w:pPr>
              <w:spacing w:after="80"/>
            </w:pPr>
            <w:r>
              <w:rPr>
                <w:b/>
                <w:i w:val="0"/>
                <w:color w:val="0F7C82"/>
              </w:rPr>
              <w:t>Why These Sequences Win</w:t>
            </w:r>
          </w:p>
          <w:p>
            <w:pPr>
              <w:spacing w:after="0"/>
            </w:pPr>
            <w:r>
              <w:t>They preserve the client’s voice, identify the real ethical conflict, address power and access, and choose proportionate actions rather than substituting the worker’s preference or a symbolic response.</w:t>
            </w:r>
          </w:p>
        </w:tc>
      </w:tr>
    </w:tbl>
    <w:p>
      <w:pPr>
        <w:spacing w:after="0"/>
      </w:pPr>
    </w:p>
    <w:p>
      <w:pPr>
        <w:pStyle w:val="Heading1"/>
        <w:pageBreakBefore w:val="0"/>
      </w:pPr>
      <w:r>
        <w:t>Student Worksheet: CLEAR Ethical Analysis</w:t>
      </w:r>
    </w:p>
    <w:tbl>
      <w:tblPr>
        <w:tblStyle w:val="TableGrid"/>
        <w:tblW w:type="auto" w:w="0"/>
        <w:jc w:val="center"/>
        <w:tblLayout w:type="fixed"/>
        <w:tblLook w:firstColumn="1" w:firstRow="1" w:lastColumn="0" w:lastRow="0" w:noHBand="0" w:noVBand="1" w:val="04A0"/>
      </w:tblPr>
      <w:tblGrid>
        <w:gridCol w:w="4320"/>
        <w:gridCol w:w="5616"/>
      </w:tblGrid>
      <w:tr>
        <w:trPr>
          <w:tblHeader w:val="true"/>
          <w:cantSplit/>
          <w:tblHeader w:val="true"/>
        </w:trPr>
        <w:tc>
          <w:tcPr>
            <w:tcW w:type="dxa" w:w="5040"/>
            <w:shd w:fill="17365D"/>
            <w:tcMar>
              <w:top w:w="100" w:type="dxa"/>
              <w:start w:w="120" w:type="dxa"/>
              <w:bottom w:w="100" w:type="dxa"/>
              <w:end w:w="120" w:type="dxa"/>
            </w:tcMar>
          </w:tcPr>
          <w:p>
            <w:pPr>
              <w:spacing w:after="0"/>
            </w:pPr>
            <w:r>
              <w:rPr>
                <w:b/>
                <w:color w:val="FFFFFF"/>
                <w:sz w:val="17"/>
              </w:rPr>
              <w:t>CLEAR Step</w:t>
            </w:r>
          </w:p>
        </w:tc>
        <w:tc>
          <w:tcPr>
            <w:tcW w:type="dxa" w:w="5040"/>
            <w:shd w:fill="17365D"/>
            <w:tcMar>
              <w:top w:w="100" w:type="dxa"/>
              <w:start w:w="120" w:type="dxa"/>
              <w:bottom w:w="100" w:type="dxa"/>
              <w:end w:w="120" w:type="dxa"/>
            </w:tcMar>
          </w:tcPr>
          <w:p>
            <w:pPr>
              <w:spacing w:after="0"/>
            </w:pPr>
            <w:r>
              <w:rPr>
                <w:b/>
                <w:color w:val="FFFFFF"/>
                <w:sz w:val="17"/>
              </w:rPr>
              <w:t>My Analysis</w:t>
            </w:r>
          </w:p>
        </w:tc>
      </w:tr>
      <w:tr>
        <w:trPr>
          <w:cantSplit/>
          <w:trHeight w:val="1037"/>
        </w:trPr>
        <w:tc>
          <w:tcPr>
            <w:tcW w:type="dxa" w:w="4320"/>
            <w:tcMar>
              <w:top w:w="100" w:type="dxa"/>
              <w:start w:w="120" w:type="dxa"/>
              <w:bottom w:w="100" w:type="dxa"/>
              <w:end w:w="120" w:type="dxa"/>
            </w:tcMar>
          </w:tcPr>
          <w:p>
            <w:pPr>
              <w:spacing w:after="0"/>
            </w:pPr>
            <w:r>
              <w:rPr>
                <w:sz w:val="17"/>
              </w:rPr>
              <w:t>Clarify role, facts, setting, and duties</w:t>
            </w:r>
          </w:p>
        </w:tc>
        <w:tc>
          <w:tcPr>
            <w:tcW w:type="dxa" w:w="5616"/>
            <w:tcMar>
              <w:top w:w="100" w:type="dxa"/>
              <w:start w:w="120" w:type="dxa"/>
              <w:bottom w:w="100" w:type="dxa"/>
              <w:end w:w="120" w:type="dxa"/>
            </w:tcMar>
          </w:tcPr>
          <w:p>
            <w:pPr>
              <w:spacing w:after="0"/>
            </w:pPr>
            <w:r>
              <w:rPr>
                <w:sz w:val="17"/>
              </w:rPr>
            </w:r>
          </w:p>
        </w:tc>
      </w:tr>
      <w:tr>
        <w:trPr>
          <w:cantSplit/>
          <w:trHeight w:val="1037"/>
        </w:trPr>
        <w:tc>
          <w:tcPr>
            <w:tcW w:type="dxa" w:w="4320"/>
            <w:tcMar>
              <w:top w:w="100" w:type="dxa"/>
              <w:start w:w="120" w:type="dxa"/>
              <w:bottom w:w="100" w:type="dxa"/>
              <w:end w:w="120" w:type="dxa"/>
            </w:tcMar>
            <w:shd w:fill="F7F8FA"/>
          </w:tcPr>
          <w:p>
            <w:pPr>
              <w:spacing w:after="0"/>
            </w:pPr>
            <w:r>
              <w:rPr>
                <w:sz w:val="17"/>
              </w:rPr>
              <w:t>Locate the ethical conflict and affected rights</w:t>
            </w:r>
          </w:p>
        </w:tc>
        <w:tc>
          <w:tcPr>
            <w:tcW w:type="dxa" w:w="5616"/>
            <w:tcMar>
              <w:top w:w="100" w:type="dxa"/>
              <w:start w:w="120" w:type="dxa"/>
              <w:bottom w:w="100" w:type="dxa"/>
              <w:end w:w="120" w:type="dxa"/>
            </w:tcMar>
            <w:shd w:fill="F7F8FA"/>
          </w:tcPr>
          <w:p>
            <w:pPr>
              <w:spacing w:after="0"/>
            </w:pPr>
            <w:r>
              <w:rPr>
                <w:sz w:val="17"/>
              </w:rPr>
            </w:r>
          </w:p>
        </w:tc>
      </w:tr>
      <w:tr>
        <w:trPr>
          <w:cantSplit/>
          <w:trHeight w:val="1037"/>
        </w:trPr>
        <w:tc>
          <w:tcPr>
            <w:tcW w:type="dxa" w:w="4320"/>
            <w:tcMar>
              <w:top w:w="100" w:type="dxa"/>
              <w:start w:w="120" w:type="dxa"/>
              <w:bottom w:w="100" w:type="dxa"/>
              <w:end w:w="120" w:type="dxa"/>
            </w:tcMar>
          </w:tcPr>
          <w:p>
            <w:pPr>
              <w:spacing w:after="0"/>
            </w:pPr>
            <w:r>
              <w:rPr>
                <w:sz w:val="17"/>
              </w:rPr>
              <w:t>Evaluate safety, capacity, consent, power, culture, access, and alternatives</w:t>
            </w:r>
          </w:p>
        </w:tc>
        <w:tc>
          <w:tcPr>
            <w:tcW w:type="dxa" w:w="5616"/>
            <w:tcMar>
              <w:top w:w="100" w:type="dxa"/>
              <w:start w:w="120" w:type="dxa"/>
              <w:bottom w:w="100" w:type="dxa"/>
              <w:end w:w="120" w:type="dxa"/>
            </w:tcMar>
          </w:tcPr>
          <w:p>
            <w:pPr>
              <w:spacing w:after="0"/>
            </w:pPr>
            <w:r>
              <w:rPr>
                <w:sz w:val="17"/>
              </w:rPr>
            </w:r>
          </w:p>
        </w:tc>
      </w:tr>
      <w:tr>
        <w:trPr>
          <w:cantSplit/>
          <w:trHeight w:val="1037"/>
        </w:trPr>
        <w:tc>
          <w:tcPr>
            <w:tcW w:type="dxa" w:w="4320"/>
            <w:tcMar>
              <w:top w:w="100" w:type="dxa"/>
              <w:start w:w="120" w:type="dxa"/>
              <w:bottom w:w="100" w:type="dxa"/>
              <w:end w:w="120" w:type="dxa"/>
            </w:tcMar>
            <w:shd w:fill="F7F8FA"/>
          </w:tcPr>
          <w:p>
            <w:pPr>
              <w:spacing w:after="0"/>
            </w:pPr>
            <w:r>
              <w:rPr>
                <w:sz w:val="17"/>
              </w:rPr>
              <w:t>Act with the least intrusive proportionate response</w:t>
            </w:r>
          </w:p>
        </w:tc>
        <w:tc>
          <w:tcPr>
            <w:tcW w:type="dxa" w:w="5616"/>
            <w:tcMar>
              <w:top w:w="100" w:type="dxa"/>
              <w:start w:w="120" w:type="dxa"/>
              <w:bottom w:w="100" w:type="dxa"/>
              <w:end w:w="120" w:type="dxa"/>
            </w:tcMar>
            <w:shd w:fill="F7F8FA"/>
          </w:tcPr>
          <w:p>
            <w:pPr>
              <w:spacing w:after="0"/>
            </w:pPr>
            <w:r>
              <w:rPr>
                <w:sz w:val="17"/>
              </w:rPr>
            </w:r>
          </w:p>
        </w:tc>
      </w:tr>
      <w:tr>
        <w:trPr>
          <w:cantSplit/>
          <w:trHeight w:val="1037"/>
        </w:trPr>
        <w:tc>
          <w:tcPr>
            <w:tcW w:type="dxa" w:w="4320"/>
            <w:tcMar>
              <w:top w:w="100" w:type="dxa"/>
              <w:start w:w="120" w:type="dxa"/>
              <w:bottom w:w="100" w:type="dxa"/>
              <w:end w:w="120" w:type="dxa"/>
            </w:tcMar>
          </w:tcPr>
          <w:p>
            <w:pPr>
              <w:spacing w:after="0"/>
            </w:pPr>
            <w:r>
              <w:rPr>
                <w:sz w:val="17"/>
              </w:rPr>
              <w:t>Review, document, consult, and follow up</w:t>
            </w:r>
          </w:p>
        </w:tc>
        <w:tc>
          <w:tcPr>
            <w:tcW w:type="dxa" w:w="5616"/>
            <w:tcMar>
              <w:top w:w="100" w:type="dxa"/>
              <w:start w:w="120" w:type="dxa"/>
              <w:bottom w:w="100" w:type="dxa"/>
              <w:end w:w="120" w:type="dxa"/>
            </w:tcMar>
          </w:tcPr>
          <w:p>
            <w:pPr>
              <w:spacing w:after="0"/>
            </w:pPr>
            <w:r>
              <w:rPr>
                <w:sz w:val="17"/>
              </w:rPr>
            </w:r>
          </w:p>
        </w:tc>
      </w:tr>
    </w:tbl>
    <w:p>
      <w:pPr>
        <w:spacing w:after="0"/>
      </w:pPr>
    </w:p>
    <w:p>
      <w:pPr>
        <w:pStyle w:val="Heading1"/>
      </w:pPr>
      <w:r>
        <w:t>Chapter Summary</w:t>
      </w:r>
    </w:p>
    <w:p>
      <w:pPr>
        <w:pStyle w:val="ListBullet"/>
      </w:pPr>
      <w:r>
        <w:t>Ethical reasoning begins with role clarity, accurate facts, client rights, professional duties, and the least restrictive proportionate action.</w:t>
      </w:r>
    </w:p>
    <w:p>
      <w:pPr>
        <w:pStyle w:val="ListBullet"/>
      </w:pPr>
      <w:r>
        <w:t>Informed consent is an ongoing, understandable process rather than a single signature.</w:t>
      </w:r>
    </w:p>
    <w:p>
      <w:pPr>
        <w:pStyle w:val="ListBullet"/>
      </w:pPr>
      <w:r>
        <w:t>Self-determination requires relevant information, exploration of alternatives, and respect for informed choice unless a specific limit applies.</w:t>
      </w:r>
    </w:p>
    <w:p>
      <w:pPr>
        <w:pStyle w:val="ListBullet"/>
      </w:pPr>
      <w:r>
        <w:t>Confidentiality and disclosure decisions depend on the client system, purpose, authorization, governing duty, and minimum necessary information.</w:t>
      </w:r>
    </w:p>
    <w:p>
      <w:pPr>
        <w:pStyle w:val="ListBullet"/>
      </w:pPr>
      <w:r>
        <w:t>Boundary and competence decisions require attention to power, benefit, exploitation risk, alternatives, consultation, and continuity.</w:t>
      </w:r>
    </w:p>
    <w:p>
      <w:pPr>
        <w:pStyle w:val="ListBullet"/>
      </w:pPr>
      <w:r>
        <w:t>Social-justice-informed practice addresses both immediate client needs and actionable barriers involving access, discrimination, language, disability, or institutional power.</w:t>
      </w:r>
    </w:p>
    <w:p>
      <w:pPr>
        <w:pStyle w:val="Heading1"/>
        <w:pageBreakBefore/>
      </w:pPr>
      <w:r>
        <w:t>Knowledge Check</w:t>
      </w:r>
    </w:p>
    <w:p>
      <w:r>
        <w:rPr>
          <w:i w:val="0"/>
        </w:rPr>
        <w:t>Complete all 10 original CTA practice questions before reviewing the answer key. Record your answer and confidence level. The set emphasizes ethical principles, informed consent, confidentiality, self-determination, boundaries, competence, organizational ethics, diversity, accessibility, and social justice.</w:t>
      </w:r>
    </w:p>
    <w:tbl>
      <w:tblPr>
        <w:tblStyle w:val="TableGrid"/>
        <w:tblW w:type="auto" w:w="0"/>
        <w:jc w:val="center"/>
        <w:tblLayout w:type="fixed"/>
        <w:tblLook w:firstColumn="1" w:firstRow="1" w:lastColumn="0" w:lastRow="0" w:noHBand="0" w:noVBand="1" w:val="04A0"/>
      </w:tblPr>
      <w:tblGrid>
        <w:gridCol w:w="1728"/>
        <w:gridCol w:w="2736"/>
        <w:gridCol w:w="2736"/>
        <w:gridCol w:w="2736"/>
      </w:tblGrid>
      <w:tr>
        <w:trPr>
          <w:tblHeader w:val="true"/>
          <w:cantSplit/>
          <w:tblHeader w:val="true"/>
        </w:trPr>
        <w:tc>
          <w:tcPr>
            <w:tcW w:type="dxa" w:w="2520"/>
            <w:shd w:fill="17365D"/>
            <w:tcMar>
              <w:top w:w="100" w:type="dxa"/>
              <w:start w:w="120" w:type="dxa"/>
              <w:bottom w:w="100" w:type="dxa"/>
              <w:end w:w="120" w:type="dxa"/>
            </w:tcMar>
          </w:tcPr>
          <w:p>
            <w:pPr>
              <w:spacing w:after="0"/>
            </w:pPr>
            <w:r>
              <w:rPr>
                <w:b/>
                <w:color w:val="FFFFFF"/>
                <w:sz w:val="18"/>
              </w:rPr>
              <w:t>Question</w:t>
            </w:r>
          </w:p>
        </w:tc>
        <w:tc>
          <w:tcPr>
            <w:tcW w:type="dxa" w:w="2520"/>
            <w:shd w:fill="17365D"/>
            <w:tcMar>
              <w:top w:w="100" w:type="dxa"/>
              <w:start w:w="120" w:type="dxa"/>
              <w:bottom w:w="100" w:type="dxa"/>
              <w:end w:w="120" w:type="dxa"/>
            </w:tcMar>
          </w:tcPr>
          <w:p>
            <w:pPr>
              <w:spacing w:after="0"/>
            </w:pPr>
            <w:r>
              <w:rPr>
                <w:b/>
                <w:color w:val="FFFFFF"/>
                <w:sz w:val="18"/>
              </w:rPr>
              <w:t>Your Answer</w:t>
            </w:r>
          </w:p>
        </w:tc>
        <w:tc>
          <w:tcPr>
            <w:tcW w:type="dxa" w:w="2520"/>
            <w:shd w:fill="17365D"/>
            <w:tcMar>
              <w:top w:w="100" w:type="dxa"/>
              <w:start w:w="120" w:type="dxa"/>
              <w:bottom w:w="100" w:type="dxa"/>
              <w:end w:w="120" w:type="dxa"/>
            </w:tcMar>
          </w:tcPr>
          <w:p>
            <w:pPr>
              <w:spacing w:after="0"/>
            </w:pPr>
            <w:r>
              <w:rPr>
                <w:b/>
                <w:color w:val="FFFFFF"/>
                <w:sz w:val="18"/>
              </w:rPr>
              <w:t>Confidence (1-3)</w:t>
            </w:r>
          </w:p>
        </w:tc>
        <w:tc>
          <w:tcPr>
            <w:tcW w:type="dxa" w:w="2520"/>
            <w:shd w:fill="17365D"/>
            <w:tcMar>
              <w:top w:w="100" w:type="dxa"/>
              <w:start w:w="120" w:type="dxa"/>
              <w:bottom w:w="100" w:type="dxa"/>
              <w:end w:w="120" w:type="dxa"/>
            </w:tcMar>
          </w:tcPr>
          <w:p>
            <w:pPr>
              <w:spacing w:after="0"/>
            </w:pPr>
            <w:r>
              <w:rPr>
                <w:b/>
                <w:color w:val="FFFFFF"/>
                <w:sz w:val="18"/>
              </w:rPr>
              <w:t>Review?</w:t>
            </w:r>
          </w:p>
        </w:tc>
      </w:tr>
      <w:tr>
        <w:trPr>
          <w:cantSplit/>
        </w:trPr>
        <w:tc>
          <w:tcPr>
            <w:tcW w:type="dxa" w:w="1728"/>
            <w:tcMar>
              <w:top w:w="100" w:type="dxa"/>
              <w:start w:w="120" w:type="dxa"/>
              <w:bottom w:w="100" w:type="dxa"/>
              <w:end w:w="120" w:type="dxa"/>
            </w:tcMar>
          </w:tcPr>
          <w:p>
            <w:pPr>
              <w:spacing w:after="0"/>
            </w:pPr>
            <w:r>
              <w:rPr>
                <w:sz w:val="18"/>
              </w:rPr>
              <w:t>1</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2</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3</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4</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5</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6</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7</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8</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9</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10</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bl>
    <w:p>
      <w:pPr>
        <w:spacing w:after="0"/>
      </w:pPr>
    </w:p>
    <w:p>
      <w:pPr>
        <w:keepNext/>
        <w:spacing w:before="160" w:after="80"/>
        <w:shd w:fill="0E7490" w:val="clear"/>
      </w:pPr>
      <w:r>
        <w:rPr>
          <w:rFonts w:ascii="Aptos" w:hAnsi="Aptos"/>
          <w:b/>
          <w:color w:val="FFFFFF"/>
          <w:sz w:val="17"/>
        </w:rPr>
        <w:t>LCSW-WB02-Q001 | Recall | Easy | Primary concept: Informed consent</w:t>
      </w:r>
    </w:p>
    <w:p>
      <w:pPr>
        <w:keepNext/>
        <w:keepLines/>
        <w:spacing w:before="60"/>
      </w:pPr>
      <w:r>
        <w:rPr>
          <w:b/>
          <w:i w:val="0"/>
        </w:rPr>
        <w:t>1. Informed consent is BEST understood as:</w:t>
      </w:r>
    </w:p>
    <w:p>
      <w:pPr>
        <w:keepNext/>
        <w:keepLines/>
        <w:spacing w:after="20"/>
        <w:ind w:left="259"/>
      </w:pPr>
      <w:r>
        <w:t>A. an ongoing process of understandable information, voluntary choice, and review when services change.</w:t>
      </w:r>
    </w:p>
    <w:p>
      <w:pPr>
        <w:keepNext/>
        <w:keepLines/>
        <w:spacing w:after="20"/>
        <w:ind w:left="259"/>
      </w:pPr>
      <w:r>
        <w:t>B. a one-time signature obtained before the first session.</w:t>
      </w:r>
    </w:p>
    <w:p>
      <w:pPr>
        <w:keepNext/>
        <w:keepLines/>
        <w:spacing w:after="20"/>
        <w:ind w:left="259"/>
      </w:pPr>
      <w:r>
        <w:t>C. a document used only for legal protection of the social worker.</w:t>
      </w:r>
    </w:p>
    <w:p>
      <w:pPr>
        <w:keepNext/>
        <w:keepLines/>
        <w:spacing w:after="20"/>
        <w:ind w:left="259"/>
      </w:pPr>
      <w:r>
        <w:t>D. unnecessary when a client has been referred by another professional.</w:t>
      </w:r>
    </w:p>
    <w:p>
      <w:pPr>
        <w:keepLines/>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LCSW-WB02-Q002 | Recall | Easy | Primary concept: Self-determination</w:t>
      </w:r>
    </w:p>
    <w:p>
      <w:pPr>
        <w:keepNext/>
        <w:keepLines/>
        <w:spacing w:before="60"/>
      </w:pPr>
      <w:r>
        <w:rPr>
          <w:b/>
          <w:i w:val="0"/>
        </w:rPr>
        <w:t>2. Which action BEST protects client self-determination?</w:t>
      </w:r>
    </w:p>
    <w:p>
      <w:pPr>
        <w:keepNext/>
        <w:keepLines/>
        <w:spacing w:after="20"/>
        <w:ind w:left="259"/>
      </w:pPr>
      <w:r>
        <w:t>A. Choosing the option the social worker believes is healthiest.</w:t>
      </w:r>
    </w:p>
    <w:p>
      <w:pPr>
        <w:keepNext/>
        <w:keepLines/>
        <w:spacing w:after="20"/>
        <w:ind w:left="259"/>
      </w:pPr>
      <w:r>
        <w:t>B. Providing relevant information, exploring consequences and alternatives, and supporting an informed choice unless a specific limit applies.</w:t>
      </w:r>
    </w:p>
    <w:p>
      <w:pPr>
        <w:keepNext/>
        <w:keepLines/>
        <w:spacing w:after="20"/>
        <w:ind w:left="259"/>
      </w:pPr>
      <w:r>
        <w:t>C. Avoiding discussion of risk so the client does not feel pressured.</w:t>
      </w:r>
    </w:p>
    <w:p>
      <w:pPr>
        <w:keepNext/>
        <w:keepLines/>
        <w:spacing w:after="20"/>
        <w:ind w:left="259"/>
      </w:pPr>
      <w:r>
        <w:t>D. Requiring family approval for all adult client decisions.</w:t>
      </w:r>
    </w:p>
    <w:p>
      <w:pPr>
        <w:keepLines/>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LCSW-WB02-Q003 | Recall | Easy | Primary concept: Social justice and access</w:t>
      </w:r>
    </w:p>
    <w:p>
      <w:pPr>
        <w:keepNext/>
        <w:keepLines/>
        <w:spacing w:before="60"/>
      </w:pPr>
      <w:r>
        <w:rPr>
          <w:b/>
          <w:i w:val="0"/>
        </w:rPr>
        <w:t>3. Which response is MOST consistent with social-justice-informed practice?</w:t>
      </w:r>
    </w:p>
    <w:p>
      <w:pPr>
        <w:keepNext/>
        <w:keepLines/>
        <w:spacing w:after="20"/>
        <w:ind w:left="259"/>
      </w:pPr>
      <w:r>
        <w:t>A. Teaching coping skills while ignoring a documented service-access barrier.</w:t>
      </w:r>
    </w:p>
    <w:p>
      <w:pPr>
        <w:keepNext/>
        <w:keepLines/>
        <w:spacing w:after="20"/>
        <w:ind w:left="259"/>
      </w:pPr>
      <w:r>
        <w:t>B. Speaking for the client without asking what outcome the client wants.</w:t>
      </w:r>
    </w:p>
    <w:p>
      <w:pPr>
        <w:keepNext/>
        <w:keepLines/>
        <w:spacing w:after="20"/>
        <w:ind w:left="259"/>
      </w:pPr>
      <w:r>
        <w:t>C. Treating all clients identically regardless of disability, language, or access needs.</w:t>
      </w:r>
    </w:p>
    <w:p>
      <w:pPr>
        <w:keepNext/>
        <w:keepLines/>
        <w:spacing w:after="20"/>
        <w:ind w:left="259"/>
      </w:pPr>
      <w:r>
        <w:t>D. Collaborating with the client to address the immediate need and the structural barrier limiting access.</w:t>
      </w:r>
    </w:p>
    <w:p>
      <w:pPr>
        <w:keepLines/>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LCSW-WB02-Q004 | Application | Moderate | Primary concept: Confidentiality and limited disclosure</w:t>
      </w:r>
    </w:p>
    <w:p>
      <w:pPr>
        <w:keepNext/>
        <w:keepLines/>
        <w:spacing w:before="60"/>
      </w:pPr>
      <w:r>
        <w:rPr>
          <w:b/>
          <w:i w:val="0"/>
        </w:rPr>
        <w:t>4. A community partner asks for a client’s full record to confirm eligibility for a housing program. The client authorized verification of participation only. What should the social worker do FIRST?</w:t>
      </w:r>
    </w:p>
    <w:p>
      <w:pPr>
        <w:keepNext/>
        <w:keepLines/>
        <w:spacing w:after="20"/>
        <w:ind w:left="259"/>
      </w:pPr>
      <w:r>
        <w:t>A. Send the full record because housing is beneficial.</w:t>
      </w:r>
    </w:p>
    <w:p>
      <w:pPr>
        <w:keepNext/>
        <w:keepLines/>
        <w:spacing w:after="20"/>
        <w:ind w:left="259"/>
      </w:pPr>
      <w:r>
        <w:t>B. Refuse all communication with the program.</w:t>
      </w:r>
    </w:p>
    <w:p>
      <w:pPr>
        <w:keepNext/>
        <w:keepLines/>
        <w:spacing w:after="20"/>
        <w:ind w:left="259"/>
      </w:pPr>
      <w:r>
        <w:t>C. Clarify the information needed and provide only what the client authorized or obtain additional informed authorization.</w:t>
      </w:r>
    </w:p>
    <w:p>
      <w:pPr>
        <w:keepNext/>
        <w:keepLines/>
        <w:spacing w:after="20"/>
        <w:ind w:left="259"/>
      </w:pPr>
      <w:r>
        <w:t>D. Ask the client’s relative to send the record.</w:t>
      </w:r>
    </w:p>
    <w:p>
      <w:pPr>
        <w:keepLines/>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LCSW-WB02-Q005 | Application | Moderate | Primary concept: Boundaries, gifts, and power</w:t>
      </w:r>
    </w:p>
    <w:p>
      <w:pPr>
        <w:keepNext/>
        <w:keepLines/>
        <w:spacing w:before="60"/>
      </w:pPr>
      <w:r>
        <w:rPr>
          <w:b/>
          <w:i w:val="0"/>
        </w:rPr>
        <w:t>5. A client offers a social worker an expensive gift after receiving a favorable evaluation needed for benefits. What should the social worker do NEXT?</w:t>
      </w:r>
    </w:p>
    <w:p>
      <w:pPr>
        <w:keepNext/>
        <w:keepLines/>
        <w:spacing w:after="20"/>
        <w:ind w:left="259"/>
      </w:pPr>
      <w:r>
        <w:t>A. Assess the meaning, power dynamics, agency policy, and risk of exploitation or perceived influence, then respond with clear boundaries.</w:t>
      </w:r>
    </w:p>
    <w:p>
      <w:pPr>
        <w:keepNext/>
        <w:keepLines/>
        <w:spacing w:after="20"/>
        <w:ind w:left="259"/>
      </w:pPr>
      <w:r>
        <w:t>B. Accept it to preserve rapport.</w:t>
      </w:r>
    </w:p>
    <w:p>
      <w:pPr>
        <w:keepNext/>
        <w:keepLines/>
        <w:spacing w:after="20"/>
        <w:ind w:left="259"/>
      </w:pPr>
      <w:r>
        <w:t>C. End services immediately.</w:t>
      </w:r>
    </w:p>
    <w:p>
      <w:pPr>
        <w:keepNext/>
        <w:keepLines/>
        <w:spacing w:after="20"/>
        <w:ind w:left="259"/>
      </w:pPr>
      <w:r>
        <w:t>D. Post a photo of the gift without naming the client.</w:t>
      </w:r>
    </w:p>
    <w:p>
      <w:pPr>
        <w:keepLines/>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LCSW-WB02-Q006 | Application | Moderate | Primary concept: Competence and continuity</w:t>
      </w:r>
    </w:p>
    <w:p>
      <w:pPr>
        <w:keepNext/>
        <w:keepLines/>
        <w:spacing w:before="60"/>
      </w:pPr>
      <w:r>
        <w:rPr>
          <w:b/>
          <w:i w:val="0"/>
        </w:rPr>
        <w:t>6. A social worker is assigned a client who needs a specialized treatment the worker has never provided. Access to other clinicians is limited. What is the BEST response?</w:t>
      </w:r>
    </w:p>
    <w:p>
      <w:pPr>
        <w:keepNext/>
        <w:keepLines/>
        <w:spacing w:after="20"/>
        <w:ind w:left="259"/>
      </w:pPr>
      <w:r>
        <w:t>A. Provide the treatment without consultation because no one else is available.</w:t>
      </w:r>
    </w:p>
    <w:p>
      <w:pPr>
        <w:keepNext/>
        <w:keepLines/>
        <w:spacing w:after="20"/>
        <w:ind w:left="259"/>
      </w:pPr>
      <w:r>
        <w:t>B. Discuss the limitation transparently, obtain supervision or consultation, pursue qualified training, and arrange referral or coordinated alternatives as needed.</w:t>
      </w:r>
    </w:p>
    <w:p>
      <w:pPr>
        <w:keepNext/>
        <w:keepLines/>
        <w:spacing w:after="20"/>
        <w:ind w:left="259"/>
      </w:pPr>
      <w:r>
        <w:t>C. Refuse all contact with the client.</w:t>
      </w:r>
    </w:p>
    <w:p>
      <w:pPr>
        <w:keepNext/>
        <w:keepLines/>
        <w:spacing w:after="20"/>
        <w:ind w:left="259"/>
      </w:pPr>
      <w:r>
        <w:t>D. Ask the client to teach the social worker the treatment.</w:t>
      </w:r>
    </w:p>
    <w:p>
      <w:pPr>
        <w:keepLines/>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LCSW-WB02-Q007 | Scenario | Moderate | Primary concept: Bias, impact, and repair</w:t>
      </w:r>
    </w:p>
    <w:p>
      <w:pPr>
        <w:keepNext/>
        <w:keepLines/>
        <w:spacing w:before="60"/>
      </w:pPr>
      <w:r>
        <w:rPr>
          <w:b/>
          <w:i w:val="0"/>
        </w:rPr>
        <w:t>7. A client says a social worker repeatedly mispronounces their name and dismissed correction as “not a big issue.” The client now questions whether to continue. What should the social worker do FIRST?</w:t>
      </w:r>
    </w:p>
    <w:p>
      <w:pPr>
        <w:keepNext/>
        <w:keepLines/>
        <w:spacing w:after="20"/>
        <w:ind w:left="259"/>
      </w:pPr>
      <w:r>
        <w:t>A. Explain that the error was unintentional.</w:t>
      </w:r>
    </w:p>
    <w:p>
      <w:pPr>
        <w:keepNext/>
        <w:keepLines/>
        <w:spacing w:after="20"/>
        <w:ind w:left="259"/>
      </w:pPr>
      <w:r>
        <w:t>B. Ask the client to focus on the treatment goals.</w:t>
      </w:r>
    </w:p>
    <w:p>
      <w:pPr>
        <w:keepNext/>
        <w:keepLines/>
        <w:spacing w:after="20"/>
        <w:ind w:left="259"/>
      </w:pPr>
      <w:r>
        <w:t>C. Transfer the client immediately without discussion.</w:t>
      </w:r>
    </w:p>
    <w:p>
      <w:pPr>
        <w:keepNext/>
        <w:keepLines/>
        <w:spacing w:after="20"/>
        <w:ind w:left="259"/>
      </w:pPr>
      <w:r>
        <w:t>D. Acknowledge the impact, apologize, use the correct pronunciation, invite the client’s perspective, and examine how the interaction affected trust.</w:t>
      </w:r>
    </w:p>
    <w:p>
      <w:pPr>
        <w:keepLines/>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LCSW-WB02-Q008 | Scenario | Moderate | Primary concept: Organizational ethics and billing</w:t>
      </w:r>
    </w:p>
    <w:p>
      <w:pPr>
        <w:keepNext/>
        <w:keepLines/>
        <w:spacing w:before="60"/>
      </w:pPr>
      <w:r>
        <w:rPr>
          <w:b/>
          <w:i w:val="0"/>
        </w:rPr>
        <w:t>8. A supervisor instructs a social worker to bill for a full session when the client attended for only 15 minutes. What should the social worker do FIRST?</w:t>
      </w:r>
    </w:p>
    <w:p>
      <w:pPr>
        <w:keepNext/>
        <w:keepLines/>
        <w:spacing w:after="20"/>
        <w:ind w:left="259"/>
      </w:pPr>
      <w:r>
        <w:t>A. Submit the bill because the supervisor is responsible.</w:t>
      </w:r>
    </w:p>
    <w:p>
      <w:pPr>
        <w:keepNext/>
        <w:keepLines/>
        <w:spacing w:after="20"/>
        <w:ind w:left="259"/>
      </w:pPr>
      <w:r>
        <w:t>B. Change the clinical note to make the session appear longer.</w:t>
      </w:r>
    </w:p>
    <w:p>
      <w:pPr>
        <w:keepNext/>
        <w:keepLines/>
        <w:spacing w:after="20"/>
        <w:ind w:left="259"/>
      </w:pPr>
      <w:r>
        <w:t>C. Refuse to falsify the claim, clarify the instruction, document the concern, and use appropriate supervisory or compliance channels.</w:t>
      </w:r>
    </w:p>
    <w:p>
      <w:pPr>
        <w:keepNext/>
        <w:keepLines/>
        <w:spacing w:after="20"/>
        <w:ind w:left="259"/>
      </w:pPr>
      <w:r>
        <w:t>D. Discuss the client’s diagnosis with coworkers to seek support.</w:t>
      </w:r>
    </w:p>
    <w:p>
      <w:pPr>
        <w:keepLines/>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LCSW-WB02-Q009 | Scenario | Moderate | Primary concept: Self-determination and capacity</w:t>
      </w:r>
    </w:p>
    <w:p>
      <w:pPr>
        <w:keepNext/>
        <w:keepLines/>
        <w:spacing w:before="60"/>
      </w:pPr>
      <w:r>
        <w:rPr>
          <w:b/>
          <w:i w:val="0"/>
        </w:rPr>
        <w:t>9. An older adult chooses to return home after rehabilitation despite the family’s belief that assisted living is safer. The client explains the risks and describes a realistic support plan. What should the social worker do NEXT?</w:t>
      </w:r>
    </w:p>
    <w:p>
      <w:pPr>
        <w:keepNext/>
        <w:keepLines/>
        <w:spacing w:after="20"/>
        <w:ind w:left="259"/>
      </w:pPr>
      <w:r>
        <w:t>A. Support the informed choice, coordinate the safety plan and services, and continue monitoring for changes.</w:t>
      </w:r>
    </w:p>
    <w:p>
      <w:pPr>
        <w:keepNext/>
        <w:keepLines/>
        <w:spacing w:after="20"/>
        <w:ind w:left="259"/>
      </w:pPr>
      <w:r>
        <w:t>B. Follow the family’s preference because it appears safer.</w:t>
      </w:r>
    </w:p>
    <w:p>
      <w:pPr>
        <w:keepNext/>
        <w:keepLines/>
        <w:spacing w:after="20"/>
        <w:ind w:left="259"/>
      </w:pPr>
      <w:r>
        <w:t>C. Conclude that the client lacks capacity because the choice carries risk.</w:t>
      </w:r>
    </w:p>
    <w:p>
      <w:pPr>
        <w:keepNext/>
        <w:keepLines/>
        <w:spacing w:after="20"/>
        <w:ind w:left="259"/>
      </w:pPr>
      <w:r>
        <w:t>D. Refuse discharge planning until the client agrees to assisted living.</w:t>
      </w:r>
    </w:p>
    <w:p>
      <w:pPr>
        <w:keepLines/>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LCSW-WB02-Q010 | Integrated | Challenge | Primary concept: Language access, documentation, and organizational advocacy</w:t>
      </w:r>
    </w:p>
    <w:p>
      <w:pPr>
        <w:keepNext/>
        <w:keepLines/>
        <w:spacing w:before="60"/>
      </w:pPr>
      <w:r>
        <w:rPr>
          <w:b/>
          <w:i w:val="0"/>
        </w:rPr>
        <w:t>10. A school social worker learns that a multilingual family has missed meetings because interpretation was unavailable. The school asks the worker to document the family as noncompliant and close the case. What is the BEST response?</w:t>
      </w:r>
    </w:p>
    <w:p>
      <w:pPr>
        <w:keepNext/>
        <w:keepLines/>
        <w:spacing w:after="20"/>
        <w:ind w:left="259"/>
      </w:pPr>
      <w:r>
        <w:t>A. Close the case because attendance is required.</w:t>
      </w:r>
    </w:p>
    <w:p>
      <w:pPr>
        <w:keepNext/>
        <w:keepLines/>
        <w:spacing w:after="20"/>
        <w:ind w:left="259"/>
      </w:pPr>
      <w:r>
        <w:t>B. Clarify the access failure, involve the family in identifying language and scheduling needs, correct the record, arrange accessible communication, and address the organizational barrier.</w:t>
      </w:r>
    </w:p>
    <w:p>
      <w:pPr>
        <w:keepNext/>
        <w:keepLines/>
        <w:spacing w:after="20"/>
        <w:ind w:left="259"/>
      </w:pPr>
      <w:r>
        <w:t>C. Ask a minor sibling to interpret future meetings.</w:t>
      </w:r>
    </w:p>
    <w:p>
      <w:pPr>
        <w:keepNext/>
        <w:keepLines/>
        <w:spacing w:after="20"/>
        <w:ind w:left="259"/>
      </w:pPr>
      <w:r>
        <w:t>D. Document the family as resistant and recommend discipline.</w:t>
      </w:r>
    </w:p>
    <w:p>
      <w:pPr>
        <w:keepLines/>
        <w:spacing w:after="160"/>
      </w:pPr>
      <w:r>
        <w:rPr>
          <w:rFonts w:ascii="Aptos" w:hAnsi="Aptos"/>
          <w:i/>
          <w:color w:val="6B7280"/>
          <w:sz w:val="18"/>
        </w:rPr>
        <w:t>My answer: ______    Confidence: 1  2  3</w:t>
      </w:r>
    </w:p>
    <w:p>
      <w:pPr>
        <w:pStyle w:val="Heading1"/>
        <w:pageBreakBefore/>
      </w:pPr>
      <w:r>
        <w:t>Answer Key and Detailed Rationales</w:t>
      </w:r>
    </w:p>
    <w:tbl>
      <w:tblPr>
        <w:tblW w:type="auto" w:w="0"/>
        <w:jc w:val="center"/>
        <w:tblLayout w:type="fixed"/>
        <w:tblLook w:firstColumn="1" w:firstRow="1" w:lastColumn="0" w:lastRow="0" w:noHBand="0" w:noVBand="1" w:val="04A0"/>
      </w:tblPr>
      <w:tblGrid>
        <w:gridCol w:w="9936"/>
      </w:tblGrid>
      <w:tr>
        <w:trPr>
          <w:cantSplit/>
        </w:trPr>
        <w:tc>
          <w:tcPr>
            <w:tcW w:type="dxa" w:w="10080"/>
            <w:shd w:fill="E7F5F4"/>
            <w:tcMar>
              <w:top w:w="150" w:type="dxa"/>
              <w:start w:w="180" w:type="dxa"/>
              <w:bottom w:w="150" w:type="dxa"/>
              <w:end w:w="180" w:type="dxa"/>
            </w:tcMar>
          </w:tcPr>
          <w:p>
            <w:pPr>
              <w:spacing w:after="80"/>
            </w:pPr>
            <w:r>
              <w:rPr>
                <w:b/>
                <w:i w:val="0"/>
                <w:color w:val="0F7C82"/>
              </w:rPr>
              <w:t>How to Review</w:t>
            </w:r>
          </w:p>
          <w:p>
            <w:pPr>
              <w:spacing w:after="0"/>
            </w:pPr>
            <w:r>
              <w:t>For each missed item, identify whether you overlooked self-determination, informed consent, confidentiality, power, access, the least intrusive response, consultation, or the difference between an ethical concern and a personal preference. Write one sentence explaining why the correct answer is better timed and more ethically or clinically complete.</w:t>
            </w:r>
          </w:p>
        </w:tc>
      </w:tr>
    </w:tbl>
    <w:p>
      <w:pPr>
        <w:spacing w:after="0"/>
      </w:pPr>
    </w:p>
    <w:p>
      <w:pPr>
        <w:pStyle w:val="Heading2"/>
        <w:keepNext/>
        <w:keepLines/>
        <w:spacing w:before="120" w:after="40"/>
      </w:pPr>
      <w:r>
        <w:t>Question 1 (LCSW-WB02-Q001)</w:t>
      </w:r>
    </w:p>
    <w:p>
      <w:pPr>
        <w:keepNext/>
        <w:keepLines/>
      </w:pPr>
      <w:r>
        <w:t>Correct Answer: A</w:t>
      </w:r>
    </w:p>
    <w:p>
      <w:pPr>
        <w:keepNext/>
        <w:keepLines/>
        <w:spacing w:after="40"/>
        <w:ind w:left="173"/>
      </w:pPr>
      <w:r>
        <w:t>A. Correct. Informed consent is continuing, understandable, and responsive to changes in role or service.</w:t>
      </w:r>
    </w:p>
    <w:p>
      <w:pPr>
        <w:keepNext/>
        <w:keepLines/>
        <w:spacing w:after="40"/>
        <w:ind w:left="173"/>
      </w:pPr>
      <w:r>
        <w:t>B. A signature may document consent but does not complete the process.</w:t>
      </w:r>
    </w:p>
    <w:p>
      <w:pPr>
        <w:keepNext/>
        <w:keepLines/>
        <w:spacing w:after="40"/>
        <w:ind w:left="173"/>
      </w:pPr>
      <w:r>
        <w:t>C. Its primary function is to support client understanding and choice, not merely professional protection.</w:t>
      </w:r>
    </w:p>
    <w:p>
      <w:pPr>
        <w:keepNext/>
        <w:keepLines/>
        <w:spacing w:after="40"/>
        <w:ind w:left="173"/>
      </w:pPr>
      <w:r>
        <w:t>D. Referral does not eliminate the need for role clarity and informed consent.</w:t>
      </w:r>
    </w:p>
    <w:p>
      <w:pPr>
        <w:keepLines/>
        <w:spacing w:after="120"/>
        <w:ind w:left="173"/>
      </w:pPr>
      <w:r>
        <w:rPr>
          <w:b/>
          <w:i w:val="0"/>
          <w:color w:val="1F4E78"/>
        </w:rPr>
        <w:t xml:space="preserve">Exam Strategy: </w:t>
      </w:r>
      <w:r>
        <w:rPr>
          <w:b w:val="0"/>
          <w:i/>
        </w:rPr>
        <w:t>Clarify the role, purpose, risks, benefits, alternatives, limits, and voluntary or mandated elements in language the client can understand.</w:t>
      </w:r>
    </w:p>
    <w:p>
      <w:pPr>
        <w:pStyle w:val="Heading2"/>
        <w:keepNext/>
        <w:keepLines/>
        <w:spacing w:before="120" w:after="40"/>
      </w:pPr>
      <w:r>
        <w:t>Question 2 (LCSW-WB02-Q002)</w:t>
      </w:r>
    </w:p>
    <w:p>
      <w:pPr>
        <w:keepNext/>
        <w:keepLines/>
      </w:pPr>
      <w:r>
        <w:t>Correct Answer: B</w:t>
      </w:r>
    </w:p>
    <w:p>
      <w:pPr>
        <w:keepNext/>
        <w:keepLines/>
        <w:spacing w:after="40"/>
        <w:ind w:left="173"/>
      </w:pPr>
      <w:r>
        <w:t>A. The worker’s preference does not replace the client’s informed choice.</w:t>
      </w:r>
    </w:p>
    <w:p>
      <w:pPr>
        <w:keepNext/>
        <w:keepLines/>
        <w:spacing w:after="40"/>
        <w:ind w:left="173"/>
      </w:pPr>
      <w:r>
        <w:t>B. Correct. Self-determination includes information, exploration, and proportionate limits only when justified.</w:t>
      </w:r>
    </w:p>
    <w:p>
      <w:pPr>
        <w:keepNext/>
        <w:keepLines/>
        <w:spacing w:after="40"/>
        <w:ind w:left="173"/>
      </w:pPr>
      <w:r>
        <w:t>C. Withholding risk information undermines informed choice.</w:t>
      </w:r>
    </w:p>
    <w:p>
      <w:pPr>
        <w:keepNext/>
        <w:keepLines/>
        <w:spacing w:after="40"/>
        <w:ind w:left="173"/>
      </w:pPr>
      <w:r>
        <w:t>D. Adults do not generally require family approval unless the vignette provides a specific authority or capacity issue.</w:t>
      </w:r>
    </w:p>
    <w:p>
      <w:pPr>
        <w:keepLines/>
        <w:spacing w:after="120"/>
        <w:ind w:left="173"/>
      </w:pPr>
      <w:r>
        <w:rPr>
          <w:b/>
          <w:i w:val="0"/>
          <w:color w:val="1F4E78"/>
        </w:rPr>
        <w:t xml:space="preserve">Exam Strategy: </w:t>
      </w:r>
      <w:r>
        <w:rPr>
          <w:b w:val="0"/>
          <w:i/>
        </w:rPr>
        <w:t>Support informed choice unless a specific legal, capacity, or serious safety issue justifies a proportionate limit; do not substitute the worker’s preference.</w:t>
      </w:r>
    </w:p>
    <w:p>
      <w:pPr>
        <w:pStyle w:val="Heading2"/>
        <w:keepNext/>
        <w:keepLines/>
        <w:spacing w:before="120" w:after="40"/>
      </w:pPr>
      <w:r>
        <w:t>Question 3 (LCSW-WB02-Q003)</w:t>
      </w:r>
    </w:p>
    <w:p>
      <w:pPr>
        <w:keepNext/>
        <w:keepLines/>
      </w:pPr>
      <w:r>
        <w:t>Correct Answer: D</w:t>
      </w:r>
    </w:p>
    <w:p>
      <w:pPr>
        <w:keepNext/>
        <w:keepLines/>
        <w:spacing w:after="40"/>
        <w:ind w:left="173"/>
      </w:pPr>
      <w:r>
        <w:t>A. Coping may help but does not address the actionable inequity.</w:t>
      </w:r>
    </w:p>
    <w:p>
      <w:pPr>
        <w:keepNext/>
        <w:keepLines/>
        <w:spacing w:after="40"/>
        <w:ind w:left="173"/>
      </w:pPr>
      <w:r>
        <w:t>B. Advocacy without client participation can reproduce power imbalances.</w:t>
      </w:r>
    </w:p>
    <w:p>
      <w:pPr>
        <w:keepNext/>
        <w:keepLines/>
        <w:spacing w:after="40"/>
        <w:ind w:left="173"/>
      </w:pPr>
      <w:r>
        <w:t>C. Identical treatment can be inequitable when access needs differ.</w:t>
      </w:r>
    </w:p>
    <w:p>
      <w:pPr>
        <w:keepNext/>
        <w:keepLines/>
        <w:spacing w:after="40"/>
        <w:ind w:left="173"/>
      </w:pPr>
      <w:r>
        <w:t>D. Correct. The response integrates client participation, immediate support, and structural action.</w:t>
      </w:r>
    </w:p>
    <w:p>
      <w:pPr>
        <w:keepLines/>
        <w:spacing w:after="120"/>
        <w:ind w:left="173"/>
      </w:pPr>
      <w:r>
        <w:rPr>
          <w:b/>
          <w:i w:val="0"/>
          <w:color w:val="1F4E78"/>
        </w:rPr>
        <w:t xml:space="preserve">Exam Strategy: </w:t>
      </w:r>
      <w:r>
        <w:rPr>
          <w:b w:val="0"/>
          <w:i/>
        </w:rPr>
        <w:t>Identify the structural barrier, involve the client in defining the goal, and choose an accessible action that addresses both immediate need and inequity.</w:t>
      </w:r>
    </w:p>
    <w:p>
      <w:pPr>
        <w:pStyle w:val="Heading2"/>
        <w:keepNext/>
        <w:keepLines/>
        <w:spacing w:before="120" w:after="40"/>
      </w:pPr>
      <w:r>
        <w:t>Question 4 (LCSW-WB02-Q004)</w:t>
      </w:r>
    </w:p>
    <w:p>
      <w:pPr>
        <w:keepNext/>
        <w:keepLines/>
      </w:pPr>
      <w:r>
        <w:t>Correct Answer: C</w:t>
      </w:r>
    </w:p>
    <w:p>
      <w:pPr>
        <w:keepNext/>
        <w:keepLines/>
        <w:spacing w:after="40"/>
        <w:ind w:left="173"/>
      </w:pPr>
      <w:r>
        <w:t>A. Benefit does not authorize unrestricted disclosure.</w:t>
      </w:r>
    </w:p>
    <w:p>
      <w:pPr>
        <w:keepNext/>
        <w:keepLines/>
        <w:spacing w:after="40"/>
        <w:ind w:left="173"/>
      </w:pPr>
      <w:r>
        <w:t>B. Limited coordination may be appropriate and authorized.</w:t>
      </w:r>
    </w:p>
    <w:p>
      <w:pPr>
        <w:keepNext/>
        <w:keepLines/>
        <w:spacing w:after="40"/>
        <w:ind w:left="173"/>
      </w:pPr>
      <w:r>
        <w:t>C. Correct. The response respects the existing authorization and minimum relevant disclosure.</w:t>
      </w:r>
    </w:p>
    <w:p>
      <w:pPr>
        <w:keepNext/>
        <w:keepLines/>
        <w:spacing w:after="40"/>
        <w:ind w:left="173"/>
      </w:pPr>
      <w:r>
        <w:t>D. A relative cannot resolve the authorization and privacy issue.</w:t>
      </w:r>
    </w:p>
    <w:p>
      <w:pPr>
        <w:keepLines/>
        <w:spacing w:after="120"/>
        <w:ind w:left="173"/>
      </w:pPr>
      <w:r>
        <w:rPr>
          <w:b/>
          <w:i w:val="0"/>
          <w:color w:val="1F4E78"/>
        </w:rPr>
        <w:t xml:space="preserve">Exam Strategy: </w:t>
      </w:r>
      <w:r>
        <w:rPr>
          <w:b w:val="0"/>
          <w:i/>
        </w:rPr>
        <w:t>Protect privacy, clarify the applicable rule and purpose, and disclose only what is authorized or required and no more than necessary.</w:t>
      </w:r>
    </w:p>
    <w:p>
      <w:pPr>
        <w:pStyle w:val="Heading2"/>
        <w:keepNext/>
        <w:keepLines/>
        <w:spacing w:before="120" w:after="40"/>
      </w:pPr>
      <w:r>
        <w:t>Question 5 (LCSW-WB02-Q005)</w:t>
      </w:r>
    </w:p>
    <w:p>
      <w:pPr>
        <w:keepNext/>
        <w:keepLines/>
      </w:pPr>
      <w:r>
        <w:t>Correct Answer: A</w:t>
      </w:r>
    </w:p>
    <w:p>
      <w:pPr>
        <w:keepNext/>
        <w:keepLines/>
        <w:spacing w:after="40"/>
        <w:ind w:left="173"/>
      </w:pPr>
      <w:r>
        <w:t>A. Correct. The social worker should assess context and protect the professional relationship with clear boundaries.</w:t>
      </w:r>
    </w:p>
    <w:p>
      <w:pPr>
        <w:keepNext/>
        <w:keepLines/>
        <w:spacing w:after="40"/>
        <w:ind w:left="173"/>
      </w:pPr>
      <w:r>
        <w:t>B. The value and evaluation context create significant power and conflict concerns.</w:t>
      </w:r>
    </w:p>
    <w:p>
      <w:pPr>
        <w:keepNext/>
        <w:keepLines/>
        <w:spacing w:after="40"/>
        <w:ind w:left="173"/>
      </w:pPr>
      <w:r>
        <w:t>C. Immediate termination is disproportionate and may harm continuity.</w:t>
      </w:r>
    </w:p>
    <w:p>
      <w:pPr>
        <w:keepNext/>
        <w:keepLines/>
        <w:spacing w:after="40"/>
        <w:ind w:left="173"/>
      </w:pPr>
      <w:r>
        <w:t>D. Posting creates additional privacy and boundary concerns.</w:t>
      </w:r>
    </w:p>
    <w:p>
      <w:pPr>
        <w:keepLines/>
        <w:spacing w:after="120"/>
        <w:ind w:left="173"/>
      </w:pPr>
      <w:r>
        <w:rPr>
          <w:b/>
          <w:i w:val="0"/>
          <w:color w:val="1F4E78"/>
        </w:rPr>
        <w:t xml:space="preserve">Exam Strategy: </w:t>
      </w:r>
      <w:r>
        <w:rPr>
          <w:b w:val="0"/>
          <w:i/>
        </w:rPr>
        <w:t>Examine power, benefit, risk, role conflict, alternatives, and likely impact on the client rather than relying on a rigid rule or personal comfort alone.</w:t>
      </w:r>
    </w:p>
    <w:p>
      <w:pPr>
        <w:pStyle w:val="Heading2"/>
        <w:keepNext/>
        <w:keepLines/>
        <w:spacing w:before="120" w:after="40"/>
      </w:pPr>
      <w:r>
        <w:t>Question 6 (LCSW-WB02-Q006)</w:t>
      </w:r>
    </w:p>
    <w:p>
      <w:pPr>
        <w:keepNext/>
        <w:keepLines/>
      </w:pPr>
      <w:r>
        <w:t>Correct Answer: B</w:t>
      </w:r>
    </w:p>
    <w:p>
      <w:pPr>
        <w:keepNext/>
        <w:keepLines/>
        <w:spacing w:after="40"/>
        <w:ind w:left="173"/>
      </w:pPr>
      <w:r>
        <w:t>A. Limited access does not eliminate competence responsibilities.</w:t>
      </w:r>
    </w:p>
    <w:p>
      <w:pPr>
        <w:keepNext/>
        <w:keepLines/>
        <w:spacing w:after="40"/>
        <w:ind w:left="173"/>
      </w:pPr>
      <w:r>
        <w:t>B. Correct. The response protects competence while addressing continuity and real-world access.</w:t>
      </w:r>
    </w:p>
    <w:p>
      <w:pPr>
        <w:keepNext/>
        <w:keepLines/>
        <w:spacing w:after="40"/>
        <w:ind w:left="173"/>
      </w:pPr>
      <w:r>
        <w:t>C. Abandoning contact may worsen access and continuity.</w:t>
      </w:r>
    </w:p>
    <w:p>
      <w:pPr>
        <w:keepNext/>
        <w:keepLines/>
        <w:spacing w:after="40"/>
        <w:ind w:left="173"/>
      </w:pPr>
      <w:r>
        <w:t>D. The client is not responsible for providing the worker’s professional training.</w:t>
      </w:r>
    </w:p>
    <w:p>
      <w:pPr>
        <w:keepLines/>
        <w:spacing w:after="120"/>
        <w:ind w:left="173"/>
      </w:pPr>
      <w:r>
        <w:rPr>
          <w:b/>
          <w:i w:val="0"/>
          <w:color w:val="1F4E78"/>
        </w:rPr>
        <w:t xml:space="preserve">Exam Strategy: </w:t>
      </w:r>
      <w:r>
        <w:rPr>
          <w:b w:val="0"/>
          <w:i/>
        </w:rPr>
        <w:t>Protect the client through consultation, supervision, training, referral, and continuity rather than practicing beyond competence or abandoning care.</w:t>
      </w:r>
    </w:p>
    <w:p>
      <w:pPr>
        <w:pStyle w:val="Heading2"/>
        <w:keepNext/>
        <w:keepLines/>
        <w:spacing w:before="120" w:after="40"/>
      </w:pPr>
      <w:r>
        <w:t>Question 7 (LCSW-WB02-Q007)</w:t>
      </w:r>
    </w:p>
    <w:p>
      <w:pPr>
        <w:keepNext/>
        <w:keepLines/>
      </w:pPr>
      <w:r>
        <w:t>Correct Answer: D</w:t>
      </w:r>
    </w:p>
    <w:p>
      <w:pPr>
        <w:keepNext/>
        <w:keepLines/>
        <w:spacing w:after="40"/>
        <w:ind w:left="173"/>
      </w:pPr>
      <w:r>
        <w:t>A. Intention does not address impact or repair.</w:t>
      </w:r>
    </w:p>
    <w:p>
      <w:pPr>
        <w:keepNext/>
        <w:keepLines/>
        <w:spacing w:after="40"/>
        <w:ind w:left="173"/>
      </w:pPr>
      <w:r>
        <w:t>B. Redirecting avoids the relational and power issue.</w:t>
      </w:r>
    </w:p>
    <w:p>
      <w:pPr>
        <w:keepNext/>
        <w:keepLines/>
        <w:spacing w:after="40"/>
        <w:ind w:left="173"/>
      </w:pPr>
      <w:r>
        <w:t>C. Transfer may repeat the harm and is premature before addressing it.</w:t>
      </w:r>
    </w:p>
    <w:p>
      <w:pPr>
        <w:keepNext/>
        <w:keepLines/>
        <w:spacing w:after="40"/>
        <w:ind w:left="173"/>
      </w:pPr>
      <w:r>
        <w:t>D. Correct. The response centers impact, accountability, repair, and changed behavior.</w:t>
      </w:r>
    </w:p>
    <w:p>
      <w:pPr>
        <w:keepLines/>
        <w:spacing w:after="120"/>
        <w:ind w:left="173"/>
      </w:pPr>
      <w:r>
        <w:rPr>
          <w:b/>
          <w:i w:val="0"/>
          <w:color w:val="1F4E78"/>
        </w:rPr>
        <w:t xml:space="preserve">Exam Strategy: </w:t>
      </w:r>
      <w:r>
        <w:rPr>
          <w:b w:val="0"/>
          <w:i/>
        </w:rPr>
        <w:t>Address impact, repair harm, examine power and bias, and change practice; defensiveness or intention alone does not resolve the ethical issue.</w:t>
      </w:r>
    </w:p>
    <w:p>
      <w:pPr>
        <w:pStyle w:val="Heading2"/>
        <w:keepNext/>
        <w:keepLines/>
        <w:spacing w:before="120" w:after="40"/>
      </w:pPr>
      <w:r>
        <w:t>Question 8 (LCSW-WB02-Q008)</w:t>
      </w:r>
    </w:p>
    <w:p>
      <w:pPr>
        <w:keepNext/>
        <w:keepLines/>
      </w:pPr>
      <w:r>
        <w:t>Correct Answer: C</w:t>
      </w:r>
    </w:p>
    <w:p>
      <w:pPr>
        <w:keepNext/>
        <w:keepLines/>
        <w:spacing w:after="40"/>
        <w:ind w:left="173"/>
      </w:pPr>
      <w:r>
        <w:t>A. A supervisor’s instruction does not remove the social worker’s responsibility for accurate billing.</w:t>
      </w:r>
    </w:p>
    <w:p>
      <w:pPr>
        <w:keepNext/>
        <w:keepLines/>
        <w:spacing w:after="40"/>
        <w:ind w:left="173"/>
      </w:pPr>
      <w:r>
        <w:t>B. Altering the note compounds the ethical problem.</w:t>
      </w:r>
    </w:p>
    <w:p>
      <w:pPr>
        <w:keepNext/>
        <w:keepLines/>
        <w:spacing w:after="40"/>
        <w:ind w:left="173"/>
      </w:pPr>
      <w:r>
        <w:t>C. Correct. The social worker should not falsify information and should respond through appropriate channels.</w:t>
      </w:r>
    </w:p>
    <w:p>
      <w:pPr>
        <w:keepNext/>
        <w:keepLines/>
        <w:spacing w:after="40"/>
        <w:ind w:left="173"/>
      </w:pPr>
      <w:r>
        <w:t>D. Unnecessary client disclosure does not resolve the billing concern.</w:t>
      </w:r>
    </w:p>
    <w:p>
      <w:pPr>
        <w:keepLines/>
        <w:spacing w:after="120"/>
        <w:ind w:left="173"/>
      </w:pPr>
      <w:r>
        <w:rPr>
          <w:b/>
          <w:i w:val="0"/>
          <w:color w:val="1F4E78"/>
        </w:rPr>
        <w:t xml:space="preserve">Exam Strategy: </w:t>
      </w:r>
      <w:r>
        <w:rPr>
          <w:b w:val="0"/>
          <w:i/>
        </w:rPr>
        <w:t>Clarify duties to the client and employer, use supervision and policy channels, document concerns, and escalate proportionately when harm or illegality persists.</w:t>
      </w:r>
    </w:p>
    <w:p>
      <w:pPr>
        <w:pStyle w:val="Heading2"/>
        <w:keepNext/>
        <w:keepLines/>
        <w:spacing w:before="120" w:after="40"/>
      </w:pPr>
      <w:r>
        <w:t>Question 9 (LCSW-WB02-Q009)</w:t>
      </w:r>
    </w:p>
    <w:p>
      <w:pPr>
        <w:keepNext/>
        <w:keepLines/>
      </w:pPr>
      <w:r>
        <w:t>Correct Answer: A</w:t>
      </w:r>
    </w:p>
    <w:p>
      <w:pPr>
        <w:keepNext/>
        <w:keepLines/>
        <w:spacing w:after="40"/>
        <w:ind w:left="173"/>
      </w:pPr>
      <w:r>
        <w:t>A. Correct. The response protects self-determination while strengthening safety and follow-up.</w:t>
      </w:r>
    </w:p>
    <w:p>
      <w:pPr>
        <w:keepNext/>
        <w:keepLines/>
        <w:spacing w:after="40"/>
        <w:ind w:left="173"/>
      </w:pPr>
      <w:r>
        <w:t>B. Family concern does not replace a capable adult’s choice.</w:t>
      </w:r>
    </w:p>
    <w:p>
      <w:pPr>
        <w:keepNext/>
        <w:keepLines/>
        <w:spacing w:after="40"/>
        <w:ind w:left="173"/>
      </w:pPr>
      <w:r>
        <w:t>C. A risky choice is not by itself evidence of incapacity.</w:t>
      </w:r>
    </w:p>
    <w:p>
      <w:pPr>
        <w:keepNext/>
        <w:keepLines/>
        <w:spacing w:after="40"/>
        <w:ind w:left="173"/>
      </w:pPr>
      <w:r>
        <w:t>D. Coercing agreement is more restrictive than the facts justify.</w:t>
      </w:r>
    </w:p>
    <w:p>
      <w:pPr>
        <w:keepLines/>
        <w:spacing w:after="120"/>
        <w:ind w:left="173"/>
      </w:pPr>
      <w:r>
        <w:rPr>
          <w:b/>
          <w:i w:val="0"/>
          <w:color w:val="1F4E78"/>
        </w:rPr>
        <w:t xml:space="preserve">Exam Strategy: </w:t>
      </w:r>
      <w:r>
        <w:rPr>
          <w:b w:val="0"/>
          <w:i/>
        </w:rPr>
        <w:t>Support informed choice unless a specific legal, capacity, or serious safety issue justifies a proportionate limit; do not substitute the worker’s preference.</w:t>
      </w:r>
    </w:p>
    <w:p>
      <w:pPr>
        <w:pStyle w:val="Heading2"/>
        <w:keepNext/>
        <w:keepLines/>
        <w:spacing w:before="120" w:after="40"/>
      </w:pPr>
      <w:r>
        <w:t>Question 10 (LCSW-WB02-Q010)</w:t>
      </w:r>
    </w:p>
    <w:p>
      <w:pPr>
        <w:keepNext/>
        <w:keepLines/>
      </w:pPr>
      <w:r>
        <w:t>Correct Answer: B</w:t>
      </w:r>
    </w:p>
    <w:p>
      <w:pPr>
        <w:keepNext/>
        <w:keepLines/>
        <w:spacing w:after="40"/>
        <w:ind w:left="173"/>
      </w:pPr>
      <w:r>
        <w:t>A. Closure ignores the school-created access barrier.</w:t>
      </w:r>
    </w:p>
    <w:p>
      <w:pPr>
        <w:keepNext/>
        <w:keepLines/>
        <w:spacing w:after="40"/>
        <w:ind w:left="173"/>
      </w:pPr>
      <w:r>
        <w:t>B. Correct. The response integrates accurate documentation, language access, client participation, and organizational advocacy.</w:t>
      </w:r>
    </w:p>
    <w:p>
      <w:pPr>
        <w:keepNext/>
        <w:keepLines/>
        <w:spacing w:after="40"/>
        <w:ind w:left="173"/>
      </w:pPr>
      <w:r>
        <w:t>C. Using a minor sibling can create accuracy, role, privacy, and power concerns.</w:t>
      </w:r>
    </w:p>
    <w:p>
      <w:pPr>
        <w:keepNext/>
        <w:keepLines/>
        <w:spacing w:after="40"/>
        <w:ind w:left="173"/>
      </w:pPr>
      <w:r>
        <w:t>D. Labeling the family noncompliant misrepresents the facts and reinforces inequity.</w:t>
      </w:r>
    </w:p>
    <w:p>
      <w:pPr>
        <w:keepLines/>
        <w:spacing w:after="120"/>
        <w:ind w:left="173"/>
      </w:pPr>
      <w:r>
        <w:rPr>
          <w:b/>
          <w:i w:val="0"/>
          <w:color w:val="1F4E78"/>
        </w:rPr>
        <w:t xml:space="preserve">Exam Strategy: </w:t>
      </w:r>
      <w:r>
        <w:rPr>
          <w:b w:val="0"/>
          <w:i/>
        </w:rPr>
        <w:t>Use CLEAR: clarify role and facts, locate the conflict, evaluate rights-risk-power, act proportionately, and review-document-consult.</w:t>
      </w:r>
    </w:p>
    <w:p>
      <w:r>
        <w:br w:type="page"/>
      </w:r>
    </w:p>
    <w:p>
      <w:pPr>
        <w:pStyle w:val="Heading1"/>
      </w:pPr>
      <w:r>
        <w:t>Score and Study Plan</w:t>
      </w:r>
    </w:p>
    <w:p>
      <w:pPr/>
      <w:r>
        <w:t>Score: ______ / 10</w:t>
      </w:r>
    </w:p>
    <w:p>
      <w:pPr/>
      <w:r>
        <w:t>Questions I missed or guessed: ________________________________________________</w:t>
      </w:r>
    </w:p>
    <w:p>
      <w:pPr/>
      <w:r>
        <w:t>My three priority review topics:</w:t>
      </w:r>
    </w:p>
    <w:p>
      <w:pPr/>
      <w:r>
        <w:t>1. ___________________________________________________________________________</w:t>
      </w:r>
    </w:p>
    <w:p>
      <w:pPr/>
      <w:r>
        <w:t>2. ___________________________________________________________________________</w:t>
      </w:r>
    </w:p>
    <w:p>
      <w:pPr/>
      <w:r>
        <w:t>3. ___________________________________________________________________________</w:t>
      </w:r>
    </w:p>
    <w:p>
      <w:pPr/>
      <w:r>
        <w:t>One reasoning rule I will apply on my next practice set:</w:t>
      </w:r>
    </w:p>
    <w:p>
      <w:pPr/>
      <w:r>
        <w:t>______________________________________________________________________________</w:t>
      </w:r>
    </w:p>
    <w:p>
      <w:pPr>
        <w:pStyle w:val="Heading1"/>
      </w:pPr>
      <w:r>
        <w:t>Sources and Currency Note</w:t>
      </w:r>
    </w:p>
    <w:p>
      <w:pPr>
        <w:pStyle w:val="ListBullet"/>
      </w:pPr>
      <w:r>
        <w:t>Association of Social Work Boards. Your Guide to Taking the Social Work Licensing Exams, May 2026.</w:t>
      </w:r>
    </w:p>
    <w:p>
      <w:pPr>
        <w:pStyle w:val="ListBullet"/>
      </w:pPr>
      <w:r>
        <w:t>Association of Social Work Boards. 2026 Clinical Examination content outline and transition resources, reviewed July 23, 2026.</w:t>
      </w:r>
    </w:p>
    <w:p>
      <w:pPr>
        <w:pStyle w:val="ListBullet"/>
      </w:pPr>
      <w:r>
        <w:t>Laws, regulations, and ethical requirements vary by jurisdiction. Use current official sources for examination and practice requirements.</w:t>
      </w:r>
    </w:p>
    <w:p>
      <w:pPr/>
      <w:r>
        <w:t>All practice questions are original CTA items. Examination specifications and professional requirements may change; consult current official sources before testing or practice.</w:t>
      </w:r>
    </w:p>
    <w:sectPr>
      <w:headerReference w:type="first" r:id="rId10"/>
      <w:footerReference w:type="first" r:id="rId11"/>
      <w:headerReference w:type="default" r:id="rId12"/>
      <w:footerReference w:type="default" r:id="rId13"/>
      <w:pgSz w:w="12240" w:h="15840"/>
      <w:pgMar w:top="936" w:right="1080" w:bottom="936" w:left="1080" w:header="360"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5040"/>
      <w:gridCol w:w="5040"/>
    </w:tblGrid>
    <w:tr>
      <w:tc>
        <w:tcPr>
          <w:tcW w:type="dxa" w:w="5040"/>
        </w:tcPr>
        <w:p>
          <w:r>
            <w:t>Clinical Training Academy • Student Workbook</w:t>
          </w:r>
        </w:p>
      </w:tc>
      <w:tc>
        <w:tcPr>
          <w:tcW w:type="dxa" w:w="5040"/>
        </w:tcPr>
        <w:p>
          <w:pPr>
            <w:jc w:val="right"/>
          </w:pPr>
          <w:r>
            <w:rPr>
              <w:rFonts w:ascii="Aptos" w:hAnsi="Aptos"/>
              <w:color w:val="6B7280"/>
              <w:sz w:val="16"/>
            </w:rPr>
            <w:t xml:space="preserve">Page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 xml:space="preserve">   CTA LCSW Workbook 2 - Values, Ethics, Self-Determination, and Social Justice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E749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Caps">
    <w:name w:val="CTA Small Caps"/>
    <w:pPr>
      <w:spacing w:after="40"/>
    </w:pPr>
    <w:rPr>
      <w:rFonts w:ascii="Aptos" w:hAnsi="Aptos"/>
      <w:b/>
      <w:color w:val="0E749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LCSW Workbook 2: Values, Ethics, Self-Determination, and Social Justice</dc:title>
  <dc:subject>CTA exam preparation student workbook</dc:subject>
  <dc:creator/>
  <cp:keywords>CTA, exam preparation, student workbook</cp:keywords>
  <dc:description/>
  <cp:lastModifiedBy/>
  <cp:revision>1</cp:revision>
  <dcterms:created xsi:type="dcterms:W3CDTF">2013-12-23T23:15:00Z</dcterms:created>
  <dcterms:modified xsi:type="dcterms:W3CDTF">2013-12-23T23:15:00Z</dcterms:modified>
  <cp:category/>
</cp:coreProperties>
</file>