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234440" cy="892311"/>
            <wp:docPr id="1" name="Picture 1" title="Clinical Training Academy logo" descr="Clinical Training Academy horizontal logo"/>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234440" cy="892311"/>
                    </a:xfrm>
                    <a:prstGeom prst="rect"/>
                  </pic:spPr>
                </pic:pic>
              </a:graphicData>
            </a:graphic>
          </wp:inline>
        </w:drawing>
      </w:r>
    </w:p>
    <w:p>
      <w:pPr>
        <w:spacing w:after="60"/>
        <w:jc w:val="center"/>
      </w:pPr>
      <w:r>
        <w:rPr>
          <w:b/>
          <w:i w:val="0"/>
          <w:color w:val="0F7C82"/>
          <w:sz w:val="23"/>
        </w:rPr>
        <w:t>LCSW ASWB CLINICAL EXAM PREPARATION PROGRAM</w:t>
      </w:r>
    </w:p>
    <w:p>
      <w:pPr>
        <w:spacing w:after="240"/>
        <w:jc w:val="center"/>
      </w:pPr>
      <w:r>
        <w:rPr>
          <w:b/>
          <w:i w:val="0"/>
          <w:color w:val="C17C00"/>
          <w:sz w:val="30"/>
        </w:rPr>
        <w:t>Student Workbook</w:t>
      </w:r>
    </w:p>
    <w:p>
      <w:pPr>
        <w:pStyle w:val="Title"/>
        <w:spacing w:after="160"/>
        <w:jc w:val="center"/>
      </w:pPr>
      <w:r>
        <w:t>CTA LCSW Workbook 5: Diagnosis, Medical Factors, and Psychopharmacology</w:t>
      </w:r>
    </w:p>
    <w:p>
      <w:pPr>
        <w:spacing w:after="240"/>
        <w:jc w:val="center"/>
      </w:pPr>
      <w:r>
        <w:rPr>
          <w:i/>
          <w:color w:val="5B6573"/>
          <w:sz w:val="25"/>
        </w:rPr>
        <w:t>Integrate diagnostic patterns, health and neurological factors, medication information, substance use, and person-in-environment assessment</w:t>
      </w:r>
    </w:p>
    <w:p>
      <w:pPr>
        <w:spacing w:after="360"/>
        <w:jc w:val="center"/>
      </w:pPr>
      <w:r>
        <w:rPr>
          <w:b w:val="0"/>
          <w:i w:val="0"/>
          <w:color w:val="667085"/>
          <w:sz w:val="21"/>
        </w:rPr>
        <w:t>Version 1.0 - July 2026</w:t>
      </w:r>
    </w:p>
    <w:tbl>
      <w:tblPr>
        <w:tblW w:type="auto" w:w="0"/>
        <w:jc w:val="center"/>
        <w:tblLayout w:type="fixed"/>
        <w:tblLook w:firstColumn="1" w:firstRow="1" w:lastColumn="0" w:lastRow="0" w:noHBand="0" w:noVBand="1" w:val="04A0"/>
      </w:tblPr>
      <w:tblGrid>
        <w:gridCol w:w="8352"/>
      </w:tblGrid>
      <w:tr>
        <w:trPr>
          <w:cantSplit w:val="true"/>
        </w:trPr>
        <w:tc>
          <w:tcPr>
            <w:tcW w:type="dxa" w:w="8640"/>
            <w:shd w:fill="FFF7E6" w:val="clear"/>
            <w:tcBorders>
              <w:top w:val="single" w:sz="6" w:color="9EBAD0"/>
              <w:left w:val="single" w:sz="6" w:color="9EBAD0"/>
              <w:bottom w:val="single" w:sz="6" w:color="9EBAD0"/>
              <w:right w:val="single" w:sz="6" w:color="9EBAD0"/>
              <w:insideH w:val="single" w:sz="6" w:color="9EBAD0"/>
              <w:insideV w:val="single" w:sz="6" w:color="9EBAD0"/>
            </w:tcBorders>
            <w:vAlign w:val="center"/>
          </w:tcPr>
          <w:p>
            <w:pPr>
              <w:spacing w:before="100" w:after="100"/>
              <w:jc w:val="left"/>
            </w:pPr>
            <w:r>
              <w:rPr>
                <w:rFonts w:ascii="Aptos" w:hAnsi="Aptos"/>
                <w:b/>
                <w:color w:val="17365D"/>
                <w:sz w:val="19"/>
              </w:rPr>
              <w:t>STUDENT-FACING EXAM PREPARATION MATERIAL</w:t>
            </w:r>
            <w:r>
              <w:rPr>
                <w:rFonts w:ascii="Aptos" w:hAnsi="Aptos"/>
                <w:color w:val="1F2937"/>
                <w:sz w:val="18"/>
              </w:rPr>
              <w:br/>
              <w:t>All practice questions are original CTA items and are not actual licensing-examination questions.</w:t>
            </w:r>
          </w:p>
        </w:tc>
      </w:tr>
    </w:tbl>
    <w:tbl>
      <w:tblPr>
        <w:tblW w:type="auto" w:w="0"/>
        <w:jc w:val="center"/>
        <w:tblLayout w:type="autofit"/>
        <w:tblLook w:firstColumn="1" w:firstRow="1" w:lastColumn="0" w:lastRow="0" w:noHBand="0" w:noVBand="1" w:val="04A0"/>
      </w:tblPr>
      <w:tblGrid>
        <w:gridCol w:w="10080"/>
      </w:tblGrid>
      <w:tr>
        <w:trPr>
          <w:cantSplit w:val="true"/>
        </w:trPr>
        <w:tc>
          <w:tcPr>
            <w:tcW w:type="dxa" w:w="10080"/>
            <w:shd w:fill="EAF5F8" w:val="clear"/>
            <w:tcBorders>
              <w:top w:val="single" w:sz="6" w:color="A7BDC6"/>
              <w:left w:val="single" w:sz="6" w:color="A7BDC6"/>
              <w:bottom w:val="single" w:sz="6" w:color="A7BDC6"/>
              <w:right w:val="single" w:sz="6" w:color="A7BDC6"/>
              <w:insideH w:val="single" w:sz="6" w:color="A7BDC6"/>
              <w:insideV w:val="single" w:sz="6" w:color="A7BDC6"/>
            </w:tcBorders>
            <w:vAlign w:val="center"/>
          </w:tcPr>
          <w:p>
            <w:pPr>
              <w:spacing w:before="100" w:after="100"/>
              <w:jc w:val="left"/>
            </w:pPr>
            <w:r>
              <w:rPr>
                <w:rFonts w:ascii="Aptos" w:hAnsi="Aptos"/>
                <w:b/>
                <w:color w:val="17365D"/>
                <w:sz w:val="19"/>
              </w:rPr>
              <w:t>EDUCATIONAL, NON-AFFILIATION, AND SCOPE NOTICE</w:t>
            </w:r>
            <w:r>
              <w:rPr>
                <w:rFonts w:ascii="Aptos" w:hAnsi="Aptos"/>
                <w:color w:val="1F2937"/>
                <w:sz w:val="18"/>
              </w:rPr>
              <w:br/>
              <w:t>This workbook is an independent educational resource developed by Clinical Training and Supervision Academy. CTA is not affiliated with, endorsed by, or sponsored by the California Board of Behavioral Sciences, Pearson VUE, the Association of Social Work Boards, or any other licensing or testing organization. Completion does not guarantee examination passage. The material is not legal advice, clinical supervision, diagnosis, treatment, or a substitute for consultation with qualified legal, clinical, regulatory, or professional experts. Examination specifications and rules may change; consult current official sources before registering or testing.</w:t>
            </w:r>
          </w:p>
        </w:tc>
      </w:tr>
    </w:tbl>
    <w:p>
      <w:pPr>
        <w:spacing w:before="240"/>
        <w:jc w:val="center"/>
      </w:pPr>
      <w:r>
        <w:rPr>
          <w:b/>
          <w:i w:val="0"/>
          <w:color w:val="17365D"/>
          <w:sz w:val="22"/>
        </w:rPr>
        <w:t>Clinical Training Academy</w:t>
      </w:r>
    </w:p>
    <w:p>
      <w:r>
        <w:br w:type="page"/>
      </w:r>
    </w:p>
    <w:p>
      <w:pPr>
        <w:pStyle w:val="Heading1"/>
      </w:pPr>
      <w:r>
        <w:t>How to Use This Workbook</w:t>
      </w:r>
    </w:p>
    <w:p>
      <w:r>
        <w:rPr>
          <w:i w:val="0"/>
        </w:rPr>
        <w:t>This workbook teaches diagnostic reasoning within the broader clinical social work assessment process. The goal is not to memorize every criterion in isolation. The goal is to recognize patterns, establish chronology, identify medical or medication contributors, understand the limits of social work scope, involve the client or client system, and connect the working impression to level of care, resources, and service planning. Complete the Knowledge Check before reviewing the detailed rationales.</w:t>
      </w:r>
    </w:p>
    <w:tbl>
      <w:tblPr>
        <w:tblW w:type="auto" w:w="0"/>
        <w:jc w:val="center"/>
        <w:tblLayout w:type="fixed"/>
        <w:tblLook w:firstColumn="1" w:firstRow="1" w:lastColumn="0" w:lastRow="0" w:noHBand="0" w:noVBand="1" w:val="04A0"/>
      </w:tblPr>
      <w:tblGrid>
        <w:gridCol w:w="9936"/>
      </w:tblGrid>
      <w:tr>
        <w:trPr>
          <w:cantSplit/>
        </w:trPr>
        <w:tc>
          <w:tcPr>
            <w:tcW w:type="dxa" w:w="10080"/>
            <w:shd w:fill="FFF4D6"/>
            <w:tcMar>
              <w:top w:w="160" w:type="dxa"/>
              <w:start w:w="180" w:type="dxa"/>
              <w:bottom w:w="160" w:type="dxa"/>
              <w:end w:w="180" w:type="dxa"/>
            </w:tcMar>
            <w:vAlign w:val="center"/>
          </w:tcPr>
          <w:p>
            <w:pPr>
              <w:spacing w:after="80"/>
            </w:pPr>
            <w:r>
              <w:rPr>
                <w:b/>
                <w:i w:val="0"/>
                <w:color w:val="C17C00"/>
              </w:rPr>
              <w:t>Scope of This Workbook</w:t>
            </w:r>
          </w:p>
          <w:p>
            <w:pPr>
              <w:spacing w:after="0"/>
            </w:pPr>
            <w:r>
              <w:t>Medication material is presented at the exam-reasoning level. It supports assessment, monitoring, client education, prescriber communication, and care coordination; it does not teach prescribing or independent medication management.</w:t>
            </w:r>
          </w:p>
        </w:tc>
      </w:tr>
    </w:tbl>
    <w:p>
      <w:pPr>
        <w:spacing w:after="0"/>
      </w:pPr>
    </w:p>
    <w:p>
      <w:pPr>
        <w:pStyle w:val="Heading1"/>
      </w:pPr>
      <w:r>
        <w:t>Learning Objectives</w:t>
      </w:r>
    </w:p>
    <w:p>
      <w:pPr>
        <w:pStyle w:val="ListBullet"/>
      </w:pPr>
      <w:r>
        <w:t>Apply an integrated diagnostic and health-reasoning sequence that begins with safety, medical stability, and the client's ability to participate.</w:t>
      </w:r>
    </w:p>
    <w:p>
      <w:pPr>
        <w:pStyle w:val="ListBullet"/>
      </w:pPr>
      <w:r>
        <w:t>Distinguish working, provisional, differential, rule-out, and contextual formulations using symptom pattern, chronology, impairment, and exclusions.</w:t>
      </w:r>
    </w:p>
    <w:p>
      <w:pPr>
        <w:pStyle w:val="ListBullet"/>
      </w:pPr>
      <w:r>
        <w:t>Recognize medical, neurological, sleep, medication, and substance-related factors that may mimic, worsen, or coexist with psychiatric symptoms.</w:t>
      </w:r>
    </w:p>
    <w:p>
      <w:pPr>
        <w:pStyle w:val="ListBullet"/>
      </w:pPr>
      <w:r>
        <w:t>Assess medication purpose, recent changes, perceived benefit, side effects, understanding, and adherence barriers while remaining within social work scope.</w:t>
      </w:r>
    </w:p>
    <w:p>
      <w:pPr>
        <w:pStyle w:val="ListBullet"/>
      </w:pPr>
      <w:r>
        <w:t>Connect the working impression to client goals, level of care, benefits, accessible referrals, care coordination, and continuity through a person-in-environment lens.</w:t>
      </w:r>
    </w:p>
    <w:p>
      <w:pPr>
        <w:pStyle w:val="Heading1"/>
      </w:pPr>
      <w:r>
        <w:t>Why This Topic Matters</w:t>
      </w:r>
    </w:p>
    <w:p>
      <w:r>
        <w:rPr>
          <w:i w:val="0"/>
        </w:rPr>
        <w:t>Clinical social workers frequently encounter overlapping psychiatric, medical, substance-related, cognitive, trauma, and environmental concerns. A symptom may have several plausible explanations, and the best exam answer often asks what the social worker should assess or coordinate before making a definitive conclusion. Accurate diagnosis supports planning, but client participation, function, safety, and access remain central.</w:t>
      </w:r>
    </w:p>
    <w:tbl>
      <w:tblPr>
        <w:tblW w:type="auto" w:w="0"/>
        <w:jc w:val="center"/>
        <w:tblLayout w:type="fixed"/>
        <w:tblLook w:firstColumn="1" w:firstRow="1" w:lastColumn="0" w:lastRow="0" w:noHBand="0" w:noVBand="1" w:val="04A0"/>
      </w:tblPr>
      <w:tblGrid>
        <w:gridCol w:w="9936"/>
      </w:tblGrid>
      <w:tr>
        <w:trPr>
          <w:cantSplit/>
        </w:trPr>
        <w:tc>
          <w:tcPr>
            <w:tcW w:type="dxa" w:w="10080"/>
            <w:shd w:fill="EAF3F8"/>
            <w:tcMar>
              <w:top w:w="160" w:type="dxa"/>
              <w:start w:w="180" w:type="dxa"/>
              <w:bottom w:w="160" w:type="dxa"/>
              <w:end w:w="180" w:type="dxa"/>
            </w:tcMar>
            <w:vAlign w:val="center"/>
          </w:tcPr>
          <w:p>
            <w:pPr>
              <w:spacing w:after="80"/>
            </w:pPr>
            <w:r>
              <w:rPr>
                <w:b/>
                <w:i w:val="0"/>
                <w:color w:val="1F4E78"/>
              </w:rPr>
              <w:t>Core Exam Principle</w:t>
            </w:r>
          </w:p>
          <w:p>
            <w:pPr>
              <w:spacing w:after="0"/>
            </w:pPr>
            <w:r>
              <w:t>Use diagnosis to organize understanding and planning, but do not let the label replace the person, the environment, or the next clinically necessary action.</w:t>
            </w:r>
          </w:p>
        </w:tc>
      </w:tr>
    </w:tbl>
    <w:p>
      <w:pPr>
        <w:spacing w:after="0"/>
      </w:pPr>
    </w:p>
    <w:p>
      <w:pPr>
        <w:pStyle w:val="Heading1"/>
      </w:pPr>
      <w:r>
        <w:t>1. Integrated Diagnostic and Health Reasoning Sequence</w:t>
      </w:r>
    </w:p>
    <w:tbl>
      <w:tblPr>
        <w:tblStyle w:val="TableGrid"/>
        <w:tblW w:type="auto" w:w="0"/>
        <w:jc w:val="center"/>
        <w:tblLayout w:type="fixed"/>
        <w:tblLook w:firstColumn="1" w:firstRow="1" w:lastColumn="0" w:lastRow="0" w:noHBand="0" w:noVBand="1" w:val="04A0"/>
      </w:tblPr>
      <w:tblGrid>
        <w:gridCol w:w="1944"/>
        <w:gridCol w:w="7992"/>
      </w:tblGrid>
      <w:tr>
        <w:trPr>
          <w:tblHeader w:val="true"/>
          <w:cantSplit/>
        </w:trPr>
        <w:tc>
          <w:tcPr>
            <w:tcW w:type="dxa" w:w="5040"/>
            <w:shd w:fill="17365D"/>
            <w:tcMar>
              <w:top w:w="100" w:type="dxa"/>
              <w:start w:w="120" w:type="dxa"/>
              <w:bottom w:w="100" w:type="dxa"/>
              <w:end w:w="120" w:type="dxa"/>
            </w:tcMar>
          </w:tcPr>
          <w:p>
            <w:pPr>
              <w:spacing w:after="0"/>
            </w:pPr>
            <w:r>
              <w:rPr>
                <w:b/>
                <w:color w:val="FFFFFF"/>
                <w:sz w:val="18"/>
              </w:rPr>
              <w:t>Step</w:t>
            </w:r>
          </w:p>
        </w:tc>
        <w:tc>
          <w:tcPr>
            <w:tcW w:type="dxa" w:w="5040"/>
            <w:shd w:fill="17365D"/>
            <w:tcMar>
              <w:top w:w="100" w:type="dxa"/>
              <w:start w:w="120" w:type="dxa"/>
              <w:bottom w:w="100" w:type="dxa"/>
              <w:end w:w="120" w:type="dxa"/>
            </w:tcMar>
          </w:tcPr>
          <w:p>
            <w:pPr>
              <w:spacing w:after="0"/>
            </w:pPr>
            <w:r>
              <w:rPr>
                <w:b/>
                <w:color w:val="FFFFFF"/>
                <w:sz w:val="18"/>
              </w:rPr>
              <w:t>Clinical Social Work Question</w:t>
            </w:r>
          </w:p>
        </w:tc>
      </w:tr>
      <w:tr>
        <w:trPr>
          <w:cantSplit/>
        </w:trPr>
        <w:tc>
          <w:tcPr>
            <w:tcW w:type="dxa" w:w="1944"/>
            <w:tcMar>
              <w:top w:w="100" w:type="dxa"/>
              <w:start w:w="120" w:type="dxa"/>
              <w:bottom w:w="100" w:type="dxa"/>
              <w:end w:w="120" w:type="dxa"/>
            </w:tcMar>
          </w:tcPr>
          <w:p>
            <w:pPr>
              <w:spacing w:after="0"/>
            </w:pPr>
            <w:r>
              <w:rPr>
                <w:sz w:val="18"/>
              </w:rPr>
              <w:t>1. Safety and stability</w:t>
            </w:r>
          </w:p>
        </w:tc>
        <w:tc>
          <w:tcPr>
            <w:tcW w:type="dxa" w:w="7992"/>
            <w:tcMar>
              <w:top w:w="100" w:type="dxa"/>
              <w:start w:w="120" w:type="dxa"/>
              <w:bottom w:w="100" w:type="dxa"/>
              <w:end w:w="120" w:type="dxa"/>
            </w:tcMar>
          </w:tcPr>
          <w:p>
            <w:pPr>
              <w:spacing w:after="0"/>
            </w:pPr>
            <w:r>
              <w:rPr>
                <w:sz w:val="18"/>
              </w:rPr>
              <w:t>Is there immediate danger, altered consciousness, severe intoxication or withdrawal, acute medical concern, or inability to participate?</w:t>
            </w:r>
          </w:p>
        </w:tc>
      </w:tr>
      <w:tr>
        <w:trPr>
          <w:cantSplit/>
        </w:trPr>
        <w:tc>
          <w:tcPr>
            <w:tcW w:type="dxa" w:w="1944"/>
            <w:tcMar>
              <w:top w:w="100" w:type="dxa"/>
              <w:start w:w="120" w:type="dxa"/>
              <w:bottom w:w="100" w:type="dxa"/>
              <w:end w:w="120" w:type="dxa"/>
            </w:tcMar>
            <w:shd w:fill="F7F8FA"/>
          </w:tcPr>
          <w:p>
            <w:pPr>
              <w:spacing w:after="0"/>
            </w:pPr>
            <w:r>
              <w:rPr>
                <w:sz w:val="18"/>
              </w:rPr>
              <w:t>2. Presenting pattern</w:t>
            </w:r>
          </w:p>
        </w:tc>
        <w:tc>
          <w:tcPr>
            <w:tcW w:type="dxa" w:w="7992"/>
            <w:tcMar>
              <w:top w:w="100" w:type="dxa"/>
              <w:start w:w="120" w:type="dxa"/>
              <w:bottom w:w="100" w:type="dxa"/>
              <w:end w:w="120" w:type="dxa"/>
            </w:tcMar>
            <w:shd w:fill="F7F8FA"/>
          </w:tcPr>
          <w:p>
            <w:pPr>
              <w:spacing w:after="0"/>
            </w:pPr>
            <w:r>
              <w:rPr>
                <w:sz w:val="18"/>
              </w:rPr>
              <w:t>Which emotional, cognitive, behavioral, physical, relational, and functional changes require explanation?</w:t>
            </w:r>
          </w:p>
        </w:tc>
      </w:tr>
      <w:tr>
        <w:trPr>
          <w:cantSplit/>
        </w:trPr>
        <w:tc>
          <w:tcPr>
            <w:tcW w:type="dxa" w:w="1944"/>
            <w:tcMar>
              <w:top w:w="100" w:type="dxa"/>
              <w:start w:w="120" w:type="dxa"/>
              <w:bottom w:w="100" w:type="dxa"/>
              <w:end w:w="120" w:type="dxa"/>
            </w:tcMar>
          </w:tcPr>
          <w:p>
            <w:pPr>
              <w:spacing w:after="0"/>
            </w:pPr>
            <w:r>
              <w:rPr>
                <w:sz w:val="18"/>
              </w:rPr>
              <w:t>3. Chronology and baseline</w:t>
            </w:r>
          </w:p>
        </w:tc>
        <w:tc>
          <w:tcPr>
            <w:tcW w:type="dxa" w:w="7992"/>
            <w:tcMar>
              <w:top w:w="100" w:type="dxa"/>
              <w:start w:w="120" w:type="dxa"/>
              <w:bottom w:w="100" w:type="dxa"/>
              <w:end w:w="120" w:type="dxa"/>
            </w:tcMar>
          </w:tcPr>
          <w:p>
            <w:pPr>
              <w:spacing w:after="0"/>
            </w:pPr>
            <w:r>
              <w:rPr>
                <w:sz w:val="18"/>
              </w:rPr>
              <w:t>When did the pattern begin, how has it changed, and what was functioning like before?</w:t>
            </w:r>
          </w:p>
        </w:tc>
      </w:tr>
      <w:tr>
        <w:trPr>
          <w:cantSplit/>
        </w:trPr>
        <w:tc>
          <w:tcPr>
            <w:tcW w:type="dxa" w:w="1944"/>
            <w:tcMar>
              <w:top w:w="100" w:type="dxa"/>
              <w:start w:w="120" w:type="dxa"/>
              <w:bottom w:w="100" w:type="dxa"/>
              <w:end w:w="120" w:type="dxa"/>
            </w:tcMar>
            <w:shd w:fill="F7F8FA"/>
          </w:tcPr>
          <w:p>
            <w:pPr>
              <w:spacing w:after="0"/>
            </w:pPr>
            <w:r>
              <w:rPr>
                <w:sz w:val="18"/>
              </w:rPr>
              <w:t>4. Medical and medication review</w:t>
            </w:r>
          </w:p>
        </w:tc>
        <w:tc>
          <w:tcPr>
            <w:tcW w:type="dxa" w:w="7992"/>
            <w:tcMar>
              <w:top w:w="100" w:type="dxa"/>
              <w:start w:w="120" w:type="dxa"/>
              <w:bottom w:w="100" w:type="dxa"/>
              <w:end w:w="120" w:type="dxa"/>
            </w:tcMar>
            <w:shd w:fill="F7F8FA"/>
          </w:tcPr>
          <w:p>
            <w:pPr>
              <w:spacing w:after="0"/>
            </w:pPr>
            <w:r>
              <w:rPr>
                <w:sz w:val="18"/>
              </w:rPr>
              <w:t>Are illness, injury, pregnancy, pain, sleep, medication starts or stops, interactions, side effects, or missed doses relevant?</w:t>
            </w:r>
          </w:p>
        </w:tc>
      </w:tr>
      <w:tr>
        <w:trPr>
          <w:cantSplit/>
        </w:trPr>
        <w:tc>
          <w:tcPr>
            <w:tcW w:type="dxa" w:w="1944"/>
            <w:tcMar>
              <w:top w:w="100" w:type="dxa"/>
              <w:start w:w="120" w:type="dxa"/>
              <w:bottom w:w="100" w:type="dxa"/>
              <w:end w:w="120" w:type="dxa"/>
            </w:tcMar>
          </w:tcPr>
          <w:p>
            <w:pPr>
              <w:spacing w:after="0"/>
            </w:pPr>
            <w:r>
              <w:rPr>
                <w:sz w:val="18"/>
              </w:rPr>
              <w:t>5. Substance and addiction review</w:t>
            </w:r>
          </w:p>
        </w:tc>
        <w:tc>
          <w:tcPr>
            <w:tcW w:type="dxa" w:w="7992"/>
            <w:tcMar>
              <w:top w:w="100" w:type="dxa"/>
              <w:start w:w="120" w:type="dxa"/>
              <w:bottom w:w="100" w:type="dxa"/>
              <w:end w:w="120" w:type="dxa"/>
            </w:tcMar>
          </w:tcPr>
          <w:p>
            <w:pPr>
              <w:spacing w:after="0"/>
            </w:pPr>
            <w:r>
              <w:rPr>
                <w:sz w:val="18"/>
              </w:rPr>
              <w:t>What is the pattern of use, current state, withdrawal risk, consequences, and relationship between use and symptoms?</w:t>
            </w:r>
          </w:p>
        </w:tc>
      </w:tr>
      <w:tr>
        <w:trPr>
          <w:cantSplit/>
        </w:trPr>
        <w:tc>
          <w:tcPr>
            <w:tcW w:type="dxa" w:w="1944"/>
            <w:tcMar>
              <w:top w:w="100" w:type="dxa"/>
              <w:start w:w="120" w:type="dxa"/>
              <w:bottom w:w="100" w:type="dxa"/>
              <w:end w:w="120" w:type="dxa"/>
            </w:tcMar>
            <w:shd w:fill="F7F8FA"/>
          </w:tcPr>
          <w:p>
            <w:pPr>
              <w:spacing w:after="0"/>
            </w:pPr>
            <w:r>
              <w:rPr>
                <w:sz w:val="18"/>
              </w:rPr>
              <w:t>6. Diagnostic comparison</w:t>
            </w:r>
          </w:p>
        </w:tc>
        <w:tc>
          <w:tcPr>
            <w:tcW w:type="dxa" w:w="7992"/>
            <w:tcMar>
              <w:top w:w="100" w:type="dxa"/>
              <w:start w:w="120" w:type="dxa"/>
              <w:bottom w:w="100" w:type="dxa"/>
              <w:end w:w="120" w:type="dxa"/>
            </w:tcMar>
            <w:shd w:fill="F7F8FA"/>
          </w:tcPr>
          <w:p>
            <w:pPr>
              <w:spacing w:after="0"/>
            </w:pPr>
            <w:r>
              <w:rPr>
                <w:sz w:val="18"/>
              </w:rPr>
              <w:t>Which diagnoses and contextual explanations remain plausible, and what information separates them?</w:t>
            </w:r>
          </w:p>
        </w:tc>
      </w:tr>
      <w:tr>
        <w:trPr>
          <w:cantSplit/>
        </w:trPr>
        <w:tc>
          <w:tcPr>
            <w:tcW w:type="dxa" w:w="1944"/>
            <w:tcMar>
              <w:top w:w="100" w:type="dxa"/>
              <w:start w:w="120" w:type="dxa"/>
              <w:bottom w:w="100" w:type="dxa"/>
              <w:end w:w="120" w:type="dxa"/>
            </w:tcMar>
          </w:tcPr>
          <w:p>
            <w:pPr>
              <w:spacing w:after="0"/>
            </w:pPr>
            <w:r>
              <w:rPr>
                <w:sz w:val="18"/>
              </w:rPr>
              <w:t>7. Person-in-environment integration</w:t>
            </w:r>
          </w:p>
        </w:tc>
        <w:tc>
          <w:tcPr>
            <w:tcW w:type="dxa" w:w="7992"/>
            <w:tcMar>
              <w:top w:w="100" w:type="dxa"/>
              <w:start w:w="120" w:type="dxa"/>
              <w:bottom w:w="100" w:type="dxa"/>
              <w:end w:w="120" w:type="dxa"/>
            </w:tcMar>
          </w:tcPr>
          <w:p>
            <w:pPr>
              <w:spacing w:after="0"/>
            </w:pPr>
            <w:r>
              <w:rPr>
                <w:sz w:val="18"/>
              </w:rPr>
              <w:t>How do housing, income, discrimination, family, work, school, health care, legal systems, and service access affect symptoms and functioning?</w:t>
            </w:r>
          </w:p>
        </w:tc>
      </w:tr>
      <w:tr>
        <w:trPr>
          <w:cantSplit/>
        </w:trPr>
        <w:tc>
          <w:tcPr>
            <w:tcW w:type="dxa" w:w="1944"/>
            <w:tcMar>
              <w:top w:w="100" w:type="dxa"/>
              <w:start w:w="120" w:type="dxa"/>
              <w:bottom w:w="100" w:type="dxa"/>
              <w:end w:w="120" w:type="dxa"/>
            </w:tcMar>
            <w:shd w:fill="F7F8FA"/>
          </w:tcPr>
          <w:p>
            <w:pPr>
              <w:spacing w:after="0"/>
            </w:pPr>
            <w:r>
              <w:rPr>
                <w:sz w:val="18"/>
              </w:rPr>
              <w:t>8. Client participation</w:t>
            </w:r>
          </w:p>
        </w:tc>
        <w:tc>
          <w:tcPr>
            <w:tcW w:type="dxa" w:w="7992"/>
            <w:tcMar>
              <w:top w:w="100" w:type="dxa"/>
              <w:start w:w="120" w:type="dxa"/>
              <w:bottom w:w="100" w:type="dxa"/>
              <w:end w:w="120" w:type="dxa"/>
            </w:tcMar>
            <w:shd w:fill="F7F8FA"/>
          </w:tcPr>
          <w:p>
            <w:pPr>
              <w:spacing w:after="0"/>
            </w:pPr>
            <w:r>
              <w:rPr>
                <w:sz w:val="18"/>
              </w:rPr>
              <w:t>What does the client or client system understand, prioritize, prefer, and feel ready to address?</w:t>
            </w:r>
          </w:p>
        </w:tc>
      </w:tr>
      <w:tr>
        <w:trPr>
          <w:cantSplit/>
        </w:trPr>
        <w:tc>
          <w:tcPr>
            <w:tcW w:type="dxa" w:w="1944"/>
            <w:tcMar>
              <w:top w:w="100" w:type="dxa"/>
              <w:start w:w="120" w:type="dxa"/>
              <w:bottom w:w="100" w:type="dxa"/>
              <w:end w:w="120" w:type="dxa"/>
            </w:tcMar>
          </w:tcPr>
          <w:p>
            <w:pPr>
              <w:spacing w:after="0"/>
            </w:pPr>
            <w:r>
              <w:rPr>
                <w:sz w:val="18"/>
              </w:rPr>
              <w:t>9. Plan and coordinate</w:t>
            </w:r>
          </w:p>
        </w:tc>
        <w:tc>
          <w:tcPr>
            <w:tcW w:type="dxa" w:w="7992"/>
            <w:tcMar>
              <w:top w:w="100" w:type="dxa"/>
              <w:start w:w="120" w:type="dxa"/>
              <w:bottom w:w="100" w:type="dxa"/>
              <w:end w:w="120" w:type="dxa"/>
            </w:tcMar>
          </w:tcPr>
          <w:p>
            <w:pPr>
              <w:spacing w:after="0"/>
            </w:pPr>
            <w:r>
              <w:rPr>
                <w:sz w:val="18"/>
              </w:rPr>
              <w:t>What level of care, referral, record, consultation, resource, or follow-up is needed?</w:t>
            </w:r>
          </w:p>
        </w:tc>
      </w:tr>
    </w:tbl>
    <w:p>
      <w:pPr>
        <w:spacing w:after="0"/>
      </w:pPr>
    </w:p>
    <w:p>
      <w:pPr>
        <w:pStyle w:val="Heading1"/>
      </w:pPr>
      <w:r>
        <w:t>2. Diagnostic Status Terms</w:t>
      </w:r>
    </w:p>
    <w:tbl>
      <w:tblPr>
        <w:tblStyle w:val="TableGrid"/>
        <w:tblW w:type="auto" w:w="0"/>
        <w:jc w:val="center"/>
        <w:tblLayout w:type="fixed"/>
        <w:tblLook w:firstColumn="1" w:firstRow="1" w:lastColumn="0" w:lastRow="0" w:noHBand="0" w:noVBand="1" w:val="04A0"/>
      </w:tblPr>
      <w:tblGrid>
        <w:gridCol w:w="2880"/>
        <w:gridCol w:w="7056"/>
      </w:tblGrid>
      <w:tr>
        <w:trPr>
          <w:tblHeader w:val="true"/>
          <w:cantSplit/>
        </w:trPr>
        <w:tc>
          <w:tcPr>
            <w:tcW w:type="dxa" w:w="5040"/>
            <w:shd w:fill="17365D"/>
            <w:tcMar>
              <w:top w:w="100" w:type="dxa"/>
              <w:start w:w="120" w:type="dxa"/>
              <w:bottom w:w="100" w:type="dxa"/>
              <w:end w:w="120" w:type="dxa"/>
            </w:tcMar>
          </w:tcPr>
          <w:p>
            <w:pPr>
              <w:spacing w:after="0"/>
            </w:pPr>
            <w:r>
              <w:rPr>
                <w:b/>
                <w:color w:val="FFFFFF"/>
                <w:sz w:val="18"/>
              </w:rPr>
              <w:t>Term</w:t>
            </w:r>
          </w:p>
        </w:tc>
        <w:tc>
          <w:tcPr>
            <w:tcW w:type="dxa" w:w="5040"/>
            <w:shd w:fill="17365D"/>
            <w:tcMar>
              <w:top w:w="100" w:type="dxa"/>
              <w:start w:w="120" w:type="dxa"/>
              <w:bottom w:w="100" w:type="dxa"/>
              <w:end w:w="120" w:type="dxa"/>
            </w:tcMar>
          </w:tcPr>
          <w:p>
            <w:pPr>
              <w:spacing w:after="0"/>
            </w:pPr>
            <w:r>
              <w:rPr>
                <w:b/>
                <w:color w:val="FFFFFF"/>
                <w:sz w:val="18"/>
              </w:rPr>
              <w:t>Exam-Level Meaning</w:t>
            </w:r>
          </w:p>
        </w:tc>
      </w:tr>
      <w:tr>
        <w:trPr>
          <w:cantSplit/>
        </w:trPr>
        <w:tc>
          <w:tcPr>
            <w:tcW w:type="dxa" w:w="2880"/>
            <w:tcMar>
              <w:top w:w="100" w:type="dxa"/>
              <w:start w:w="120" w:type="dxa"/>
              <w:bottom w:w="100" w:type="dxa"/>
              <w:end w:w="120" w:type="dxa"/>
            </w:tcMar>
          </w:tcPr>
          <w:p>
            <w:pPr>
              <w:spacing w:after="0"/>
            </w:pPr>
            <w:r>
              <w:rPr>
                <w:sz w:val="18"/>
              </w:rPr>
              <w:t>Working diagnosis</w:t>
            </w:r>
          </w:p>
        </w:tc>
        <w:tc>
          <w:tcPr>
            <w:tcW w:type="dxa" w:w="7056"/>
            <w:tcMar>
              <w:top w:w="100" w:type="dxa"/>
              <w:start w:w="120" w:type="dxa"/>
              <w:bottom w:w="100" w:type="dxa"/>
              <w:end w:w="120" w:type="dxa"/>
            </w:tcMar>
          </w:tcPr>
          <w:p>
            <w:pPr>
              <w:spacing w:after="0"/>
            </w:pPr>
            <w:r>
              <w:rPr>
                <w:sz w:val="18"/>
              </w:rPr>
              <w:t>The current best explanation used to guide assessment and planning while remaining open to revision.</w:t>
            </w:r>
          </w:p>
        </w:tc>
      </w:tr>
      <w:tr>
        <w:trPr>
          <w:cantSplit/>
        </w:trPr>
        <w:tc>
          <w:tcPr>
            <w:tcW w:type="dxa" w:w="2880"/>
            <w:tcMar>
              <w:top w:w="100" w:type="dxa"/>
              <w:start w:w="120" w:type="dxa"/>
              <w:bottom w:w="100" w:type="dxa"/>
              <w:end w:w="120" w:type="dxa"/>
            </w:tcMar>
            <w:shd w:fill="F7F8FA"/>
          </w:tcPr>
          <w:p>
            <w:pPr>
              <w:spacing w:after="0"/>
            </w:pPr>
            <w:r>
              <w:rPr>
                <w:sz w:val="18"/>
              </w:rPr>
              <w:t>Provisional diagnosis</w:t>
            </w:r>
          </w:p>
        </w:tc>
        <w:tc>
          <w:tcPr>
            <w:tcW w:type="dxa" w:w="7056"/>
            <w:tcMar>
              <w:top w:w="100" w:type="dxa"/>
              <w:start w:w="120" w:type="dxa"/>
              <w:bottom w:w="100" w:type="dxa"/>
              <w:end w:w="120" w:type="dxa"/>
            </w:tcMar>
            <w:shd w:fill="F7F8FA"/>
          </w:tcPr>
          <w:p>
            <w:pPr>
              <w:spacing w:after="0"/>
            </w:pPr>
            <w:r>
              <w:rPr>
                <w:sz w:val="18"/>
              </w:rPr>
              <w:t>The pattern appears to fit, but important confirmation, duration, collateral, or exclusion information is pending.</w:t>
            </w:r>
          </w:p>
        </w:tc>
      </w:tr>
      <w:tr>
        <w:trPr>
          <w:cantSplit/>
        </w:trPr>
        <w:tc>
          <w:tcPr>
            <w:tcW w:type="dxa" w:w="2880"/>
            <w:tcMar>
              <w:top w:w="100" w:type="dxa"/>
              <w:start w:w="120" w:type="dxa"/>
              <w:bottom w:w="100" w:type="dxa"/>
              <w:end w:w="120" w:type="dxa"/>
            </w:tcMar>
          </w:tcPr>
          <w:p>
            <w:pPr>
              <w:spacing w:after="0"/>
            </w:pPr>
            <w:r>
              <w:rPr>
                <w:sz w:val="18"/>
              </w:rPr>
              <w:t>Differential diagnosis</w:t>
            </w:r>
          </w:p>
        </w:tc>
        <w:tc>
          <w:tcPr>
            <w:tcW w:type="dxa" w:w="7056"/>
            <w:tcMar>
              <w:top w:w="100" w:type="dxa"/>
              <w:start w:w="120" w:type="dxa"/>
              <w:bottom w:w="100" w:type="dxa"/>
              <w:end w:w="120" w:type="dxa"/>
            </w:tcMar>
          </w:tcPr>
          <w:p>
            <w:pPr>
              <w:spacing w:after="0"/>
            </w:pPr>
            <w:r>
              <w:rPr>
                <w:sz w:val="18"/>
              </w:rPr>
              <w:t>A focused comparison of plausible diagnoses and the evidence needed to distinguish them.</w:t>
            </w:r>
          </w:p>
        </w:tc>
      </w:tr>
      <w:tr>
        <w:trPr>
          <w:cantSplit/>
        </w:trPr>
        <w:tc>
          <w:tcPr>
            <w:tcW w:type="dxa" w:w="2880"/>
            <w:tcMar>
              <w:top w:w="100" w:type="dxa"/>
              <w:start w:w="120" w:type="dxa"/>
              <w:bottom w:w="100" w:type="dxa"/>
              <w:end w:w="120" w:type="dxa"/>
            </w:tcMar>
            <w:shd w:fill="F7F8FA"/>
          </w:tcPr>
          <w:p>
            <w:pPr>
              <w:spacing w:after="0"/>
            </w:pPr>
            <w:r>
              <w:rPr>
                <w:sz w:val="18"/>
              </w:rPr>
              <w:t>Rule-out consideration</w:t>
            </w:r>
          </w:p>
        </w:tc>
        <w:tc>
          <w:tcPr>
            <w:tcW w:type="dxa" w:w="7056"/>
            <w:tcMar>
              <w:top w:w="100" w:type="dxa"/>
              <w:start w:w="120" w:type="dxa"/>
              <w:bottom w:w="100" w:type="dxa"/>
              <w:end w:w="120" w:type="dxa"/>
            </w:tcMar>
            <w:shd w:fill="F7F8FA"/>
          </w:tcPr>
          <w:p>
            <w:pPr>
              <w:spacing w:after="0"/>
            </w:pPr>
            <w:r>
              <w:rPr>
                <w:sz w:val="18"/>
              </w:rPr>
              <w:t>A possibility remains clinically important but is not adequately supported yet.</w:t>
            </w:r>
          </w:p>
        </w:tc>
      </w:tr>
      <w:tr>
        <w:trPr>
          <w:cantSplit/>
        </w:trPr>
        <w:tc>
          <w:tcPr>
            <w:tcW w:type="dxa" w:w="2880"/>
            <w:tcMar>
              <w:top w:w="100" w:type="dxa"/>
              <w:start w:w="120" w:type="dxa"/>
              <w:bottom w:w="100" w:type="dxa"/>
              <w:end w:w="120" w:type="dxa"/>
            </w:tcMar>
          </w:tcPr>
          <w:p>
            <w:pPr>
              <w:spacing w:after="0"/>
            </w:pPr>
            <w:r>
              <w:rPr>
                <w:sz w:val="18"/>
              </w:rPr>
              <w:t>Contextual or relational condition</w:t>
            </w:r>
          </w:p>
        </w:tc>
        <w:tc>
          <w:tcPr>
            <w:tcW w:type="dxa" w:w="7056"/>
            <w:tcMar>
              <w:top w:w="100" w:type="dxa"/>
              <w:start w:w="120" w:type="dxa"/>
              <w:bottom w:w="100" w:type="dxa"/>
              <w:end w:w="120" w:type="dxa"/>
            </w:tcMar>
          </w:tcPr>
          <w:p>
            <w:pPr>
              <w:spacing w:after="0"/>
            </w:pPr>
            <w:r>
              <w:rPr>
                <w:sz w:val="18"/>
              </w:rPr>
              <w:t>A significant environmental, relational, educational, occupational, housing, or access problem may be a legitimate focus of service.</w:t>
            </w:r>
          </w:p>
        </w:tc>
      </w:tr>
      <w:tr>
        <w:trPr>
          <w:cantSplit/>
        </w:trPr>
        <w:tc>
          <w:tcPr>
            <w:tcW w:type="dxa" w:w="2880"/>
            <w:tcMar>
              <w:top w:w="100" w:type="dxa"/>
              <w:start w:w="120" w:type="dxa"/>
              <w:bottom w:w="100" w:type="dxa"/>
              <w:end w:w="120" w:type="dxa"/>
            </w:tcMar>
            <w:shd w:fill="F7F8FA"/>
          </w:tcPr>
          <w:p>
            <w:pPr>
              <w:spacing w:after="0"/>
            </w:pPr>
            <w:r>
              <w:rPr>
                <w:sz w:val="18"/>
              </w:rPr>
              <w:t>Co-occurring conditions</w:t>
            </w:r>
          </w:p>
        </w:tc>
        <w:tc>
          <w:tcPr>
            <w:tcW w:type="dxa" w:w="7056"/>
            <w:tcMar>
              <w:top w:w="100" w:type="dxa"/>
              <w:start w:w="120" w:type="dxa"/>
              <w:bottom w:w="100" w:type="dxa"/>
              <w:end w:w="120" w:type="dxa"/>
            </w:tcMar>
            <w:shd w:fill="F7F8FA"/>
          </w:tcPr>
          <w:p>
            <w:pPr>
              <w:spacing w:after="0"/>
            </w:pPr>
            <w:r>
              <w:rPr>
                <w:sz w:val="18"/>
              </w:rPr>
              <w:t>Two or more supported disorders or conditions may require integrated planning; overlapping symptoms should not be double-counted.</w:t>
            </w:r>
          </w:p>
        </w:tc>
      </w:tr>
    </w:tbl>
    <w:p>
      <w:pPr>
        <w:spacing w:after="0"/>
      </w:pPr>
    </w:p>
    <w:p>
      <w:pPr>
        <w:pStyle w:val="Heading1"/>
      </w:pPr>
      <w:r>
        <w:t>3. Pattern, Threshold, Function, and Chronology</w:t>
      </w:r>
    </w:p>
    <w:tbl>
      <w:tblPr>
        <w:tblStyle w:val="TableGrid"/>
        <w:tblW w:type="auto" w:w="0"/>
        <w:jc w:val="center"/>
        <w:tblLayout w:type="fixed"/>
        <w:tblLook w:firstColumn="1" w:firstRow="1" w:lastColumn="0" w:lastRow="0" w:noHBand="0" w:noVBand="1" w:val="04A0"/>
      </w:tblPr>
      <w:tblGrid>
        <w:gridCol w:w="2520"/>
        <w:gridCol w:w="7416"/>
      </w:tblGrid>
      <w:tr>
        <w:trPr>
          <w:tblHeader w:val="true"/>
          <w:cantSplit/>
        </w:trPr>
        <w:tc>
          <w:tcPr>
            <w:tcW w:type="dxa" w:w="5040"/>
            <w:shd w:fill="17365D"/>
            <w:tcMar>
              <w:top w:w="100" w:type="dxa"/>
              <w:start w:w="120" w:type="dxa"/>
              <w:bottom w:w="100" w:type="dxa"/>
              <w:end w:w="120" w:type="dxa"/>
            </w:tcMar>
          </w:tcPr>
          <w:p>
            <w:pPr>
              <w:spacing w:after="0"/>
            </w:pPr>
            <w:r>
              <w:rPr>
                <w:b/>
                <w:color w:val="FFFFFF"/>
                <w:sz w:val="18"/>
              </w:rPr>
              <w:t>Element</w:t>
            </w:r>
          </w:p>
        </w:tc>
        <w:tc>
          <w:tcPr>
            <w:tcW w:type="dxa" w:w="5040"/>
            <w:shd w:fill="17365D"/>
            <w:tcMar>
              <w:top w:w="100" w:type="dxa"/>
              <w:start w:w="120" w:type="dxa"/>
              <w:bottom w:w="100" w:type="dxa"/>
              <w:end w:w="120" w:type="dxa"/>
            </w:tcMar>
          </w:tcPr>
          <w:p>
            <w:pPr>
              <w:spacing w:after="0"/>
            </w:pPr>
            <w:r>
              <w:rPr>
                <w:b/>
                <w:color w:val="FFFFFF"/>
                <w:sz w:val="18"/>
              </w:rPr>
              <w:t>Assessment Focus</w:t>
            </w:r>
          </w:p>
        </w:tc>
      </w:tr>
      <w:tr>
        <w:trPr>
          <w:cantSplit/>
        </w:trPr>
        <w:tc>
          <w:tcPr>
            <w:tcW w:type="dxa" w:w="2520"/>
            <w:tcMar>
              <w:top w:w="100" w:type="dxa"/>
              <w:start w:w="120" w:type="dxa"/>
              <w:bottom w:w="100" w:type="dxa"/>
              <w:end w:w="120" w:type="dxa"/>
            </w:tcMar>
          </w:tcPr>
          <w:p>
            <w:pPr>
              <w:spacing w:after="0"/>
            </w:pPr>
            <w:r>
              <w:rPr>
                <w:sz w:val="18"/>
              </w:rPr>
              <w:t>Pattern</w:t>
            </w:r>
          </w:p>
        </w:tc>
        <w:tc>
          <w:tcPr>
            <w:tcW w:type="dxa" w:w="7416"/>
            <w:tcMar>
              <w:top w:w="100" w:type="dxa"/>
              <w:start w:w="120" w:type="dxa"/>
              <w:bottom w:w="100" w:type="dxa"/>
              <w:end w:w="120" w:type="dxa"/>
            </w:tcMar>
          </w:tcPr>
          <w:p>
            <w:pPr>
              <w:spacing w:after="0"/>
            </w:pPr>
            <w:r>
              <w:rPr>
                <w:sz w:val="18"/>
              </w:rPr>
              <w:t>What symptoms belong together, and what alternative patterns could explain them?</w:t>
            </w:r>
          </w:p>
        </w:tc>
      </w:tr>
      <w:tr>
        <w:trPr>
          <w:cantSplit/>
        </w:trPr>
        <w:tc>
          <w:tcPr>
            <w:tcW w:type="dxa" w:w="2520"/>
            <w:tcMar>
              <w:top w:w="100" w:type="dxa"/>
              <w:start w:w="120" w:type="dxa"/>
              <w:bottom w:w="100" w:type="dxa"/>
              <w:end w:w="120" w:type="dxa"/>
            </w:tcMar>
            <w:shd w:fill="F7F8FA"/>
          </w:tcPr>
          <w:p>
            <w:pPr>
              <w:spacing w:after="0"/>
            </w:pPr>
            <w:r>
              <w:rPr>
                <w:sz w:val="18"/>
              </w:rPr>
              <w:t>Duration and episode course</w:t>
            </w:r>
          </w:p>
        </w:tc>
        <w:tc>
          <w:tcPr>
            <w:tcW w:type="dxa" w:w="7416"/>
            <w:tcMar>
              <w:top w:w="100" w:type="dxa"/>
              <w:start w:w="120" w:type="dxa"/>
              <w:bottom w:w="100" w:type="dxa"/>
              <w:end w:w="120" w:type="dxa"/>
            </w:tcMar>
            <w:shd w:fill="F7F8FA"/>
          </w:tcPr>
          <w:p>
            <w:pPr>
              <w:spacing w:after="0"/>
            </w:pPr>
            <w:r>
              <w:rPr>
                <w:sz w:val="18"/>
              </w:rPr>
              <w:t>Is the presentation chronic, episodic, situational, progressive, or linked to specific triggers?</w:t>
            </w:r>
          </w:p>
        </w:tc>
      </w:tr>
      <w:tr>
        <w:trPr>
          <w:cantSplit/>
        </w:trPr>
        <w:tc>
          <w:tcPr>
            <w:tcW w:type="dxa" w:w="2520"/>
            <w:tcMar>
              <w:top w:w="100" w:type="dxa"/>
              <w:start w:w="120" w:type="dxa"/>
              <w:bottom w:w="100" w:type="dxa"/>
              <w:end w:w="120" w:type="dxa"/>
            </w:tcMar>
          </w:tcPr>
          <w:p>
            <w:pPr>
              <w:spacing w:after="0"/>
            </w:pPr>
            <w:r>
              <w:rPr>
                <w:sz w:val="18"/>
              </w:rPr>
              <w:t>Severity and distress</w:t>
            </w:r>
          </w:p>
        </w:tc>
        <w:tc>
          <w:tcPr>
            <w:tcW w:type="dxa" w:w="7416"/>
            <w:tcMar>
              <w:top w:w="100" w:type="dxa"/>
              <w:start w:w="120" w:type="dxa"/>
              <w:bottom w:w="100" w:type="dxa"/>
              <w:end w:w="120" w:type="dxa"/>
            </w:tcMar>
          </w:tcPr>
          <w:p>
            <w:pPr>
              <w:spacing w:after="0"/>
            </w:pPr>
            <w:r>
              <w:rPr>
                <w:sz w:val="18"/>
              </w:rPr>
              <w:t>How intense is the presentation, and how does the client experience it?</w:t>
            </w:r>
          </w:p>
        </w:tc>
      </w:tr>
      <w:tr>
        <w:trPr>
          <w:cantSplit/>
        </w:trPr>
        <w:tc>
          <w:tcPr>
            <w:tcW w:type="dxa" w:w="2520"/>
            <w:tcMar>
              <w:top w:w="100" w:type="dxa"/>
              <w:start w:w="120" w:type="dxa"/>
              <w:bottom w:w="100" w:type="dxa"/>
              <w:end w:w="120" w:type="dxa"/>
            </w:tcMar>
            <w:shd w:fill="F7F8FA"/>
          </w:tcPr>
          <w:p>
            <w:pPr>
              <w:spacing w:after="0"/>
            </w:pPr>
            <w:r>
              <w:rPr>
                <w:sz w:val="18"/>
              </w:rPr>
              <w:t>Functional impact</w:t>
            </w:r>
          </w:p>
        </w:tc>
        <w:tc>
          <w:tcPr>
            <w:tcW w:type="dxa" w:w="7416"/>
            <w:tcMar>
              <w:top w:w="100" w:type="dxa"/>
              <w:start w:w="120" w:type="dxa"/>
              <w:bottom w:w="100" w:type="dxa"/>
              <w:end w:w="120" w:type="dxa"/>
            </w:tcMar>
            <w:shd w:fill="F7F8FA"/>
          </w:tcPr>
          <w:p>
            <w:pPr>
              <w:spacing w:after="0"/>
            </w:pPr>
            <w:r>
              <w:rPr>
                <w:sz w:val="18"/>
              </w:rPr>
              <w:t>What changed in self-care, relationships, parenting, school, work, housing, health care, finances, or community life?</w:t>
            </w:r>
          </w:p>
        </w:tc>
      </w:tr>
      <w:tr>
        <w:trPr>
          <w:cantSplit/>
        </w:trPr>
        <w:tc>
          <w:tcPr>
            <w:tcW w:type="dxa" w:w="2520"/>
            <w:tcMar>
              <w:top w:w="100" w:type="dxa"/>
              <w:start w:w="120" w:type="dxa"/>
              <w:bottom w:w="100" w:type="dxa"/>
              <w:end w:w="120" w:type="dxa"/>
            </w:tcMar>
          </w:tcPr>
          <w:p>
            <w:pPr>
              <w:spacing w:after="0"/>
            </w:pPr>
            <w:r>
              <w:rPr>
                <w:sz w:val="18"/>
              </w:rPr>
              <w:t>Baseline</w:t>
            </w:r>
          </w:p>
        </w:tc>
        <w:tc>
          <w:tcPr>
            <w:tcW w:type="dxa" w:w="7416"/>
            <w:tcMar>
              <w:top w:w="100" w:type="dxa"/>
              <w:start w:w="120" w:type="dxa"/>
              <w:bottom w:w="100" w:type="dxa"/>
              <w:end w:w="120" w:type="dxa"/>
            </w:tcMar>
          </w:tcPr>
          <w:p>
            <w:pPr>
              <w:spacing w:after="0"/>
            </w:pPr>
            <w:r>
              <w:rPr>
                <w:sz w:val="18"/>
              </w:rPr>
              <w:t>Is this a new departure, a recurring episode, or a longstanding pattern?</w:t>
            </w:r>
          </w:p>
        </w:tc>
      </w:tr>
      <w:tr>
        <w:trPr>
          <w:cantSplit/>
        </w:trPr>
        <w:tc>
          <w:tcPr>
            <w:tcW w:type="dxa" w:w="2520"/>
            <w:tcMar>
              <w:top w:w="100" w:type="dxa"/>
              <w:start w:w="120" w:type="dxa"/>
              <w:bottom w:w="100" w:type="dxa"/>
              <w:end w:w="120" w:type="dxa"/>
            </w:tcMar>
            <w:shd w:fill="F7F8FA"/>
          </w:tcPr>
          <w:p>
            <w:pPr>
              <w:spacing w:after="0"/>
            </w:pPr>
            <w:r>
              <w:rPr>
                <w:sz w:val="18"/>
              </w:rPr>
              <w:t>Chronology of contributors</w:t>
            </w:r>
          </w:p>
        </w:tc>
        <w:tc>
          <w:tcPr>
            <w:tcW w:type="dxa" w:w="7416"/>
            <w:tcMar>
              <w:top w:w="100" w:type="dxa"/>
              <w:start w:w="120" w:type="dxa"/>
              <w:bottom w:w="100" w:type="dxa"/>
              <w:end w:w="120" w:type="dxa"/>
            </w:tcMar>
            <w:shd w:fill="F7F8FA"/>
          </w:tcPr>
          <w:p>
            <w:pPr>
              <w:spacing w:after="0"/>
            </w:pPr>
            <w:r>
              <w:rPr>
                <w:sz w:val="18"/>
              </w:rPr>
              <w:t>Did symptoms precede or follow illness, injury, medication change, substance use, withdrawal, sleep loss, trauma, loss, or environmental disruption?</w:t>
            </w:r>
          </w:p>
        </w:tc>
      </w:tr>
    </w:tbl>
    <w:p>
      <w:pPr>
        <w:spacing w:after="0"/>
      </w:pPr>
    </w:p>
    <w:tbl>
      <w:tblPr>
        <w:tblW w:type="auto" w:w="0"/>
        <w:jc w:val="center"/>
        <w:tblLayout w:type="fixed"/>
        <w:tblLook w:firstColumn="1" w:firstRow="1" w:lastColumn="0" w:lastRow="0" w:noHBand="0" w:noVBand="1" w:val="04A0"/>
      </w:tblPr>
      <w:tblGrid>
        <w:gridCol w:w="9936"/>
      </w:tblGrid>
      <w:tr>
        <w:trPr>
          <w:cantSplit/>
        </w:trPr>
        <w:tc>
          <w:tcPr>
            <w:tcW w:type="dxa" w:w="10080"/>
            <w:shd w:fill="E7F5F4"/>
            <w:tcMar>
              <w:top w:w="160" w:type="dxa"/>
              <w:start w:w="180" w:type="dxa"/>
              <w:bottom w:w="160" w:type="dxa"/>
              <w:end w:w="180" w:type="dxa"/>
            </w:tcMar>
            <w:vAlign w:val="center"/>
          </w:tcPr>
          <w:p>
            <w:pPr>
              <w:spacing w:after="80"/>
            </w:pPr>
            <w:r>
              <w:rPr>
                <w:b/>
                <w:i w:val="0"/>
                <w:color w:val="0F7C82"/>
              </w:rPr>
              <w:t>Chronology Rule</w:t>
            </w:r>
          </w:p>
          <w:p>
            <w:pPr>
              <w:spacing w:after="0"/>
            </w:pPr>
            <w:r>
              <w:t>When primary psychiatric, substance-induced, medication-related, medical, grief-related, trauma-related, and environmental explanations overlap, timing is often the highest-value discriminator.</w:t>
            </w:r>
          </w:p>
        </w:tc>
      </w:tr>
    </w:tbl>
    <w:p>
      <w:pPr>
        <w:spacing w:after="0"/>
      </w:pPr>
    </w:p>
    <w:p>
      <w:pPr>
        <w:pStyle w:val="Heading1"/>
      </w:pPr>
      <w:r>
        <w:t>4. Medical and Neurological Factors</w:t>
      </w:r>
    </w:p>
    <w:p>
      <w:r>
        <w:rPr>
          <w:i w:val="0"/>
        </w:rPr>
        <w:t>The exam does not expect the LCSW to practice medicine. It expects recognition of possible medical contribution, urgency, scope, and appropriate collaboration. New or rapidly changing cognition, consciousness, speech, movement, perception, sleep, mood, or functioning warrants attention to health and neurologic factors.</w:t>
      </w:r>
    </w:p>
    <w:tbl>
      <w:tblPr>
        <w:tblStyle w:val="TableGrid"/>
        <w:tblW w:type="auto" w:w="0"/>
        <w:jc w:val="center"/>
        <w:tblLayout w:type="fixed"/>
        <w:tblLook w:firstColumn="1" w:firstRow="1" w:lastColumn="0" w:lastRow="0" w:noHBand="0" w:noVBand="1" w:val="04A0"/>
      </w:tblPr>
      <w:tblGrid>
        <w:gridCol w:w="2304"/>
        <w:gridCol w:w="5112"/>
        <w:gridCol w:w="2520"/>
      </w:tblGrid>
      <w:tr>
        <w:trPr>
          <w:tblHeader w:val="true"/>
          <w:cantSplit/>
        </w:trPr>
        <w:tc>
          <w:tcPr>
            <w:tcW w:type="dxa" w:w="3360"/>
            <w:shd w:fill="17365D"/>
            <w:tcMar>
              <w:top w:w="100" w:type="dxa"/>
              <w:start w:w="120" w:type="dxa"/>
              <w:bottom w:w="100" w:type="dxa"/>
              <w:end w:w="120" w:type="dxa"/>
            </w:tcMar>
          </w:tcPr>
          <w:p>
            <w:pPr>
              <w:spacing w:after="0"/>
            </w:pPr>
            <w:r>
              <w:rPr>
                <w:b/>
                <w:color w:val="FFFFFF"/>
                <w:sz w:val="17"/>
              </w:rPr>
              <w:t>Pattern</w:t>
            </w:r>
          </w:p>
        </w:tc>
        <w:tc>
          <w:tcPr>
            <w:tcW w:type="dxa" w:w="3360"/>
            <w:shd w:fill="17365D"/>
            <w:tcMar>
              <w:top w:w="100" w:type="dxa"/>
              <w:start w:w="120" w:type="dxa"/>
              <w:bottom w:w="100" w:type="dxa"/>
              <w:end w:w="120" w:type="dxa"/>
            </w:tcMar>
          </w:tcPr>
          <w:p>
            <w:pPr>
              <w:spacing w:after="0"/>
            </w:pPr>
            <w:r>
              <w:rPr>
                <w:b/>
                <w:color w:val="FFFFFF"/>
                <w:sz w:val="17"/>
              </w:rPr>
              <w:t>Illustrative Indicators</w:t>
            </w:r>
          </w:p>
        </w:tc>
        <w:tc>
          <w:tcPr>
            <w:tcW w:type="dxa" w:w="3360"/>
            <w:shd w:fill="17365D"/>
            <w:tcMar>
              <w:top w:w="100" w:type="dxa"/>
              <w:start w:w="120" w:type="dxa"/>
              <w:bottom w:w="100" w:type="dxa"/>
              <w:end w:w="120" w:type="dxa"/>
            </w:tcMar>
          </w:tcPr>
          <w:p>
            <w:pPr>
              <w:spacing w:after="0"/>
            </w:pPr>
            <w:r>
              <w:rPr>
                <w:b/>
                <w:color w:val="FFFFFF"/>
                <w:sz w:val="17"/>
              </w:rPr>
              <w:t>Best Direction</w:t>
            </w:r>
          </w:p>
        </w:tc>
      </w:tr>
      <w:tr>
        <w:trPr>
          <w:cantSplit/>
        </w:trPr>
        <w:tc>
          <w:tcPr>
            <w:tcW w:type="dxa" w:w="2304"/>
            <w:tcMar>
              <w:top w:w="100" w:type="dxa"/>
              <w:start w:w="120" w:type="dxa"/>
              <w:bottom w:w="100" w:type="dxa"/>
              <w:end w:w="120" w:type="dxa"/>
            </w:tcMar>
          </w:tcPr>
          <w:p>
            <w:pPr>
              <w:spacing w:after="0"/>
            </w:pPr>
            <w:r>
              <w:rPr>
                <w:sz w:val="17"/>
              </w:rPr>
              <w:t>Possible medical or neurologic change</w:t>
            </w:r>
          </w:p>
        </w:tc>
        <w:tc>
          <w:tcPr>
            <w:tcW w:type="dxa" w:w="5112"/>
            <w:tcMar>
              <w:top w:w="100" w:type="dxa"/>
              <w:start w:w="120" w:type="dxa"/>
              <w:bottom w:w="100" w:type="dxa"/>
              <w:end w:w="120" w:type="dxa"/>
            </w:tcMar>
          </w:tcPr>
          <w:p>
            <w:pPr>
              <w:spacing w:after="0"/>
            </w:pPr>
            <w:r>
              <w:rPr>
                <w:sz w:val="17"/>
              </w:rPr>
              <w:t>New confusion, fluctuating alertness, seizure, head injury, sudden weakness or speech change, severe headache, fever with behavioral change, falls, or rapid decline.</w:t>
            </w:r>
          </w:p>
        </w:tc>
        <w:tc>
          <w:tcPr>
            <w:tcW w:type="dxa" w:w="2520"/>
            <w:tcMar>
              <w:top w:w="100" w:type="dxa"/>
              <w:start w:w="120" w:type="dxa"/>
              <w:bottom w:w="100" w:type="dxa"/>
              <w:end w:w="120" w:type="dxa"/>
            </w:tcMar>
          </w:tcPr>
          <w:p>
            <w:pPr>
              <w:spacing w:after="0"/>
            </w:pPr>
            <w:r>
              <w:rPr>
                <w:sz w:val="17"/>
              </w:rPr>
              <w:t>Urgent or emergency medical evaluation depending on severity.</w:t>
            </w:r>
          </w:p>
        </w:tc>
      </w:tr>
      <w:tr>
        <w:trPr>
          <w:cantSplit/>
        </w:trPr>
        <w:tc>
          <w:tcPr>
            <w:tcW w:type="dxa" w:w="2304"/>
            <w:tcMar>
              <w:top w:w="100" w:type="dxa"/>
              <w:start w:w="120" w:type="dxa"/>
              <w:bottom w:w="100" w:type="dxa"/>
              <w:end w:w="120" w:type="dxa"/>
            </w:tcMar>
            <w:shd w:fill="F7F8FA"/>
          </w:tcPr>
          <w:p>
            <w:pPr>
              <w:spacing w:after="0"/>
            </w:pPr>
            <w:r>
              <w:rPr>
                <w:sz w:val="17"/>
              </w:rPr>
              <w:t>Possible medication problem</w:t>
            </w:r>
          </w:p>
        </w:tc>
        <w:tc>
          <w:tcPr>
            <w:tcW w:type="dxa" w:w="5112"/>
            <w:tcMar>
              <w:top w:w="100" w:type="dxa"/>
              <w:start w:w="120" w:type="dxa"/>
              <w:bottom w:w="100" w:type="dxa"/>
              <w:end w:w="120" w:type="dxa"/>
            </w:tcMar>
            <w:shd w:fill="F7F8FA"/>
          </w:tcPr>
          <w:p>
            <w:pPr>
              <w:spacing w:after="0"/>
            </w:pPr>
            <w:r>
              <w:rPr>
                <w:sz w:val="17"/>
              </w:rPr>
              <w:t>New severe sedation, agitation, tremor, rigidity, rash, falls, slurred speech, restlessness, or symptoms after a medication change.</w:t>
            </w:r>
          </w:p>
        </w:tc>
        <w:tc>
          <w:tcPr>
            <w:tcW w:type="dxa" w:w="2520"/>
            <w:tcMar>
              <w:top w:w="100" w:type="dxa"/>
              <w:start w:w="120" w:type="dxa"/>
              <w:bottom w:w="100" w:type="dxa"/>
              <w:end w:w="120" w:type="dxa"/>
            </w:tcMar>
            <w:shd w:fill="F7F8FA"/>
          </w:tcPr>
          <w:p>
            <w:pPr>
              <w:spacing w:after="0"/>
            </w:pPr>
            <w:r>
              <w:rPr>
                <w:sz w:val="17"/>
              </w:rPr>
              <w:t>Prompt prescriber or medical evaluation; emergency response for severe signs.</w:t>
            </w:r>
          </w:p>
        </w:tc>
      </w:tr>
      <w:tr>
        <w:trPr>
          <w:cantSplit/>
        </w:trPr>
        <w:tc>
          <w:tcPr>
            <w:tcW w:type="dxa" w:w="2304"/>
            <w:tcMar>
              <w:top w:w="100" w:type="dxa"/>
              <w:start w:w="120" w:type="dxa"/>
              <w:bottom w:w="100" w:type="dxa"/>
              <w:end w:w="120" w:type="dxa"/>
            </w:tcMar>
          </w:tcPr>
          <w:p>
            <w:pPr>
              <w:spacing w:after="0"/>
            </w:pPr>
            <w:r>
              <w:rPr>
                <w:sz w:val="17"/>
              </w:rPr>
              <w:t>Possible intoxication or overdose</w:t>
            </w:r>
          </w:p>
        </w:tc>
        <w:tc>
          <w:tcPr>
            <w:tcW w:type="dxa" w:w="5112"/>
            <w:tcMar>
              <w:top w:w="100" w:type="dxa"/>
              <w:start w:w="120" w:type="dxa"/>
              <w:bottom w:w="100" w:type="dxa"/>
              <w:end w:w="120" w:type="dxa"/>
            </w:tcMar>
          </w:tcPr>
          <w:p>
            <w:pPr>
              <w:spacing w:after="0"/>
            </w:pPr>
            <w:r>
              <w:rPr>
                <w:sz w:val="17"/>
              </w:rPr>
              <w:t>Altered consciousness, slowed or irregular breathing, severe agitation, chest pain, overheating, repeated vomiting, collapse, or inability to remain awake.</w:t>
            </w:r>
          </w:p>
        </w:tc>
        <w:tc>
          <w:tcPr>
            <w:tcW w:type="dxa" w:w="2520"/>
            <w:tcMar>
              <w:top w:w="100" w:type="dxa"/>
              <w:start w:w="120" w:type="dxa"/>
              <w:bottom w:w="100" w:type="dxa"/>
              <w:end w:w="120" w:type="dxa"/>
            </w:tcMar>
          </w:tcPr>
          <w:p>
            <w:pPr>
              <w:spacing w:after="0"/>
            </w:pPr>
            <w:r>
              <w:rPr>
                <w:sz w:val="17"/>
              </w:rPr>
              <w:t>Emergency response before routine psychotherapy or diagnostic assessment.</w:t>
            </w:r>
          </w:p>
        </w:tc>
      </w:tr>
      <w:tr>
        <w:trPr>
          <w:cantSplit/>
        </w:trPr>
        <w:tc>
          <w:tcPr>
            <w:tcW w:type="dxa" w:w="2304"/>
            <w:tcMar>
              <w:top w:w="100" w:type="dxa"/>
              <w:start w:w="120" w:type="dxa"/>
              <w:bottom w:w="100" w:type="dxa"/>
              <w:end w:w="120" w:type="dxa"/>
            </w:tcMar>
            <w:shd w:fill="F7F8FA"/>
          </w:tcPr>
          <w:p>
            <w:pPr>
              <w:spacing w:after="0"/>
            </w:pPr>
            <w:r>
              <w:rPr>
                <w:sz w:val="17"/>
              </w:rPr>
              <w:t>Persistent but nonacute concern</w:t>
            </w:r>
          </w:p>
        </w:tc>
        <w:tc>
          <w:tcPr>
            <w:tcW w:type="dxa" w:w="5112"/>
            <w:tcMar>
              <w:top w:w="100" w:type="dxa"/>
              <w:start w:w="120" w:type="dxa"/>
              <w:bottom w:w="100" w:type="dxa"/>
              <w:end w:w="120" w:type="dxa"/>
            </w:tcMar>
            <w:shd w:fill="F7F8FA"/>
          </w:tcPr>
          <w:p>
            <w:pPr>
              <w:spacing w:after="0"/>
            </w:pPr>
            <w:r>
              <w:rPr>
                <w:sz w:val="17"/>
              </w:rPr>
              <w:t>Ongoing cognitive, physical, sleep, pain, or functional changes without immediate danger.</w:t>
            </w:r>
          </w:p>
        </w:tc>
        <w:tc>
          <w:tcPr>
            <w:tcW w:type="dxa" w:w="2520"/>
            <w:tcMar>
              <w:top w:w="100" w:type="dxa"/>
              <w:start w:w="120" w:type="dxa"/>
              <w:bottom w:w="100" w:type="dxa"/>
              <w:end w:w="120" w:type="dxa"/>
            </w:tcMar>
            <w:shd w:fill="F7F8FA"/>
          </w:tcPr>
          <w:p>
            <w:pPr>
              <w:spacing w:after="0"/>
            </w:pPr>
            <w:r>
              <w:rPr>
                <w:sz w:val="17"/>
              </w:rPr>
              <w:t>Coordinate primary care, psychiatric, neurologic, or other evaluation with follow-up.</w:t>
            </w:r>
          </w:p>
        </w:tc>
      </w:tr>
    </w:tbl>
    <w:p>
      <w:pPr>
        <w:spacing w:after="0"/>
      </w:pPr>
    </w:p>
    <w:p>
      <w:pPr>
        <w:pStyle w:val="Heading1"/>
      </w:pPr>
      <w:r>
        <w:t>5. Medication Reasoning and Psychopharmacology</w:t>
      </w:r>
    </w:p>
    <w:p>
      <w:r>
        <w:rPr>
          <w:i w:val="0"/>
        </w:rPr>
        <w:t>The social worker’s role includes obtaining an accurate medication history, recognizing possible effects, supporting informed communication and adherence, and coordinating care with appropriate authorization. The social worker does not prescribe, independently change doses, recommend abrupt discontinuation, or guarantee that a medication caused a symptom.</w:t>
      </w:r>
    </w:p>
    <w:tbl>
      <w:tblPr>
        <w:tblStyle w:val="TableGrid"/>
        <w:tblW w:type="auto" w:w="0"/>
        <w:jc w:val="center"/>
        <w:tblLayout w:type="fixed"/>
        <w:tblLook w:firstColumn="1" w:firstRow="1" w:lastColumn="0" w:lastRow="0" w:noHBand="0" w:noVBand="1" w:val="04A0"/>
      </w:tblPr>
      <w:tblGrid>
        <w:gridCol w:w="2232"/>
        <w:gridCol w:w="3816"/>
        <w:gridCol w:w="3888"/>
      </w:tblGrid>
      <w:tr>
        <w:trPr>
          <w:tblHeader w:val="true"/>
          <w:cantSplit/>
        </w:trPr>
        <w:tc>
          <w:tcPr>
            <w:tcW w:type="dxa" w:w="3360"/>
            <w:shd w:fill="17365D"/>
            <w:tcMar>
              <w:top w:w="100" w:type="dxa"/>
              <w:start w:w="120" w:type="dxa"/>
              <w:bottom w:w="100" w:type="dxa"/>
              <w:end w:w="120" w:type="dxa"/>
            </w:tcMar>
          </w:tcPr>
          <w:p>
            <w:pPr>
              <w:spacing w:after="0"/>
            </w:pPr>
            <w:r>
              <w:rPr>
                <w:b/>
                <w:color w:val="FFFFFF"/>
                <w:sz w:val="16"/>
              </w:rPr>
              <w:t>Medication Group</w:t>
            </w:r>
          </w:p>
        </w:tc>
        <w:tc>
          <w:tcPr>
            <w:tcW w:type="dxa" w:w="3360"/>
            <w:shd w:fill="17365D"/>
            <w:tcMar>
              <w:top w:w="100" w:type="dxa"/>
              <w:start w:w="120" w:type="dxa"/>
              <w:bottom w:w="100" w:type="dxa"/>
              <w:end w:w="120" w:type="dxa"/>
            </w:tcMar>
          </w:tcPr>
          <w:p>
            <w:pPr>
              <w:spacing w:after="0"/>
            </w:pPr>
            <w:r>
              <w:rPr>
                <w:b/>
                <w:color w:val="FFFFFF"/>
                <w:sz w:val="16"/>
              </w:rPr>
              <w:t>Common Clinical Uses</w:t>
            </w:r>
          </w:p>
        </w:tc>
        <w:tc>
          <w:tcPr>
            <w:tcW w:type="dxa" w:w="3360"/>
            <w:shd w:fill="17365D"/>
            <w:tcMar>
              <w:top w:w="100" w:type="dxa"/>
              <w:start w:w="120" w:type="dxa"/>
              <w:bottom w:w="100" w:type="dxa"/>
              <w:end w:w="120" w:type="dxa"/>
            </w:tcMar>
          </w:tcPr>
          <w:p>
            <w:pPr>
              <w:spacing w:after="0"/>
            </w:pPr>
            <w:r>
              <w:rPr>
                <w:b/>
                <w:color w:val="FFFFFF"/>
                <w:sz w:val="16"/>
              </w:rPr>
              <w:t>Exam-Level Monitoring Themes</w:t>
            </w:r>
          </w:p>
        </w:tc>
      </w:tr>
      <w:tr>
        <w:trPr>
          <w:cantSplit/>
        </w:trPr>
        <w:tc>
          <w:tcPr>
            <w:tcW w:type="dxa" w:w="2232"/>
            <w:tcMar>
              <w:top w:w="100" w:type="dxa"/>
              <w:start w:w="120" w:type="dxa"/>
              <w:bottom w:w="100" w:type="dxa"/>
              <w:end w:w="120" w:type="dxa"/>
            </w:tcMar>
          </w:tcPr>
          <w:p>
            <w:pPr>
              <w:spacing w:after="0"/>
            </w:pPr>
            <w:r>
              <w:rPr>
                <w:sz w:val="16"/>
              </w:rPr>
              <w:t>Antidepressants</w:t>
            </w:r>
          </w:p>
        </w:tc>
        <w:tc>
          <w:tcPr>
            <w:tcW w:type="dxa" w:w="3816"/>
            <w:tcMar>
              <w:top w:w="100" w:type="dxa"/>
              <w:start w:w="120" w:type="dxa"/>
              <w:bottom w:w="100" w:type="dxa"/>
              <w:end w:w="120" w:type="dxa"/>
            </w:tcMar>
          </w:tcPr>
          <w:p>
            <w:pPr>
              <w:spacing w:after="0"/>
            </w:pPr>
            <w:r>
              <w:rPr>
                <w:sz w:val="16"/>
              </w:rPr>
              <w:t>Mood and anxiety symptoms and selected other conditions.</w:t>
            </w:r>
          </w:p>
        </w:tc>
        <w:tc>
          <w:tcPr>
            <w:tcW w:type="dxa" w:w="3888"/>
            <w:tcMar>
              <w:top w:w="100" w:type="dxa"/>
              <w:start w:w="120" w:type="dxa"/>
              <w:bottom w:w="100" w:type="dxa"/>
              <w:end w:w="120" w:type="dxa"/>
            </w:tcMar>
          </w:tcPr>
          <w:p>
            <w:pPr>
              <w:spacing w:after="0"/>
            </w:pPr>
            <w:r>
              <w:rPr>
                <w:sz w:val="16"/>
              </w:rPr>
              <w:t>Sleep change, activation or sedation, gastrointestinal symptoms, headache, sexual effects, and concerning mood or behavior changes.</w:t>
            </w:r>
          </w:p>
        </w:tc>
      </w:tr>
      <w:tr>
        <w:trPr>
          <w:cantSplit/>
        </w:trPr>
        <w:tc>
          <w:tcPr>
            <w:tcW w:type="dxa" w:w="2232"/>
            <w:tcMar>
              <w:top w:w="100" w:type="dxa"/>
              <w:start w:w="120" w:type="dxa"/>
              <w:bottom w:w="100" w:type="dxa"/>
              <w:end w:w="120" w:type="dxa"/>
            </w:tcMar>
            <w:shd w:fill="F7F8FA"/>
          </w:tcPr>
          <w:p>
            <w:pPr>
              <w:spacing w:after="0"/>
            </w:pPr>
            <w:r>
              <w:rPr>
                <w:sz w:val="16"/>
              </w:rPr>
              <w:t>Antipsychotics</w:t>
            </w:r>
          </w:p>
        </w:tc>
        <w:tc>
          <w:tcPr>
            <w:tcW w:type="dxa" w:w="3816"/>
            <w:tcMar>
              <w:top w:w="100" w:type="dxa"/>
              <w:start w:w="120" w:type="dxa"/>
              <w:bottom w:w="100" w:type="dxa"/>
              <w:end w:w="120" w:type="dxa"/>
            </w:tcMar>
            <w:shd w:fill="F7F8FA"/>
          </w:tcPr>
          <w:p>
            <w:pPr>
              <w:spacing w:after="0"/>
            </w:pPr>
            <w:r>
              <w:rPr>
                <w:sz w:val="16"/>
              </w:rPr>
              <w:t>Psychotic symptoms; some bipolar, depression-augmentation, or severe behavioral indications.</w:t>
            </w:r>
          </w:p>
        </w:tc>
        <w:tc>
          <w:tcPr>
            <w:tcW w:type="dxa" w:w="3888"/>
            <w:tcMar>
              <w:top w:w="100" w:type="dxa"/>
              <w:start w:w="120" w:type="dxa"/>
              <w:bottom w:w="100" w:type="dxa"/>
              <w:end w:w="120" w:type="dxa"/>
            </w:tcMar>
            <w:shd w:fill="F7F8FA"/>
          </w:tcPr>
          <w:p>
            <w:pPr>
              <w:spacing w:after="0"/>
            </w:pPr>
            <w:r>
              <w:rPr>
                <w:sz w:val="16"/>
              </w:rPr>
              <w:t>Sedation, metabolic effects, restlessness, stiffness or movement symptoms; sudden severe change requires prompt evaluation.</w:t>
            </w:r>
          </w:p>
        </w:tc>
      </w:tr>
      <w:tr>
        <w:trPr>
          <w:cantSplit/>
        </w:trPr>
        <w:tc>
          <w:tcPr>
            <w:tcW w:type="dxa" w:w="2232"/>
            <w:tcMar>
              <w:top w:w="100" w:type="dxa"/>
              <w:start w:w="120" w:type="dxa"/>
              <w:bottom w:w="100" w:type="dxa"/>
              <w:end w:w="120" w:type="dxa"/>
            </w:tcMar>
          </w:tcPr>
          <w:p>
            <w:pPr>
              <w:spacing w:after="0"/>
            </w:pPr>
            <w:r>
              <w:rPr>
                <w:sz w:val="16"/>
              </w:rPr>
              <w:t>Mood stabilizers / anticonvulsants</w:t>
            </w:r>
          </w:p>
        </w:tc>
        <w:tc>
          <w:tcPr>
            <w:tcW w:type="dxa" w:w="3816"/>
            <w:tcMar>
              <w:top w:w="100" w:type="dxa"/>
              <w:start w:w="120" w:type="dxa"/>
              <w:bottom w:w="100" w:type="dxa"/>
              <w:end w:w="120" w:type="dxa"/>
            </w:tcMar>
          </w:tcPr>
          <w:p>
            <w:pPr>
              <w:spacing w:after="0"/>
            </w:pPr>
            <w:r>
              <w:rPr>
                <w:sz w:val="16"/>
              </w:rPr>
              <w:t>Bipolar-spectrum symptoms, seizure disorders, and other psychiatric or medical uses.</w:t>
            </w:r>
          </w:p>
        </w:tc>
        <w:tc>
          <w:tcPr>
            <w:tcW w:type="dxa" w:w="3888"/>
            <w:tcMar>
              <w:top w:w="100" w:type="dxa"/>
              <w:start w:w="120" w:type="dxa"/>
              <w:bottom w:w="100" w:type="dxa"/>
              <w:end w:w="120" w:type="dxa"/>
            </w:tcMar>
          </w:tcPr>
          <w:p>
            <w:pPr>
              <w:spacing w:after="0"/>
            </w:pPr>
            <w:r>
              <w:rPr>
                <w:sz w:val="16"/>
              </w:rPr>
              <w:t>Sedation, dizziness, tremor, coordination or cognitive effects; some require medical laboratory monitoring.</w:t>
            </w:r>
          </w:p>
        </w:tc>
      </w:tr>
      <w:tr>
        <w:trPr>
          <w:cantSplit/>
        </w:trPr>
        <w:tc>
          <w:tcPr>
            <w:tcW w:type="dxa" w:w="2232"/>
            <w:tcMar>
              <w:top w:w="100" w:type="dxa"/>
              <w:start w:w="120" w:type="dxa"/>
              <w:bottom w:w="100" w:type="dxa"/>
              <w:end w:w="120" w:type="dxa"/>
            </w:tcMar>
            <w:shd w:fill="F7F8FA"/>
          </w:tcPr>
          <w:p>
            <w:pPr>
              <w:spacing w:after="0"/>
            </w:pPr>
            <w:r>
              <w:rPr>
                <w:sz w:val="16"/>
              </w:rPr>
              <w:t>Stimulants and nonstimulants</w:t>
            </w:r>
          </w:p>
        </w:tc>
        <w:tc>
          <w:tcPr>
            <w:tcW w:type="dxa" w:w="3816"/>
            <w:tcMar>
              <w:top w:w="100" w:type="dxa"/>
              <w:start w:w="120" w:type="dxa"/>
              <w:bottom w:w="100" w:type="dxa"/>
              <w:end w:w="120" w:type="dxa"/>
            </w:tcMar>
            <w:shd w:fill="F7F8FA"/>
          </w:tcPr>
          <w:p>
            <w:pPr>
              <w:spacing w:after="0"/>
            </w:pPr>
            <w:r>
              <w:rPr>
                <w:sz w:val="16"/>
              </w:rPr>
              <w:t>Attention-related symptoms and selected other conditions.</w:t>
            </w:r>
          </w:p>
        </w:tc>
        <w:tc>
          <w:tcPr>
            <w:tcW w:type="dxa" w:w="3888"/>
            <w:tcMar>
              <w:top w:w="100" w:type="dxa"/>
              <w:start w:w="120" w:type="dxa"/>
              <w:bottom w:w="100" w:type="dxa"/>
              <w:end w:w="120" w:type="dxa"/>
            </w:tcMar>
            <w:shd w:fill="F7F8FA"/>
          </w:tcPr>
          <w:p>
            <w:pPr>
              <w:spacing w:after="0"/>
            </w:pPr>
            <w:r>
              <w:rPr>
                <w:sz w:val="16"/>
              </w:rPr>
              <w:t>Sleep, appetite, blood-pressure or heart-rate concerns, activation, misuse risk, and symptom timing.</w:t>
            </w:r>
          </w:p>
        </w:tc>
      </w:tr>
      <w:tr>
        <w:trPr>
          <w:cantSplit/>
        </w:trPr>
        <w:tc>
          <w:tcPr>
            <w:tcW w:type="dxa" w:w="2232"/>
            <w:tcMar>
              <w:top w:w="100" w:type="dxa"/>
              <w:start w:w="120" w:type="dxa"/>
              <w:bottom w:w="100" w:type="dxa"/>
              <w:end w:w="120" w:type="dxa"/>
            </w:tcMar>
          </w:tcPr>
          <w:p>
            <w:pPr>
              <w:spacing w:after="0"/>
            </w:pPr>
            <w:r>
              <w:rPr>
                <w:sz w:val="16"/>
              </w:rPr>
              <w:t>Sedative-hypnotic / anti-anxiety agents</w:t>
            </w:r>
          </w:p>
        </w:tc>
        <w:tc>
          <w:tcPr>
            <w:tcW w:type="dxa" w:w="3816"/>
            <w:tcMar>
              <w:top w:w="100" w:type="dxa"/>
              <w:start w:w="120" w:type="dxa"/>
              <w:bottom w:w="100" w:type="dxa"/>
              <w:end w:w="120" w:type="dxa"/>
            </w:tcMar>
          </w:tcPr>
          <w:p>
            <w:pPr>
              <w:spacing w:after="0"/>
            </w:pPr>
            <w:r>
              <w:rPr>
                <w:sz w:val="16"/>
              </w:rPr>
              <w:t>Acute anxiety, sleep, and other indications depending on medication.</w:t>
            </w:r>
          </w:p>
        </w:tc>
        <w:tc>
          <w:tcPr>
            <w:tcW w:type="dxa" w:w="3888"/>
            <w:tcMar>
              <w:top w:w="100" w:type="dxa"/>
              <w:start w:w="120" w:type="dxa"/>
              <w:bottom w:w="100" w:type="dxa"/>
              <w:end w:w="120" w:type="dxa"/>
            </w:tcMar>
          </w:tcPr>
          <w:p>
            <w:pPr>
              <w:spacing w:after="0"/>
            </w:pPr>
            <w:r>
              <w:rPr>
                <w:sz w:val="16"/>
              </w:rPr>
              <w:t>Sedation, falls, impaired driving, interaction risk, tolerance, dependence, and withdrawal concerns.</w:t>
            </w:r>
          </w:p>
        </w:tc>
      </w:tr>
    </w:tbl>
    <w:p>
      <w:pPr>
        <w:spacing w:after="0"/>
      </w:pPr>
    </w:p>
    <w:tbl>
      <w:tblPr>
        <w:tblW w:type="auto" w:w="0"/>
        <w:jc w:val="center"/>
        <w:tblLayout w:type="fixed"/>
        <w:tblLook w:firstColumn="1" w:firstRow="1" w:lastColumn="0" w:lastRow="0" w:noHBand="0" w:noVBand="1" w:val="04A0"/>
      </w:tblPr>
      <w:tblGrid>
        <w:gridCol w:w="9936"/>
      </w:tblGrid>
      <w:tr>
        <w:trPr>
          <w:cantSplit/>
        </w:trPr>
        <w:tc>
          <w:tcPr>
            <w:tcW w:type="dxa" w:w="10080"/>
            <w:shd w:fill="EAF3F8"/>
            <w:tcMar>
              <w:top w:w="160" w:type="dxa"/>
              <w:start w:w="180" w:type="dxa"/>
              <w:bottom w:w="160" w:type="dxa"/>
              <w:end w:w="180" w:type="dxa"/>
            </w:tcMar>
            <w:vAlign w:val="center"/>
          </w:tcPr>
          <w:p>
            <w:pPr>
              <w:spacing w:after="80"/>
            </w:pPr>
            <w:r>
              <w:rPr>
                <w:b/>
                <w:i w:val="0"/>
                <w:color w:val="1F4E78"/>
              </w:rPr>
              <w:t>Medication Scope Rule</w:t>
            </w:r>
          </w:p>
          <w:p>
            <w:pPr>
              <w:spacing w:after="0"/>
            </w:pPr>
            <w:r>
              <w:t>Assess the symptom and timing, determine urgency, encourage prescriber communication, coordinate with authorization, and follow up. Do not tell the client to stop, restart, increase, decrease, or substitute medication.</w:t>
            </w:r>
          </w:p>
        </w:tc>
      </w:tr>
    </w:tbl>
    <w:p>
      <w:pPr>
        <w:spacing w:after="0"/>
      </w:pPr>
    </w:p>
    <w:p>
      <w:pPr>
        <w:pStyle w:val="Heading1"/>
      </w:pPr>
      <w:r>
        <w:t>6. Medication Reconciliation and Adherence Barriers</w:t>
      </w:r>
    </w:p>
    <w:p>
      <w:pPr>
        <w:pStyle w:val="ListBullet"/>
      </w:pPr>
      <w:r>
        <w:t>List prescription medications, over-the-counter products, supplements, as-needed medications, and substances used for symptom relief.</w:t>
      </w:r>
    </w:p>
    <w:p>
      <w:pPr>
        <w:pStyle w:val="ListBullet"/>
      </w:pPr>
      <w:r>
        <w:t>Clarify purpose, timing, prescriber, recent changes, missed doses, perceived benefit, side effects, understanding, and concerns.</w:t>
      </w:r>
    </w:p>
    <w:p>
      <w:pPr>
        <w:pStyle w:val="ListBullet"/>
      </w:pPr>
      <w:r>
        <w:t>Ask what “nonadherence” means in this case: cost, insurance, transportation, pharmacy access, side effects, confusion, stigma, cultural beliefs, forgetfulness, housing instability, cognitive limitations, ambivalence, or deliberate choice.</w:t>
      </w:r>
    </w:p>
    <w:p>
      <w:pPr>
        <w:pStyle w:val="ListBullet"/>
      </w:pPr>
      <w:r>
        <w:t>Assess whether the client understands the plan and has the resources and ability to follow it.</w:t>
      </w:r>
    </w:p>
    <w:p>
      <w:pPr>
        <w:pStyle w:val="ListBullet"/>
      </w:pPr>
      <w:r>
        <w:t>Support informed communication with the prescriber and coordinate information with authorization when appropriate.</w:t>
      </w:r>
    </w:p>
    <w:p>
      <w:pPr>
        <w:pStyle w:val="ListBullet"/>
      </w:pPr>
      <w:r>
        <w:t>Do not treat adherence as a moral characteristic or assume refusal when the problem is access or usability.</w:t>
      </w:r>
    </w:p>
    <w:p>
      <w:pPr>
        <w:pStyle w:val="Heading1"/>
      </w:pPr>
      <w:r>
        <w:t>7. Substance Use, Addictive Behavior, and Diagnostic Overlap</w:t>
      </w:r>
    </w:p>
    <w:tbl>
      <w:tblPr>
        <w:tblStyle w:val="TableGrid"/>
        <w:tblW w:type="auto" w:w="0"/>
        <w:jc w:val="center"/>
        <w:tblLayout w:type="fixed"/>
        <w:tblLook w:firstColumn="1" w:firstRow="1" w:lastColumn="0" w:lastRow="0" w:noHBand="0" w:noVBand="1" w:val="04A0"/>
      </w:tblPr>
      <w:tblGrid>
        <w:gridCol w:w="2520"/>
        <w:gridCol w:w="7416"/>
      </w:tblGrid>
      <w:tr>
        <w:trPr>
          <w:tblHeader w:val="true"/>
          <w:cantSplit/>
        </w:trPr>
        <w:tc>
          <w:tcPr>
            <w:tcW w:type="dxa" w:w="5040"/>
            <w:shd w:fill="17365D"/>
            <w:tcMar>
              <w:top w:w="100" w:type="dxa"/>
              <w:start w:w="120" w:type="dxa"/>
              <w:bottom w:w="100" w:type="dxa"/>
              <w:end w:w="120" w:type="dxa"/>
            </w:tcMar>
          </w:tcPr>
          <w:p>
            <w:pPr>
              <w:spacing w:after="0"/>
            </w:pPr>
            <w:r>
              <w:rPr>
                <w:b/>
                <w:color w:val="FFFFFF"/>
                <w:sz w:val="18"/>
              </w:rPr>
              <w:t>Assessment Area</w:t>
            </w:r>
          </w:p>
        </w:tc>
        <w:tc>
          <w:tcPr>
            <w:tcW w:type="dxa" w:w="5040"/>
            <w:shd w:fill="17365D"/>
            <w:tcMar>
              <w:top w:w="100" w:type="dxa"/>
              <w:start w:w="120" w:type="dxa"/>
              <w:bottom w:w="100" w:type="dxa"/>
              <w:end w:w="120" w:type="dxa"/>
            </w:tcMar>
          </w:tcPr>
          <w:p>
            <w:pPr>
              <w:spacing w:after="0"/>
            </w:pPr>
            <w:r>
              <w:rPr>
                <w:b/>
                <w:color w:val="FFFFFF"/>
                <w:sz w:val="18"/>
              </w:rPr>
              <w:t>Questions and Indicators</w:t>
            </w:r>
          </w:p>
        </w:tc>
      </w:tr>
      <w:tr>
        <w:trPr>
          <w:cantSplit/>
        </w:trPr>
        <w:tc>
          <w:tcPr>
            <w:tcW w:type="dxa" w:w="2520"/>
            <w:tcMar>
              <w:top w:w="100" w:type="dxa"/>
              <w:start w:w="120" w:type="dxa"/>
              <w:bottom w:w="100" w:type="dxa"/>
              <w:end w:w="120" w:type="dxa"/>
            </w:tcMar>
          </w:tcPr>
          <w:p>
            <w:pPr>
              <w:spacing w:after="0"/>
            </w:pPr>
            <w:r>
              <w:rPr>
                <w:sz w:val="18"/>
              </w:rPr>
              <w:t>Pattern</w:t>
            </w:r>
          </w:p>
        </w:tc>
        <w:tc>
          <w:tcPr>
            <w:tcW w:type="dxa" w:w="7416"/>
            <w:tcMar>
              <w:top w:w="100" w:type="dxa"/>
              <w:start w:w="120" w:type="dxa"/>
              <w:bottom w:w="100" w:type="dxa"/>
              <w:end w:w="120" w:type="dxa"/>
            </w:tcMar>
          </w:tcPr>
          <w:p>
            <w:pPr>
              <w:spacing w:after="0"/>
            </w:pPr>
            <w:r>
              <w:rPr>
                <w:sz w:val="18"/>
              </w:rPr>
              <w:t>Substance or behavior, amount, frequency, duration, route, combinations, setting, and source.</w:t>
            </w:r>
          </w:p>
        </w:tc>
      </w:tr>
      <w:tr>
        <w:trPr>
          <w:cantSplit/>
        </w:trPr>
        <w:tc>
          <w:tcPr>
            <w:tcW w:type="dxa" w:w="2520"/>
            <w:tcMar>
              <w:top w:w="100" w:type="dxa"/>
              <w:start w:w="120" w:type="dxa"/>
              <w:bottom w:w="100" w:type="dxa"/>
              <w:end w:w="120" w:type="dxa"/>
            </w:tcMar>
            <w:shd w:fill="F7F8FA"/>
          </w:tcPr>
          <w:p>
            <w:pPr>
              <w:spacing w:after="0"/>
            </w:pPr>
            <w:r>
              <w:rPr>
                <w:sz w:val="18"/>
              </w:rPr>
              <w:t>Current state</w:t>
            </w:r>
          </w:p>
        </w:tc>
        <w:tc>
          <w:tcPr>
            <w:tcW w:type="dxa" w:w="7416"/>
            <w:tcMar>
              <w:top w:w="100" w:type="dxa"/>
              <w:start w:w="120" w:type="dxa"/>
              <w:bottom w:w="100" w:type="dxa"/>
              <w:end w:w="120" w:type="dxa"/>
            </w:tcMar>
            <w:shd w:fill="F7F8FA"/>
          </w:tcPr>
          <w:p>
            <w:pPr>
              <w:spacing w:after="0"/>
            </w:pPr>
            <w:r>
              <w:rPr>
                <w:sz w:val="18"/>
              </w:rPr>
              <w:t>Last use, intoxication, withdrawal, overdose signs, cravings, and ability to participate.</w:t>
            </w:r>
          </w:p>
        </w:tc>
      </w:tr>
      <w:tr>
        <w:trPr>
          <w:cantSplit/>
        </w:trPr>
        <w:tc>
          <w:tcPr>
            <w:tcW w:type="dxa" w:w="2520"/>
            <w:tcMar>
              <w:top w:w="100" w:type="dxa"/>
              <w:start w:w="120" w:type="dxa"/>
              <w:bottom w:w="100" w:type="dxa"/>
              <w:end w:w="120" w:type="dxa"/>
            </w:tcMar>
          </w:tcPr>
          <w:p>
            <w:pPr>
              <w:spacing w:after="0"/>
            </w:pPr>
            <w:r>
              <w:rPr>
                <w:sz w:val="18"/>
              </w:rPr>
              <w:t>Control</w:t>
            </w:r>
          </w:p>
        </w:tc>
        <w:tc>
          <w:tcPr>
            <w:tcW w:type="dxa" w:w="7416"/>
            <w:tcMar>
              <w:top w:w="100" w:type="dxa"/>
              <w:start w:w="120" w:type="dxa"/>
              <w:bottom w:w="100" w:type="dxa"/>
              <w:end w:w="120" w:type="dxa"/>
            </w:tcMar>
          </w:tcPr>
          <w:p>
            <w:pPr>
              <w:spacing w:after="0"/>
            </w:pPr>
            <w:r>
              <w:rPr>
                <w:sz w:val="18"/>
              </w:rPr>
              <w:t>Using more or longer than intended, unsuccessful efforts to cut down, and time spent obtaining, using, or recovering.</w:t>
            </w:r>
          </w:p>
        </w:tc>
      </w:tr>
      <w:tr>
        <w:trPr>
          <w:cantSplit/>
        </w:trPr>
        <w:tc>
          <w:tcPr>
            <w:tcW w:type="dxa" w:w="2520"/>
            <w:tcMar>
              <w:top w:w="100" w:type="dxa"/>
              <w:start w:w="120" w:type="dxa"/>
              <w:bottom w:w="100" w:type="dxa"/>
              <w:end w:w="120" w:type="dxa"/>
            </w:tcMar>
            <w:shd w:fill="F7F8FA"/>
          </w:tcPr>
          <w:p>
            <w:pPr>
              <w:spacing w:after="0"/>
            </w:pPr>
            <w:r>
              <w:rPr>
                <w:sz w:val="18"/>
              </w:rPr>
              <w:t>Consequences</w:t>
            </w:r>
          </w:p>
        </w:tc>
        <w:tc>
          <w:tcPr>
            <w:tcW w:type="dxa" w:w="7416"/>
            <w:tcMar>
              <w:top w:w="100" w:type="dxa"/>
              <w:start w:w="120" w:type="dxa"/>
              <w:bottom w:w="100" w:type="dxa"/>
              <w:end w:w="120" w:type="dxa"/>
            </w:tcMar>
            <w:shd w:fill="F7F8FA"/>
          </w:tcPr>
          <w:p>
            <w:pPr>
              <w:spacing w:after="0"/>
            </w:pPr>
            <w:r>
              <w:rPr>
                <w:sz w:val="18"/>
              </w:rPr>
              <w:t>Health, relationships, parenting, work, school, legal, financial, and safety effects.</w:t>
            </w:r>
          </w:p>
        </w:tc>
      </w:tr>
      <w:tr>
        <w:trPr>
          <w:cantSplit/>
        </w:trPr>
        <w:tc>
          <w:tcPr>
            <w:tcW w:type="dxa" w:w="2520"/>
            <w:tcMar>
              <w:top w:w="100" w:type="dxa"/>
              <w:start w:w="120" w:type="dxa"/>
              <w:bottom w:w="100" w:type="dxa"/>
              <w:end w:w="120" w:type="dxa"/>
            </w:tcMar>
          </w:tcPr>
          <w:p>
            <w:pPr>
              <w:spacing w:after="0"/>
            </w:pPr>
            <w:r>
              <w:rPr>
                <w:sz w:val="18"/>
              </w:rPr>
              <w:t>Chronology</w:t>
            </w:r>
          </w:p>
        </w:tc>
        <w:tc>
          <w:tcPr>
            <w:tcW w:type="dxa" w:w="7416"/>
            <w:tcMar>
              <w:top w:w="100" w:type="dxa"/>
              <w:start w:w="120" w:type="dxa"/>
              <w:bottom w:w="100" w:type="dxa"/>
              <w:end w:w="120" w:type="dxa"/>
            </w:tcMar>
          </w:tcPr>
          <w:p>
            <w:pPr>
              <w:spacing w:after="0"/>
            </w:pPr>
            <w:r>
              <w:rPr>
                <w:sz w:val="18"/>
              </w:rPr>
              <w:t>Symptoms before use, during use, during withdrawal, and during sustained abstinence.</w:t>
            </w:r>
          </w:p>
        </w:tc>
      </w:tr>
      <w:tr>
        <w:trPr>
          <w:cantSplit/>
        </w:trPr>
        <w:tc>
          <w:tcPr>
            <w:tcW w:type="dxa" w:w="2520"/>
            <w:tcMar>
              <w:top w:w="100" w:type="dxa"/>
              <w:start w:w="120" w:type="dxa"/>
              <w:bottom w:w="100" w:type="dxa"/>
              <w:end w:w="120" w:type="dxa"/>
            </w:tcMar>
            <w:shd w:fill="F7F8FA"/>
          </w:tcPr>
          <w:p>
            <w:pPr>
              <w:spacing w:after="0"/>
            </w:pPr>
            <w:r>
              <w:rPr>
                <w:sz w:val="18"/>
              </w:rPr>
              <w:t>Readiness and harm reduction</w:t>
            </w:r>
          </w:p>
        </w:tc>
        <w:tc>
          <w:tcPr>
            <w:tcW w:type="dxa" w:w="7416"/>
            <w:tcMar>
              <w:top w:w="100" w:type="dxa"/>
              <w:start w:w="120" w:type="dxa"/>
              <w:bottom w:w="100" w:type="dxa"/>
              <w:end w:w="120" w:type="dxa"/>
            </w:tcMar>
            <w:shd w:fill="F7F8FA"/>
          </w:tcPr>
          <w:p>
            <w:pPr>
              <w:spacing w:after="0"/>
            </w:pPr>
            <w:r>
              <w:rPr>
                <w:sz w:val="18"/>
              </w:rPr>
              <w:t>Client priorities, motivation, safer-use steps, treatment interest, supports, and barriers.</w:t>
            </w:r>
          </w:p>
        </w:tc>
      </w:tr>
    </w:tbl>
    <w:p>
      <w:pPr>
        <w:spacing w:after="0"/>
      </w:pPr>
    </w:p>
    <w:tbl>
      <w:tblPr>
        <w:tblW w:type="auto" w:w="0"/>
        <w:jc w:val="center"/>
        <w:tblLayout w:type="fixed"/>
        <w:tblLook w:firstColumn="1" w:firstRow="1" w:lastColumn="0" w:lastRow="0" w:noHBand="0" w:noVBand="1" w:val="04A0"/>
      </w:tblPr>
      <w:tblGrid>
        <w:gridCol w:w="9936"/>
      </w:tblGrid>
      <w:tr>
        <w:trPr>
          <w:cantSplit/>
        </w:trPr>
        <w:tc>
          <w:tcPr>
            <w:tcW w:type="dxa" w:w="10080"/>
            <w:shd w:fill="FFF4D6"/>
            <w:tcMar>
              <w:top w:w="160" w:type="dxa"/>
              <w:start w:w="180" w:type="dxa"/>
              <w:bottom w:w="160" w:type="dxa"/>
              <w:end w:w="180" w:type="dxa"/>
            </w:tcMar>
            <w:vAlign w:val="center"/>
          </w:tcPr>
          <w:p>
            <w:pPr>
              <w:spacing w:after="80"/>
            </w:pPr>
            <w:r>
              <w:rPr>
                <w:b/>
                <w:i w:val="0"/>
                <w:color w:val="C17C00"/>
              </w:rPr>
              <w:t>Screening Is Not Diagnosis</w:t>
            </w:r>
          </w:p>
          <w:p>
            <w:pPr>
              <w:spacing w:after="0"/>
            </w:pPr>
            <w:r>
              <w:t>A positive screen identifies the need for further assessment. It does not by itself establish a substance-use disorder, a substance-induced disorder, or the appropriate level of care.</w:t>
            </w:r>
          </w:p>
        </w:tc>
      </w:tr>
    </w:tbl>
    <w:p>
      <w:pPr>
        <w:spacing w:after="0"/>
      </w:pPr>
    </w:p>
    <w:p>
      <w:pPr>
        <w:pStyle w:val="Heading1"/>
      </w:pPr>
      <w:r>
        <w:t>8. High-Yield Diagnostic Families</w:t>
      </w:r>
    </w:p>
    <w:tbl>
      <w:tblPr>
        <w:tblStyle w:val="TableGrid"/>
        <w:tblW w:type="auto" w:w="0"/>
        <w:jc w:val="center"/>
        <w:tblLayout w:type="fixed"/>
        <w:tblLook w:firstColumn="1" w:firstRow="1" w:lastColumn="0" w:lastRow="0" w:noHBand="0" w:noVBand="1" w:val="04A0"/>
      </w:tblPr>
      <w:tblGrid>
        <w:gridCol w:w="2088"/>
        <w:gridCol w:w="4392"/>
        <w:gridCol w:w="3456"/>
      </w:tblGrid>
      <w:tr>
        <w:trPr>
          <w:tblHeader w:val="true"/>
          <w:cantSplit/>
        </w:trPr>
        <w:tc>
          <w:tcPr>
            <w:tcW w:type="dxa" w:w="3360"/>
            <w:shd w:fill="17365D"/>
            <w:tcMar>
              <w:top w:w="100" w:type="dxa"/>
              <w:start w:w="120" w:type="dxa"/>
              <w:bottom w:w="100" w:type="dxa"/>
              <w:end w:w="120" w:type="dxa"/>
            </w:tcMar>
          </w:tcPr>
          <w:p>
            <w:pPr>
              <w:spacing w:after="0"/>
            </w:pPr>
            <w:r>
              <w:rPr>
                <w:b/>
                <w:color w:val="FFFFFF"/>
                <w:sz w:val="16"/>
              </w:rPr>
              <w:t>Family</w:t>
            </w:r>
          </w:p>
        </w:tc>
        <w:tc>
          <w:tcPr>
            <w:tcW w:type="dxa" w:w="3360"/>
            <w:shd w:fill="17365D"/>
            <w:tcMar>
              <w:top w:w="100" w:type="dxa"/>
              <w:start w:w="120" w:type="dxa"/>
              <w:bottom w:w="100" w:type="dxa"/>
              <w:end w:w="120" w:type="dxa"/>
            </w:tcMar>
          </w:tcPr>
          <w:p>
            <w:pPr>
              <w:spacing w:after="0"/>
            </w:pPr>
            <w:r>
              <w:rPr>
                <w:b/>
                <w:color w:val="FFFFFF"/>
                <w:sz w:val="16"/>
              </w:rPr>
              <w:t>Core Pattern to Assess</w:t>
            </w:r>
          </w:p>
        </w:tc>
        <w:tc>
          <w:tcPr>
            <w:tcW w:type="dxa" w:w="3360"/>
            <w:shd w:fill="17365D"/>
            <w:tcMar>
              <w:top w:w="100" w:type="dxa"/>
              <w:start w:w="120" w:type="dxa"/>
              <w:bottom w:w="100" w:type="dxa"/>
              <w:end w:w="120" w:type="dxa"/>
            </w:tcMar>
          </w:tcPr>
          <w:p>
            <w:pPr>
              <w:spacing w:after="0"/>
            </w:pPr>
            <w:r>
              <w:rPr>
                <w:b/>
                <w:color w:val="FFFFFF"/>
                <w:sz w:val="16"/>
              </w:rPr>
              <w:t>Frequent Differentials or Cautions</w:t>
            </w:r>
          </w:p>
        </w:tc>
      </w:tr>
      <w:tr>
        <w:trPr>
          <w:cantSplit/>
        </w:trPr>
        <w:tc>
          <w:tcPr>
            <w:tcW w:type="dxa" w:w="2088"/>
            <w:tcMar>
              <w:top w:w="100" w:type="dxa"/>
              <w:start w:w="120" w:type="dxa"/>
              <w:bottom w:w="100" w:type="dxa"/>
              <w:end w:w="120" w:type="dxa"/>
            </w:tcMar>
          </w:tcPr>
          <w:p>
            <w:pPr>
              <w:spacing w:after="0"/>
            </w:pPr>
            <w:r>
              <w:rPr>
                <w:sz w:val="16"/>
              </w:rPr>
              <w:t>Bipolar and related</w:t>
            </w:r>
          </w:p>
        </w:tc>
        <w:tc>
          <w:tcPr>
            <w:tcW w:type="dxa" w:w="4392"/>
            <w:tcMar>
              <w:top w:w="100" w:type="dxa"/>
              <w:start w:w="120" w:type="dxa"/>
              <w:bottom w:w="100" w:type="dxa"/>
              <w:end w:w="120" w:type="dxa"/>
            </w:tcMar>
          </w:tcPr>
          <w:p>
            <w:pPr>
              <w:spacing w:after="0"/>
            </w:pPr>
            <w:r>
              <w:rPr>
                <w:sz w:val="16"/>
              </w:rPr>
              <w:t>Distinct episodes of mood and energy change, reduced need for sleep, increased activity, pressured speech, grandiosity, and risk.</w:t>
            </w:r>
          </w:p>
        </w:tc>
        <w:tc>
          <w:tcPr>
            <w:tcW w:type="dxa" w:w="3456"/>
            <w:tcMar>
              <w:top w:w="100" w:type="dxa"/>
              <w:start w:w="120" w:type="dxa"/>
              <w:bottom w:w="100" w:type="dxa"/>
              <w:end w:w="120" w:type="dxa"/>
            </w:tcMar>
          </w:tcPr>
          <w:p>
            <w:pPr>
              <w:spacing w:after="0"/>
            </w:pPr>
            <w:r>
              <w:rPr>
                <w:sz w:val="16"/>
              </w:rPr>
              <w:t>Unipolar depression, anxiety, ADHD, trauma activation, stimulant or medication effects.</w:t>
            </w:r>
          </w:p>
        </w:tc>
      </w:tr>
      <w:tr>
        <w:trPr>
          <w:cantSplit/>
        </w:trPr>
        <w:tc>
          <w:tcPr>
            <w:tcW w:type="dxa" w:w="2088"/>
            <w:tcMar>
              <w:top w:w="100" w:type="dxa"/>
              <w:start w:w="120" w:type="dxa"/>
              <w:bottom w:w="100" w:type="dxa"/>
              <w:end w:w="120" w:type="dxa"/>
            </w:tcMar>
            <w:shd w:fill="F7F8FA"/>
          </w:tcPr>
          <w:p>
            <w:pPr>
              <w:spacing w:after="0"/>
            </w:pPr>
            <w:r>
              <w:rPr>
                <w:sz w:val="16"/>
              </w:rPr>
              <w:t>Depressive and grief-related</w:t>
            </w:r>
          </w:p>
        </w:tc>
        <w:tc>
          <w:tcPr>
            <w:tcW w:type="dxa" w:w="4392"/>
            <w:tcMar>
              <w:top w:w="100" w:type="dxa"/>
              <w:start w:w="120" w:type="dxa"/>
              <w:bottom w:w="100" w:type="dxa"/>
              <w:end w:w="120" w:type="dxa"/>
            </w:tcMar>
            <w:shd w:fill="F7F8FA"/>
          </w:tcPr>
          <w:p>
            <w:pPr>
              <w:spacing w:after="0"/>
            </w:pPr>
            <w:r>
              <w:rPr>
                <w:sz w:val="16"/>
              </w:rPr>
              <w:t>Low mood or reduced interest with cognitive, physical, and functional changes; relationship to loss and prior episodes.</w:t>
            </w:r>
          </w:p>
        </w:tc>
        <w:tc>
          <w:tcPr>
            <w:tcW w:type="dxa" w:w="3456"/>
            <w:tcMar>
              <w:top w:w="100" w:type="dxa"/>
              <w:start w:w="120" w:type="dxa"/>
              <w:bottom w:w="100" w:type="dxa"/>
              <w:end w:w="120" w:type="dxa"/>
            </w:tcMar>
            <w:shd w:fill="F7F8FA"/>
          </w:tcPr>
          <w:p>
            <w:pPr>
              <w:spacing w:after="0"/>
            </w:pPr>
            <w:r>
              <w:rPr>
                <w:sz w:val="16"/>
              </w:rPr>
              <w:t>Bipolar depression, grief, adjustment, medical or substance factors, trauma.</w:t>
            </w:r>
          </w:p>
        </w:tc>
      </w:tr>
      <w:tr>
        <w:trPr>
          <w:cantSplit/>
        </w:trPr>
        <w:tc>
          <w:tcPr>
            <w:tcW w:type="dxa" w:w="2088"/>
            <w:tcMar>
              <w:top w:w="100" w:type="dxa"/>
              <w:start w:w="120" w:type="dxa"/>
              <w:bottom w:w="100" w:type="dxa"/>
              <w:end w:w="120" w:type="dxa"/>
            </w:tcMar>
          </w:tcPr>
          <w:p>
            <w:pPr>
              <w:spacing w:after="0"/>
            </w:pPr>
            <w:r>
              <w:rPr>
                <w:sz w:val="16"/>
              </w:rPr>
              <w:t>Anxiety / OCD / trauma</w:t>
            </w:r>
          </w:p>
        </w:tc>
        <w:tc>
          <w:tcPr>
            <w:tcW w:type="dxa" w:w="4392"/>
            <w:tcMar>
              <w:top w:w="100" w:type="dxa"/>
              <w:start w:w="120" w:type="dxa"/>
              <w:bottom w:w="100" w:type="dxa"/>
              <w:end w:w="120" w:type="dxa"/>
            </w:tcMar>
          </w:tcPr>
          <w:p>
            <w:pPr>
              <w:spacing w:after="0"/>
            </w:pPr>
            <w:r>
              <w:rPr>
                <w:sz w:val="16"/>
              </w:rPr>
              <w:t>Fear, worry, panic, avoidance, intrusions, compulsions, trauma linkage, arousal, and impairment.</w:t>
            </w:r>
          </w:p>
        </w:tc>
        <w:tc>
          <w:tcPr>
            <w:tcW w:type="dxa" w:w="3456"/>
            <w:tcMar>
              <w:top w:w="100" w:type="dxa"/>
              <w:start w:w="120" w:type="dxa"/>
              <w:bottom w:w="100" w:type="dxa"/>
              <w:end w:w="120" w:type="dxa"/>
            </w:tcMar>
          </w:tcPr>
          <w:p>
            <w:pPr>
              <w:spacing w:after="0"/>
            </w:pPr>
            <w:r>
              <w:rPr>
                <w:sz w:val="16"/>
              </w:rPr>
              <w:t>Medical causes, substances, psychosis, dissociation, normative stress.</w:t>
            </w:r>
          </w:p>
        </w:tc>
      </w:tr>
      <w:tr>
        <w:trPr>
          <w:cantSplit/>
        </w:trPr>
        <w:tc>
          <w:tcPr>
            <w:tcW w:type="dxa" w:w="2088"/>
            <w:tcMar>
              <w:top w:w="100" w:type="dxa"/>
              <w:start w:w="120" w:type="dxa"/>
              <w:bottom w:w="100" w:type="dxa"/>
              <w:end w:w="120" w:type="dxa"/>
            </w:tcMar>
            <w:shd w:fill="F7F8FA"/>
          </w:tcPr>
          <w:p>
            <w:pPr>
              <w:spacing w:after="0"/>
            </w:pPr>
            <w:r>
              <w:rPr>
                <w:sz w:val="16"/>
              </w:rPr>
              <w:t>Psychotic / dissociative</w:t>
            </w:r>
          </w:p>
        </w:tc>
        <w:tc>
          <w:tcPr>
            <w:tcW w:type="dxa" w:w="4392"/>
            <w:tcMar>
              <w:top w:w="100" w:type="dxa"/>
              <w:start w:w="120" w:type="dxa"/>
              <w:bottom w:w="100" w:type="dxa"/>
              <w:end w:w="120" w:type="dxa"/>
            </w:tcMar>
            <w:shd w:fill="F7F8FA"/>
          </w:tcPr>
          <w:p>
            <w:pPr>
              <w:spacing w:after="0"/>
            </w:pPr>
            <w:r>
              <w:rPr>
                <w:sz w:val="16"/>
              </w:rPr>
              <w:t>Reality testing, hallucinations, delusions, disorganization, depersonalization, derealization, memory gaps, and context.</w:t>
            </w:r>
          </w:p>
        </w:tc>
        <w:tc>
          <w:tcPr>
            <w:tcW w:type="dxa" w:w="3456"/>
            <w:tcMar>
              <w:top w:w="100" w:type="dxa"/>
              <w:start w:w="120" w:type="dxa"/>
              <w:bottom w:w="100" w:type="dxa"/>
              <w:end w:w="120" w:type="dxa"/>
            </w:tcMar>
            <w:shd w:fill="F7F8FA"/>
          </w:tcPr>
          <w:p>
            <w:pPr>
              <w:spacing w:after="0"/>
            </w:pPr>
            <w:r>
              <w:rPr>
                <w:sz w:val="16"/>
              </w:rPr>
              <w:t>Mood episodes, substances, medical conditions, trauma, cultural or spiritual experiences.</w:t>
            </w:r>
          </w:p>
        </w:tc>
      </w:tr>
      <w:tr>
        <w:trPr>
          <w:cantSplit/>
        </w:trPr>
        <w:tc>
          <w:tcPr>
            <w:tcW w:type="dxa" w:w="2088"/>
            <w:tcMar>
              <w:top w:w="100" w:type="dxa"/>
              <w:start w:w="120" w:type="dxa"/>
              <w:bottom w:w="100" w:type="dxa"/>
              <w:end w:w="120" w:type="dxa"/>
            </w:tcMar>
          </w:tcPr>
          <w:p>
            <w:pPr>
              <w:spacing w:after="0"/>
            </w:pPr>
            <w:r>
              <w:rPr>
                <w:sz w:val="16"/>
              </w:rPr>
              <w:t>Personality</w:t>
            </w:r>
          </w:p>
        </w:tc>
        <w:tc>
          <w:tcPr>
            <w:tcW w:type="dxa" w:w="4392"/>
            <w:tcMar>
              <w:top w:w="100" w:type="dxa"/>
              <w:start w:w="120" w:type="dxa"/>
              <w:bottom w:w="100" w:type="dxa"/>
              <w:end w:w="120" w:type="dxa"/>
            </w:tcMar>
          </w:tcPr>
          <w:p>
            <w:pPr>
              <w:spacing w:after="0"/>
            </w:pPr>
            <w:r>
              <w:rPr>
                <w:sz w:val="16"/>
              </w:rPr>
              <w:t>Enduring and inflexible patterns across time and contexts affecting identity, relationships, and functioning.</w:t>
            </w:r>
          </w:p>
        </w:tc>
        <w:tc>
          <w:tcPr>
            <w:tcW w:type="dxa" w:w="3456"/>
            <w:tcMar>
              <w:top w:w="100" w:type="dxa"/>
              <w:start w:w="120" w:type="dxa"/>
              <w:bottom w:w="100" w:type="dxa"/>
              <w:end w:w="120" w:type="dxa"/>
            </w:tcMar>
          </w:tcPr>
          <w:p>
            <w:pPr>
              <w:spacing w:after="0"/>
            </w:pPr>
            <w:r>
              <w:rPr>
                <w:sz w:val="16"/>
              </w:rPr>
              <w:t>Trauma responses, mood state, substance effects, developmental stage, current crisis.</w:t>
            </w:r>
          </w:p>
        </w:tc>
      </w:tr>
      <w:tr>
        <w:trPr>
          <w:cantSplit/>
        </w:trPr>
        <w:tc>
          <w:tcPr>
            <w:tcW w:type="dxa" w:w="2088"/>
            <w:tcMar>
              <w:top w:w="100" w:type="dxa"/>
              <w:start w:w="120" w:type="dxa"/>
              <w:bottom w:w="100" w:type="dxa"/>
              <w:end w:w="120" w:type="dxa"/>
            </w:tcMar>
            <w:shd w:fill="F7F8FA"/>
          </w:tcPr>
          <w:p>
            <w:pPr>
              <w:spacing w:after="0"/>
            </w:pPr>
            <w:r>
              <w:rPr>
                <w:sz w:val="16"/>
              </w:rPr>
              <w:t>Neurodevelopmental / cognitive</w:t>
            </w:r>
          </w:p>
        </w:tc>
        <w:tc>
          <w:tcPr>
            <w:tcW w:type="dxa" w:w="4392"/>
            <w:tcMar>
              <w:top w:w="100" w:type="dxa"/>
              <w:start w:w="120" w:type="dxa"/>
              <w:bottom w:w="100" w:type="dxa"/>
              <w:end w:w="120" w:type="dxa"/>
            </w:tcMar>
            <w:shd w:fill="F7F8FA"/>
          </w:tcPr>
          <w:p>
            <w:pPr>
              <w:spacing w:after="0"/>
            </w:pPr>
            <w:r>
              <w:rPr>
                <w:sz w:val="16"/>
              </w:rPr>
              <w:t>Early developmental course or later cognitive change, cross-setting evidence, learning, communication, daily functioning, and baseline.</w:t>
            </w:r>
          </w:p>
        </w:tc>
        <w:tc>
          <w:tcPr>
            <w:tcW w:type="dxa" w:w="3456"/>
            <w:tcMar>
              <w:top w:w="100" w:type="dxa"/>
              <w:start w:w="120" w:type="dxa"/>
              <w:bottom w:w="100" w:type="dxa"/>
              <w:end w:w="120" w:type="dxa"/>
            </w:tcMar>
            <w:shd w:fill="F7F8FA"/>
          </w:tcPr>
          <w:p>
            <w:pPr>
              <w:spacing w:after="0"/>
            </w:pPr>
            <w:r>
              <w:rPr>
                <w:sz w:val="16"/>
              </w:rPr>
              <w:t>Trauma, anxiety, sleep, sensory or medical factors, depression, environmental disruption.</w:t>
            </w:r>
          </w:p>
        </w:tc>
      </w:tr>
      <w:tr>
        <w:trPr>
          <w:cantSplit/>
        </w:trPr>
        <w:tc>
          <w:tcPr>
            <w:tcW w:type="dxa" w:w="2088"/>
            <w:tcMar>
              <w:top w:w="100" w:type="dxa"/>
              <w:start w:w="120" w:type="dxa"/>
              <w:bottom w:w="100" w:type="dxa"/>
              <w:end w:w="120" w:type="dxa"/>
            </w:tcMar>
          </w:tcPr>
          <w:p>
            <w:pPr>
              <w:spacing w:after="0"/>
            </w:pPr>
            <w:r>
              <w:rPr>
                <w:sz w:val="16"/>
              </w:rPr>
              <w:t>Somatic and health-related</w:t>
            </w:r>
          </w:p>
        </w:tc>
        <w:tc>
          <w:tcPr>
            <w:tcW w:type="dxa" w:w="4392"/>
            <w:tcMar>
              <w:top w:w="100" w:type="dxa"/>
              <w:start w:w="120" w:type="dxa"/>
              <w:bottom w:w="100" w:type="dxa"/>
              <w:end w:w="120" w:type="dxa"/>
            </w:tcMar>
          </w:tcPr>
          <w:p>
            <w:pPr>
              <w:spacing w:after="0"/>
            </w:pPr>
            <w:r>
              <w:rPr>
                <w:sz w:val="16"/>
              </w:rPr>
              <w:t>Distress and thoughts, feelings, or behavior related to physical symptoms while medical evaluation continues as indicated.</w:t>
            </w:r>
          </w:p>
        </w:tc>
        <w:tc>
          <w:tcPr>
            <w:tcW w:type="dxa" w:w="3456"/>
            <w:tcMar>
              <w:top w:w="100" w:type="dxa"/>
              <w:start w:w="120" w:type="dxa"/>
              <w:bottom w:w="100" w:type="dxa"/>
              <w:end w:w="120" w:type="dxa"/>
            </w:tcMar>
          </w:tcPr>
          <w:p>
            <w:pPr>
              <w:spacing w:after="0"/>
            </w:pPr>
            <w:r>
              <w:rPr>
                <w:sz w:val="16"/>
              </w:rPr>
              <w:t>Do not assume fabrication or that a medical diagnosis rules out clinically significant distress.</w:t>
            </w:r>
          </w:p>
        </w:tc>
      </w:tr>
      <w:tr>
        <w:trPr>
          <w:cantSplit/>
        </w:trPr>
        <w:tc>
          <w:tcPr>
            <w:tcW w:type="dxa" w:w="2088"/>
            <w:tcMar>
              <w:top w:w="100" w:type="dxa"/>
              <w:start w:w="120" w:type="dxa"/>
              <w:bottom w:w="100" w:type="dxa"/>
              <w:end w:w="120" w:type="dxa"/>
            </w:tcMar>
            <w:shd w:fill="F7F8FA"/>
          </w:tcPr>
          <w:p>
            <w:pPr>
              <w:spacing w:after="0"/>
            </w:pPr>
            <w:r>
              <w:rPr>
                <w:sz w:val="16"/>
              </w:rPr>
              <w:t>Contextual conditions</w:t>
            </w:r>
          </w:p>
        </w:tc>
        <w:tc>
          <w:tcPr>
            <w:tcW w:type="dxa" w:w="4392"/>
            <w:tcMar>
              <w:top w:w="100" w:type="dxa"/>
              <w:start w:w="120" w:type="dxa"/>
              <w:bottom w:w="100" w:type="dxa"/>
              <w:end w:w="120" w:type="dxa"/>
            </w:tcMar>
            <w:shd w:fill="F7F8FA"/>
          </w:tcPr>
          <w:p>
            <w:pPr>
              <w:spacing w:after="0"/>
            </w:pPr>
            <w:r>
              <w:rPr>
                <w:sz w:val="16"/>
              </w:rPr>
              <w:t>Housing, poverty, discrimination, caregiving, legal, family, occupational, and service-system problems.</w:t>
            </w:r>
          </w:p>
        </w:tc>
        <w:tc>
          <w:tcPr>
            <w:tcW w:type="dxa" w:w="3456"/>
            <w:tcMar>
              <w:top w:w="100" w:type="dxa"/>
              <w:start w:w="120" w:type="dxa"/>
              <w:bottom w:w="100" w:type="dxa"/>
              <w:end w:w="120" w:type="dxa"/>
            </w:tcMar>
            <w:shd w:fill="F7F8FA"/>
          </w:tcPr>
          <w:p>
            <w:pPr>
              <w:spacing w:after="0"/>
            </w:pPr>
            <w:r>
              <w:rPr>
                <w:sz w:val="16"/>
              </w:rPr>
              <w:t>Do not force pathology; clinical and structural interventions may both be needed.</w:t>
            </w:r>
          </w:p>
        </w:tc>
      </w:tr>
    </w:tbl>
    <w:p>
      <w:pPr>
        <w:spacing w:after="0"/>
      </w:pPr>
    </w:p>
    <w:p>
      <w:pPr>
        <w:pStyle w:val="Heading1"/>
      </w:pPr>
      <w:r>
        <w:t>9. The LCSW Person-in-Environment Diagnostic Lens</w:t>
      </w:r>
    </w:p>
    <w:p>
      <w:pPr>
        <w:pStyle w:val="ListBullet"/>
      </w:pPr>
      <w:r>
        <w:t>Use diagnosis to organize clinical understanding and service planning, but do not let the label replace the client’s goals, strengths, culture, environment, and lived experience.</w:t>
      </w:r>
    </w:p>
    <w:p>
      <w:pPr>
        <w:pStyle w:val="ListBullet"/>
      </w:pPr>
      <w:r>
        <w:t>Assess how housing, income, health care, discrimination, family support, school, work, legal systems, and access barriers affect symptoms and functioning.</w:t>
      </w:r>
    </w:p>
    <w:p>
      <w:pPr>
        <w:pStyle w:val="ListBullet"/>
      </w:pPr>
      <w:r>
        <w:t>Involve clients and client systems in problem identification and planning unless acute risk, impaired decision-making, or legal duties require a different immediate action.</w:t>
      </w:r>
    </w:p>
    <w:p>
      <w:pPr>
        <w:pStyle w:val="ListBullet"/>
      </w:pPr>
      <w:r>
        <w:t>Distinguish symptoms of disorder from understandable responses to oppression, loss, unsafe conditions, or unmet basic needs; both clinical and structural responses may be necessary.</w:t>
      </w:r>
    </w:p>
    <w:p>
      <w:pPr>
        <w:pStyle w:val="ListBullet"/>
      </w:pPr>
      <w:r>
        <w:t>Use medical, psychiatric, psychological, school, and other records to refine—not automatically dictate—the current assessment.</w:t>
      </w:r>
    </w:p>
    <w:p>
      <w:pPr>
        <w:pStyle w:val="ListBullet"/>
      </w:pPr>
      <w:r>
        <w:t>Connect the impression to level of care, eligibility, benefits, referrals, treatment modality, care coordination, and continuity.</w:t>
      </w:r>
    </w:p>
    <w:tbl>
      <w:tblPr>
        <w:tblW w:type="auto" w:w="0"/>
        <w:jc w:val="center"/>
        <w:tblLayout w:type="fixed"/>
        <w:tblLook w:firstColumn="1" w:firstRow="1" w:lastColumn="0" w:lastRow="0" w:noHBand="0" w:noVBand="1" w:val="04A0"/>
      </w:tblPr>
      <w:tblGrid>
        <w:gridCol w:w="9936"/>
      </w:tblGrid>
      <w:tr>
        <w:trPr>
          <w:cantSplit/>
        </w:trPr>
        <w:tc>
          <w:tcPr>
            <w:tcW w:type="dxa" w:w="10080"/>
            <w:shd w:fill="E7F5F4"/>
            <w:tcMar>
              <w:top w:w="160" w:type="dxa"/>
              <w:start w:w="180" w:type="dxa"/>
              <w:bottom w:w="160" w:type="dxa"/>
              <w:end w:w="180" w:type="dxa"/>
            </w:tcMar>
            <w:vAlign w:val="center"/>
          </w:tcPr>
          <w:p>
            <w:pPr>
              <w:spacing w:after="80"/>
            </w:pPr>
            <w:r>
              <w:rPr>
                <w:b/>
                <w:i w:val="0"/>
                <w:color w:val="0F7C82"/>
              </w:rPr>
              <w:t>LCSW Memory Aid</w:t>
            </w:r>
          </w:p>
          <w:p>
            <w:pPr>
              <w:spacing w:after="0"/>
            </w:pPr>
            <w:r>
              <w:t>PERSON + PATTERN + ENVIRONMENT: CHECK SAFETY AND MEDICAL / SUBSTANCE FACTORS → CLARIFY SYMPTOMS, TIMELINE, AND FUNCTION → INVOLVE THE CLIENT / CLIENT SYSTEM → COMPARE DIAGNOSES → CONNECT THE IMPRESSION TO RESOURCES AND PLAN.</w:t>
            </w:r>
          </w:p>
        </w:tc>
      </w:tr>
    </w:tbl>
    <w:p>
      <w:pPr>
        <w:spacing w:after="0"/>
      </w:pPr>
    </w:p>
    <w:p>
      <w:pPr>
        <w:pStyle w:val="Heading1"/>
      </w:pPr>
      <w:r>
        <w:t>Worked Examples</w:t>
      </w:r>
    </w:p>
    <w:p>
      <w:r>
        <w:rPr>
          <w:b/>
          <w:i w:val="0"/>
        </w:rPr>
        <w:t xml:space="preserve">Example 1: </w:t>
      </w:r>
      <w:r>
        <w:rPr>
          <w:b w:val="0"/>
          <w:i w:val="0"/>
        </w:rPr>
        <w:t>Psychosis, stimulant use, and a prior chart diagnosis</w:t>
      </w:r>
    </w:p>
    <w:p>
      <w:r>
        <w:rPr>
          <w:i w:val="0"/>
        </w:rPr>
        <w:t>A client presents with paranoia and hallucinations after several days of stimulant use. An old record lists schizophrenia, but family reports no psychosis during sustained abstinence. The social worker first assesses safety and medical needs, clarifies symptom timing and prior episodes, reviews current substances and medications, and coordinates evaluation before finalizing the diagnosis.</w:t>
      </w:r>
    </w:p>
    <w:p>
      <w:r>
        <w:rPr>
          <w:b/>
          <w:i w:val="0"/>
        </w:rPr>
        <w:t xml:space="preserve">Example 2: </w:t>
      </w:r>
      <w:r>
        <w:rPr>
          <w:b w:val="0"/>
          <w:i w:val="0"/>
        </w:rPr>
        <w:t>Depression, pain, shelter living, and housing need</w:t>
      </w:r>
    </w:p>
    <w:p>
      <w:r>
        <w:rPr>
          <w:i w:val="0"/>
        </w:rPr>
        <w:t>A shelter resident reports low mood, poor sleep, chronic pain, intermittent cocaine use, and fear of assault. The best assessment integrates suicide and safety risk, pain and sleep, substance chronology, trauma, prior episodes, medical factors, strengths, housing priorities, and available services before creating a working differential and coordinated plan.</w:t>
      </w:r>
    </w:p>
    <w:p>
      <w:pPr>
        <w:pStyle w:val="Heading1"/>
      </w:pPr>
      <w:r>
        <w:t>Common Exam Traps</w:t>
      </w:r>
    </w:p>
    <w:p>
      <w:pPr>
        <w:pStyle w:val="ListBullet"/>
      </w:pPr>
      <w:r>
        <w:t>Naming a likely diagnosis when the stem asks what the social worker should do first.</w:t>
      </w:r>
    </w:p>
    <w:p>
      <w:pPr>
        <w:pStyle w:val="ListBullet"/>
      </w:pPr>
      <w:r>
        <w:t>Ignoring medical access, pain, sleep, transportation, housing, or medication barriers because a psychiatric label appears obvious.</w:t>
      </w:r>
    </w:p>
    <w:p>
      <w:pPr>
        <w:pStyle w:val="ListBullet"/>
      </w:pPr>
      <w:r>
        <w:t>Accepting a prior record diagnosis or positive screen without current assessment.</w:t>
      </w:r>
    </w:p>
    <w:p>
      <w:pPr>
        <w:pStyle w:val="ListBullet"/>
      </w:pPr>
      <w:r>
        <w:t>Pathologizing a response to oppression, poverty, migration, caregiving, grief, or danger without assessing whether a separate disorder is present.</w:t>
      </w:r>
    </w:p>
    <w:p>
      <w:pPr>
        <w:pStyle w:val="ListBullet"/>
      </w:pPr>
      <w:r>
        <w:t>Using diagnosis to override self-determination when the facts do not support incapacity or emergency intervention.</w:t>
      </w:r>
    </w:p>
    <w:p>
      <w:pPr>
        <w:pStyle w:val="ListBullet"/>
      </w:pPr>
      <w:r>
        <w:t>Telling a client to change medication rather than coordinating with the prescriber.</w:t>
      </w:r>
    </w:p>
    <w:p>
      <w:pPr>
        <w:pStyle w:val="ListBullet"/>
      </w:pPr>
      <w:r>
        <w:t>Making a referral without assessing eligibility, accessibility, cost, readiness, and follow-through.</w:t>
      </w:r>
    </w:p>
    <w:p>
      <w:pPr>
        <w:pStyle w:val="Heading1"/>
      </w:pPr>
      <w:r>
        <w:t>Chapter Summary</w:t>
      </w:r>
    </w:p>
    <w:p>
      <w:pPr>
        <w:pStyle w:val="ListBullet"/>
      </w:pPr>
      <w:r>
        <w:t>Clinical social work diagnosis integrates symptom pattern, chronology, function, exclusions, client participation, strengths, and person-in-environment conditions.</w:t>
      </w:r>
    </w:p>
    <w:p>
      <w:pPr>
        <w:pStyle w:val="ListBullet"/>
      </w:pPr>
      <w:r>
        <w:t>New or rapidly changing cognition, consciousness, perception, movement, mood, or functioning requires attention to medical, neurological, medication, sleep, and substance-related contributors.</w:t>
      </w:r>
    </w:p>
    <w:p>
      <w:pPr>
        <w:pStyle w:val="ListBullet"/>
      </w:pPr>
      <w:r>
        <w:t>The LCSW obtains and reconciles medication information, explores benefits, side effects, and access barriers, and coordinates with prescribers without directing medication changes.</w:t>
      </w:r>
    </w:p>
    <w:p>
      <w:pPr>
        <w:pStyle w:val="ListBullet"/>
      </w:pPr>
      <w:r>
        <w:t>A prior diagnosis, positive screen, collateral report, or single symptom is one data source and does not replace current assessment or support certainty beyond the evidence.</w:t>
      </w:r>
    </w:p>
    <w:p>
      <w:pPr>
        <w:pStyle w:val="ListBullet"/>
      </w:pPr>
      <w:r>
        <w:t>The strongest exam response links the working impression to safety, client choice, level of care, eligibility, resources, accessible follow-through, and continuity.</w:t>
      </w:r>
    </w:p>
    <w:p>
      <w:pPr>
        <w:pStyle w:val="Heading1"/>
      </w:pPr>
      <w:r>
        <w:t>Knowledge Check</w:t>
      </w:r>
    </w:p>
    <w:p>
      <w:r>
        <w:rPr>
          <w:i w:val="0"/>
        </w:rPr>
        <w:t>Complete all 10 original CTA practice questions before reviewing the answer key. Record your answer and confidence level. The set progresses from recall to application, scenario analysis, and integrated challenge reasoning.</w:t>
      </w:r>
    </w:p>
    <w:tbl>
      <w:tblPr>
        <w:tblStyle w:val="TableGrid"/>
        <w:tblW w:type="auto" w:w="0"/>
        <w:jc w:val="center"/>
        <w:tblLayout w:type="fixed"/>
        <w:tblLook w:firstColumn="1" w:firstRow="1" w:lastColumn="0" w:lastRow="0" w:noHBand="0" w:noVBand="1" w:val="04A0"/>
      </w:tblPr>
      <w:tblGrid>
        <w:gridCol w:w="1728"/>
        <w:gridCol w:w="2736"/>
        <w:gridCol w:w="2736"/>
        <w:gridCol w:w="2736"/>
      </w:tblGrid>
      <w:tr>
        <w:trPr>
          <w:tblHeader w:val="true"/>
          <w:cantSplit/>
        </w:trPr>
        <w:tc>
          <w:tcPr>
            <w:tcW w:type="dxa" w:w="2520"/>
            <w:shd w:fill="17365D"/>
            <w:tcMar>
              <w:top w:w="100" w:type="dxa"/>
              <w:start w:w="120" w:type="dxa"/>
              <w:bottom w:w="100" w:type="dxa"/>
              <w:end w:w="120" w:type="dxa"/>
            </w:tcMar>
          </w:tcPr>
          <w:p>
            <w:pPr>
              <w:spacing w:after="0"/>
            </w:pPr>
            <w:r>
              <w:rPr>
                <w:b/>
                <w:color w:val="FFFFFF"/>
                <w:sz w:val="18"/>
              </w:rPr>
              <w:t>Question</w:t>
            </w:r>
          </w:p>
        </w:tc>
        <w:tc>
          <w:tcPr>
            <w:tcW w:type="dxa" w:w="2520"/>
            <w:shd w:fill="17365D"/>
            <w:tcMar>
              <w:top w:w="100" w:type="dxa"/>
              <w:start w:w="120" w:type="dxa"/>
              <w:bottom w:w="100" w:type="dxa"/>
              <w:end w:w="120" w:type="dxa"/>
            </w:tcMar>
          </w:tcPr>
          <w:p>
            <w:pPr>
              <w:spacing w:after="0"/>
            </w:pPr>
            <w:r>
              <w:rPr>
                <w:b/>
                <w:color w:val="FFFFFF"/>
                <w:sz w:val="18"/>
              </w:rPr>
              <w:t>Your Answer</w:t>
            </w:r>
          </w:p>
        </w:tc>
        <w:tc>
          <w:tcPr>
            <w:tcW w:type="dxa" w:w="2520"/>
            <w:shd w:fill="17365D"/>
            <w:tcMar>
              <w:top w:w="100" w:type="dxa"/>
              <w:start w:w="120" w:type="dxa"/>
              <w:bottom w:w="100" w:type="dxa"/>
              <w:end w:w="120" w:type="dxa"/>
            </w:tcMar>
          </w:tcPr>
          <w:p>
            <w:pPr>
              <w:spacing w:after="0"/>
            </w:pPr>
            <w:r>
              <w:rPr>
                <w:b/>
                <w:color w:val="FFFFFF"/>
                <w:sz w:val="18"/>
              </w:rPr>
              <w:t>Confidence (1-3)</w:t>
            </w:r>
          </w:p>
        </w:tc>
        <w:tc>
          <w:tcPr>
            <w:tcW w:type="dxa" w:w="2520"/>
            <w:shd w:fill="17365D"/>
            <w:tcMar>
              <w:top w:w="100" w:type="dxa"/>
              <w:start w:w="120" w:type="dxa"/>
              <w:bottom w:w="100" w:type="dxa"/>
              <w:end w:w="120" w:type="dxa"/>
            </w:tcMar>
          </w:tcPr>
          <w:p>
            <w:pPr>
              <w:spacing w:after="0"/>
            </w:pPr>
            <w:r>
              <w:rPr>
                <w:b/>
                <w:color w:val="FFFFFF"/>
                <w:sz w:val="18"/>
              </w:rPr>
              <w:t>Review?</w:t>
            </w:r>
          </w:p>
        </w:tc>
      </w:tr>
      <w:tr>
        <w:trPr>
          <w:cantSplit/>
        </w:trPr>
        <w:tc>
          <w:tcPr>
            <w:tcW w:type="dxa" w:w="1728"/>
            <w:tcMar>
              <w:top w:w="100" w:type="dxa"/>
              <w:start w:w="120" w:type="dxa"/>
              <w:bottom w:w="100" w:type="dxa"/>
              <w:end w:w="120" w:type="dxa"/>
            </w:tcMar>
          </w:tcPr>
          <w:p>
            <w:pPr>
              <w:spacing w:after="0"/>
            </w:pPr>
            <w:r>
              <w:rPr>
                <w:sz w:val="18"/>
              </w:rPr>
              <w:t>1</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2</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3</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4</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5</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6</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7</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8</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9</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10</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bl>
    <w:p>
      <w:pPr>
        <w:spacing w:after="0"/>
      </w:pPr>
    </w:p>
    <w:p>
      <w:pPr>
        <w:keepNext/>
        <w:spacing w:before="160" w:after="80"/>
        <w:shd w:fill="0E7490" w:val="clear"/>
      </w:pPr>
      <w:r>
        <w:rPr>
          <w:rFonts w:ascii="Aptos" w:hAnsi="Aptos"/>
          <w:b/>
          <w:color w:val="FFFFFF"/>
          <w:sz w:val="17"/>
        </w:rPr>
        <w:t>LCSW-WB05-Q001 | Recall | Easy | Primary concept: Differential diagnosis</w:t>
      </w:r>
    </w:p>
    <w:p>
      <w:pPr>
        <w:keepNext/>
        <w:keepLines/>
        <w:spacing w:before="60"/>
      </w:pPr>
      <w:r>
        <w:rPr>
          <w:b/>
        </w:rPr>
        <w:t>1. A differential diagnosis is BEST described as:</w:t>
      </w:r>
    </w:p>
    <w:p>
      <w:pPr>
        <w:keepNext/>
        <w:keepLines/>
        <w:spacing w:after="20"/>
        <w:ind w:left="259"/>
      </w:pPr>
      <w:r>
        <w:t>A. A comparison of plausible diagnoses that could explain the presentation and the information needed to distinguish them</w:t>
      </w:r>
    </w:p>
    <w:p>
      <w:pPr>
        <w:keepNext/>
        <w:keepLines/>
        <w:spacing w:after="20"/>
        <w:ind w:left="259"/>
      </w:pPr>
      <w:r>
        <w:t>B. A list of every disorder in the DSM</w:t>
      </w:r>
    </w:p>
    <w:p>
      <w:pPr>
        <w:keepNext/>
        <w:keepLines/>
        <w:spacing w:after="20"/>
        <w:ind w:left="259"/>
      </w:pPr>
      <w:r>
        <w:t>C. The diagnosis listed in the oldest available record</w:t>
      </w:r>
    </w:p>
    <w:p>
      <w:pPr>
        <w:keepLines/>
        <w:spacing w:after="20"/>
        <w:ind w:left="259"/>
      </w:pPr>
      <w:r>
        <w:t>D. A diagnosis selected after treatment fails</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LCSW-WB05-Q002 | Recall | Easy | Primary concept: Somatic symptom assessment</w:t>
      </w:r>
    </w:p>
    <w:p>
      <w:pPr>
        <w:keepNext/>
        <w:keepLines/>
        <w:spacing w:before="60"/>
      </w:pPr>
      <w:r>
        <w:rPr>
          <w:b/>
        </w:rPr>
        <w:t>2. Which statement about somatic symptom and related presentations is MOST accurate?</w:t>
      </w:r>
    </w:p>
    <w:p>
      <w:pPr>
        <w:keepNext/>
        <w:keepLines/>
        <w:spacing w:after="20"/>
        <w:ind w:left="259"/>
      </w:pPr>
      <w:r>
        <w:t>A. Physical symptoms are always intentionally produced</w:t>
      </w:r>
    </w:p>
    <w:p>
      <w:pPr>
        <w:keepNext/>
        <w:keepLines/>
        <w:spacing w:after="20"/>
        <w:ind w:left="259"/>
      </w:pPr>
      <w:r>
        <w:t>B. The assessment focuses on distress and thoughts, feelings, or behaviors related to symptoms while continuing appropriate medical evaluation</w:t>
      </w:r>
    </w:p>
    <w:p>
      <w:pPr>
        <w:keepNext/>
        <w:keepLines/>
        <w:spacing w:after="20"/>
        <w:ind w:left="259"/>
      </w:pPr>
      <w:r>
        <w:t>C. A medical diagnosis automatically rules out a somatic symptom disorder</w:t>
      </w:r>
    </w:p>
    <w:p>
      <w:pPr>
        <w:keepLines/>
        <w:spacing w:after="20"/>
        <w:ind w:left="259"/>
      </w:pPr>
      <w:r>
        <w:t>D. The social worker should confront the client about exaggeration</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LCSW-WB05-Q003 | Recall | Easy | Primary concept: Contextual conditions</w:t>
      </w:r>
    </w:p>
    <w:p>
      <w:pPr>
        <w:keepNext/>
        <w:keepLines/>
        <w:spacing w:before="60"/>
      </w:pPr>
      <w:r>
        <w:rPr>
          <w:b/>
        </w:rPr>
        <w:t>3. A client seeks help for housing instability and parent-child conflict but does not show evidence of a mental disorder. What is the MOST appropriate assessment conclusion?</w:t>
      </w:r>
    </w:p>
    <w:p>
      <w:pPr>
        <w:keepNext/>
        <w:keepLines/>
        <w:spacing w:after="20"/>
        <w:ind w:left="259"/>
      </w:pPr>
      <w:r>
        <w:t>A. No social work service is indicated</w:t>
      </w:r>
    </w:p>
    <w:p>
      <w:pPr>
        <w:keepNext/>
        <w:keepLines/>
        <w:spacing w:after="20"/>
        <w:ind w:left="259"/>
      </w:pPr>
      <w:r>
        <w:t>B. A personality disorder should be assigned to permit treatment</w:t>
      </w:r>
    </w:p>
    <w:p>
      <w:pPr>
        <w:keepNext/>
        <w:keepLines/>
        <w:spacing w:after="20"/>
        <w:ind w:left="259"/>
      </w:pPr>
      <w:r>
        <w:t>C. The contextual and relational problems may be documented as clinical-focus conditions and addressed in the service plan</w:t>
      </w:r>
    </w:p>
    <w:p>
      <w:pPr>
        <w:keepLines/>
        <w:spacing w:after="20"/>
        <w:ind w:left="259"/>
      </w:pPr>
      <w:r>
        <w:t>D. The client must be diagnosed with adjustment disorder</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LCSW-WB05-Q004 | Application | Moderate | Primary concept: Bereavement and depression</w:t>
      </w:r>
    </w:p>
    <w:p>
      <w:pPr>
        <w:keepNext/>
        <w:keepLines/>
        <w:spacing w:before="60"/>
      </w:pPr>
      <w:r>
        <w:rPr>
          <w:b/>
        </w:rPr>
        <w:t>4. A client reports sadness, crying, sleep disruption, and reduced concentration two months after the death of a spouse. What should the social worker do first?</w:t>
      </w:r>
    </w:p>
    <w:p>
      <w:pPr>
        <w:keepNext/>
        <w:keepLines/>
        <w:spacing w:after="20"/>
        <w:ind w:left="259"/>
      </w:pPr>
      <w:r>
        <w:t>A. Diagnose major depressive disorder because the client is sad</w:t>
      </w:r>
    </w:p>
    <w:p>
      <w:pPr>
        <w:keepNext/>
        <w:keepLines/>
        <w:spacing w:after="20"/>
        <w:ind w:left="259"/>
      </w:pPr>
      <w:r>
        <w:t>B. Assure the client that all grief reactions are normal and require no assessment</w:t>
      </w:r>
    </w:p>
    <w:p>
      <w:pPr>
        <w:keepNext/>
        <w:keepLines/>
        <w:spacing w:after="20"/>
        <w:ind w:left="259"/>
      </w:pPr>
      <w:r>
        <w:t>C. Refer the client to a grief group without further assessment</w:t>
      </w:r>
    </w:p>
    <w:p>
      <w:pPr>
        <w:keepLines/>
        <w:spacing w:after="20"/>
        <w:ind w:left="259"/>
      </w:pPr>
      <w:r>
        <w:t>D. Assess the pattern, intensity, functional impairment, hopelessness, guilt, suicidal ideation, prior mood episodes, supports, cultural mourning practices, and whether symptoms reflect grief, a depressive disorder, or both</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LCSW-WB05-Q005 | Application | Moderate | Primary concept: Neurodevelopmental differential</w:t>
      </w:r>
    </w:p>
    <w:p>
      <w:pPr>
        <w:keepNext/>
        <w:keepLines/>
        <w:spacing w:before="60"/>
      </w:pPr>
      <w:r>
        <w:rPr>
          <w:b/>
        </w:rPr>
        <w:t>5. A school-age child is referred for inattention and poor performance. What should the social worker do next?</w:t>
      </w:r>
    </w:p>
    <w:p>
      <w:pPr>
        <w:keepNext/>
        <w:keepLines/>
        <w:spacing w:after="20"/>
        <w:ind w:left="259"/>
      </w:pPr>
      <w:r>
        <w:t>A. Assess developmental and educational history, symptoms across settings, sleep, hearing and vision, trauma, anxiety, learning needs, family stress, and obtain school and caregiver information with appropriate consent</w:t>
      </w:r>
    </w:p>
    <w:p>
      <w:pPr>
        <w:keepNext/>
        <w:keepLines/>
        <w:spacing w:after="20"/>
        <w:ind w:left="259"/>
      </w:pPr>
      <w:r>
        <w:t>B. Diagnose ADHD based on the referral</w:t>
      </w:r>
    </w:p>
    <w:p>
      <w:pPr>
        <w:keepNext/>
        <w:keepLines/>
        <w:spacing w:after="20"/>
        <w:ind w:left="259"/>
      </w:pPr>
      <w:r>
        <w:t>C. Tell the teacher to use stricter discipline</w:t>
      </w:r>
    </w:p>
    <w:p>
      <w:pPr>
        <w:keepLines/>
        <w:spacing w:after="20"/>
        <w:ind w:left="259"/>
      </w:pPr>
      <w:r>
        <w:t>D. Refer for medication without further assessment</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LCSW-WB05-Q006 | Application | Moderate | Primary concept: Diagnostic task versus next action</w:t>
      </w:r>
    </w:p>
    <w:p>
      <w:pPr>
        <w:keepNext/>
        <w:keepLines/>
        <w:spacing w:before="60"/>
      </w:pPr>
      <w:r>
        <w:rPr>
          <w:b/>
        </w:rPr>
        <w:t>6. A vignette asks, “What is the MOST likely diagnosis?” Which response process is BEST?</w:t>
      </w:r>
    </w:p>
    <w:p>
      <w:pPr>
        <w:keepNext/>
        <w:keepLines/>
        <w:spacing w:after="20"/>
        <w:ind w:left="259"/>
      </w:pPr>
      <w:r>
        <w:t>A. Choose the intervention that would be safest</w:t>
      </w:r>
    </w:p>
    <w:p>
      <w:pPr>
        <w:keepNext/>
        <w:keepLines/>
        <w:spacing w:after="20"/>
        <w:ind w:left="259"/>
      </w:pPr>
      <w:r>
        <w:t>B. Compare the described symptom pattern, duration, impairment, and exclusions with the answer choices and select the best fit</w:t>
      </w:r>
    </w:p>
    <w:p>
      <w:pPr>
        <w:keepNext/>
        <w:keepLines/>
        <w:spacing w:after="20"/>
        <w:ind w:left="259"/>
      </w:pPr>
      <w:r>
        <w:t>C. Select the most serious diagnosis</w:t>
      </w:r>
    </w:p>
    <w:p>
      <w:pPr>
        <w:keepLines/>
        <w:spacing w:after="20"/>
        <w:ind w:left="259"/>
      </w:pPr>
      <w:r>
        <w:t>D. Choose the diagnosis most common in the social worker’s setting</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LCSW-WB05-Q007 | Scenario | Moderate | Primary concept: Psychosis differential</w:t>
      </w:r>
    </w:p>
    <w:p>
      <w:pPr>
        <w:keepNext/>
        <w:keepLines/>
        <w:spacing w:before="60"/>
      </w:pPr>
      <w:r>
        <w:rPr>
          <w:b/>
        </w:rPr>
        <w:t>7. A client presents with paranoia, auditory hallucinations, severe insomnia, and agitation after several days of methamphetamine use. The client’s record lists schizophrenia, but family reports no psychotic symptoms during a two-year period of abstinence. What should the social worker do first?</w:t>
      </w:r>
    </w:p>
    <w:p>
      <w:pPr>
        <w:keepNext/>
        <w:keepLines/>
        <w:spacing w:after="20"/>
        <w:ind w:left="259"/>
      </w:pPr>
      <w:r>
        <w:t>A. Accept schizophrenia because it is in the record</w:t>
      </w:r>
    </w:p>
    <w:p>
      <w:pPr>
        <w:keepNext/>
        <w:keepLines/>
        <w:spacing w:after="20"/>
        <w:ind w:left="259"/>
      </w:pPr>
      <w:r>
        <w:t>B. Diagnose substance-induced psychotic disorder without further assessment</w:t>
      </w:r>
    </w:p>
    <w:p>
      <w:pPr>
        <w:keepNext/>
        <w:keepLines/>
        <w:spacing w:after="20"/>
        <w:ind w:left="259"/>
      </w:pPr>
      <w:r>
        <w:t>C. Assess immediate safety and medical needs, clarify symptom timing and prior episodes, obtain current substance and medication information, and coordinate medical or psychiatric evaluation before finalizing the diagnosis</w:t>
      </w:r>
    </w:p>
    <w:p>
      <w:pPr>
        <w:keepLines/>
        <w:spacing w:after="20"/>
        <w:ind w:left="259"/>
      </w:pPr>
      <w:r>
        <w:t>D. Begin a social-skills group</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LCSW-WB05-Q008 | Scenario | Moderate | Primary concept: Trauma, dissociation, and psychosis</w:t>
      </w:r>
    </w:p>
    <w:p>
      <w:pPr>
        <w:keepNext/>
        <w:keepLines/>
        <w:spacing w:before="60"/>
      </w:pPr>
      <w:r>
        <w:rPr>
          <w:b/>
        </w:rPr>
        <w:t>8. A trauma survivor reports feeling unreal and occasionally “watching from outside” during reminders of the event. The client recognizes that the experience is internal and denies hallucinations or fixed false beliefs. What should the social worker assess next?</w:t>
      </w:r>
    </w:p>
    <w:p>
      <w:pPr>
        <w:keepNext/>
        <w:keepLines/>
        <w:spacing w:after="20"/>
        <w:ind w:left="259"/>
      </w:pPr>
      <w:r>
        <w:t>A. Assume schizophrenia because the experience is unusual</w:t>
      </w:r>
    </w:p>
    <w:p>
      <w:pPr>
        <w:keepNext/>
        <w:keepLines/>
        <w:spacing w:after="20"/>
        <w:ind w:left="259"/>
      </w:pPr>
      <w:r>
        <w:t>B. Tell the client the experience is fabricated</w:t>
      </w:r>
    </w:p>
    <w:p>
      <w:pPr>
        <w:keepNext/>
        <w:keepLines/>
        <w:spacing w:after="20"/>
        <w:ind w:left="259"/>
      </w:pPr>
      <w:r>
        <w:t>C. Diagnose a personality disorder</w:t>
      </w:r>
    </w:p>
    <w:p>
      <w:pPr>
        <w:keepLines/>
        <w:spacing w:after="20"/>
        <w:ind w:left="259"/>
      </w:pPr>
      <w:r>
        <w:t>D. Assess dissociative symptoms, trauma triggers, memory gaps, safety, substance and medical factors, functioning, and the broader trauma presentation</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LCSW-WB05-Q009 | Scenario | Moderate | Primary concept: Older-adult cognitive differential</w:t>
      </w:r>
    </w:p>
    <w:p>
      <w:pPr>
        <w:keepNext/>
        <w:keepLines/>
        <w:spacing w:before="60"/>
      </w:pPr>
      <w:r>
        <w:rPr>
          <w:b/>
        </w:rPr>
        <w:t>9. An older adult reports depression and forgetfulness after a spouse’s death. The family notes missed bills, getting lost, and a rapid decline over three months. What should the social worker do next?</w:t>
      </w:r>
    </w:p>
    <w:p>
      <w:pPr>
        <w:keepNext/>
        <w:keepLines/>
        <w:spacing w:after="20"/>
        <w:ind w:left="259"/>
      </w:pPr>
      <w:r>
        <w:t>A. Assess mood, grief, cognition, daily functioning, safety, medications, medical and neurologic factors, substance use, onset and course, supports, and coordinate medical evaluation</w:t>
      </w:r>
    </w:p>
    <w:p>
      <w:pPr>
        <w:keepNext/>
        <w:keepLines/>
        <w:spacing w:after="20"/>
        <w:ind w:left="259"/>
      </w:pPr>
      <w:r>
        <w:t>B. Diagnose major depressive disorder and begin therapy only</w:t>
      </w:r>
    </w:p>
    <w:p>
      <w:pPr>
        <w:keepNext/>
        <w:keepLines/>
        <w:spacing w:after="20"/>
        <w:ind w:left="259"/>
      </w:pPr>
      <w:r>
        <w:t>C. Diagnose a neurocognitive disorder based on age</w:t>
      </w:r>
    </w:p>
    <w:p>
      <w:pPr>
        <w:keepLines/>
        <w:spacing w:after="20"/>
        <w:ind w:left="259"/>
      </w:pPr>
      <w:r>
        <w:t>D. Tell the family to assume control of all decisions</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LCSW-WB05-Q010 | Integrated | Challenge | Primary concept: Integrated person-in-environment differential</w:t>
      </w:r>
    </w:p>
    <w:p>
      <w:pPr>
        <w:keepNext/>
        <w:keepLines/>
        <w:spacing w:before="60"/>
      </w:pPr>
      <w:r>
        <w:rPr>
          <w:b/>
        </w:rPr>
        <w:t>10. A client living in a shelter reports low mood, poor sleep, irritability, concentration problems, intermittent cocaine use, chronic pain, and fear of assault. The client asks for medication and housing help. What should the social worker do first?</w:t>
      </w:r>
    </w:p>
    <w:p>
      <w:pPr>
        <w:keepNext/>
        <w:keepLines/>
        <w:spacing w:after="20"/>
        <w:ind w:left="259"/>
      </w:pPr>
      <w:r>
        <w:t>A. Diagnose major depressive disorder and refer for medication</w:t>
      </w:r>
    </w:p>
    <w:p>
      <w:pPr>
        <w:keepNext/>
        <w:keepLines/>
        <w:spacing w:after="20"/>
        <w:ind w:left="259"/>
      </w:pPr>
      <w:r>
        <w:t>B. Assess immediate safety, suicide risk, sleep and pain, substance-use chronology, medical and medication factors, trauma symptoms, prior episodes, functioning, strengths, housing needs, client priorities, and available services before developing the working differential and coordinated plan</w:t>
      </w:r>
    </w:p>
    <w:p>
      <w:pPr>
        <w:keepNext/>
        <w:keepLines/>
        <w:spacing w:after="20"/>
        <w:ind w:left="259"/>
      </w:pPr>
      <w:r>
        <w:t>C. Diagnose cocaine-induced depressive disorder</w:t>
      </w:r>
    </w:p>
    <w:p>
      <w:pPr>
        <w:keepLines/>
        <w:spacing w:after="20"/>
        <w:ind w:left="259"/>
      </w:pPr>
      <w:r>
        <w:t>D. Focus only on housing because environmental problems explain all symptoms</w:t>
      </w:r>
    </w:p>
    <w:p>
      <w:pPr>
        <w:spacing w:after="160"/>
      </w:pPr>
      <w:r>
        <w:rPr>
          <w:rFonts w:ascii="Aptos" w:hAnsi="Aptos"/>
          <w:i/>
          <w:color w:val="6B7280"/>
          <w:sz w:val="18"/>
        </w:rPr>
        <w:t>My answer: ______    Confidence: 1  2  3</w:t>
      </w:r>
    </w:p>
    <w:p>
      <w:r>
        <w:br w:type="page"/>
      </w:r>
    </w:p>
    <w:p>
      <w:pPr>
        <w:pStyle w:val="Heading1"/>
      </w:pPr>
      <w:r>
        <w:t>Answer Key and Detailed Rationales</w:t>
      </w:r>
    </w:p>
    <w:tbl>
      <w:tblPr>
        <w:tblW w:type="auto" w:w="0"/>
        <w:jc w:val="center"/>
        <w:tblLayout w:type="fixed"/>
        <w:tblLook w:firstColumn="1" w:firstRow="1" w:lastColumn="0" w:lastRow="0" w:noHBand="0" w:noVBand="1" w:val="04A0"/>
      </w:tblPr>
      <w:tblGrid>
        <w:gridCol w:w="9936"/>
      </w:tblGrid>
      <w:tr>
        <w:trPr>
          <w:cantSplit/>
        </w:trPr>
        <w:tc>
          <w:tcPr>
            <w:tcW w:type="dxa" w:w="10080"/>
            <w:shd w:fill="E7F5F4"/>
            <w:tcMar>
              <w:top w:w="160" w:type="dxa"/>
              <w:start w:w="180" w:type="dxa"/>
              <w:bottom w:w="160" w:type="dxa"/>
              <w:end w:w="180" w:type="dxa"/>
            </w:tcMar>
            <w:vAlign w:val="center"/>
          </w:tcPr>
          <w:p>
            <w:pPr>
              <w:spacing w:after="80"/>
            </w:pPr>
            <w:r>
              <w:rPr>
                <w:b/>
                <w:i w:val="0"/>
                <w:color w:val="0F7C82"/>
              </w:rPr>
              <w:t>How to Review</w:t>
            </w:r>
          </w:p>
          <w:p>
            <w:pPr>
              <w:spacing w:after="0"/>
            </w:pPr>
            <w:r>
              <w:t>For each missed item, identify whether the error came from content knowledge, chronology, question wording, scope, urgency, or premature certainty. Then restate the best-answer rule in your own words.</w:t>
            </w:r>
          </w:p>
        </w:tc>
      </w:tr>
    </w:tbl>
    <w:p>
      <w:pPr>
        <w:spacing w:after="0"/>
      </w:pPr>
    </w:p>
    <w:p>
      <w:pPr>
        <w:pStyle w:val="Heading2"/>
        <w:keepNext/>
        <w:keepLines/>
      </w:pPr>
      <w:r>
        <w:t>Question 1 (LCSW-WB05-Q001)</w:t>
      </w:r>
    </w:p>
    <w:p>
      <w:pPr>
        <w:keepNext/>
        <w:keepLines/>
      </w:pPr>
      <w:r>
        <w:rPr>
          <w:b/>
          <w:i w:val="0"/>
          <w:color w:val="0F7C82"/>
        </w:rPr>
        <w:t>Correct Answer: A</w:t>
      </w:r>
    </w:p>
    <w:p>
      <w:pPr>
        <w:keepNext/>
        <w:keepLines/>
        <w:spacing w:after="40"/>
        <w:ind w:left="173"/>
      </w:pPr>
      <w:r>
        <w:rPr>
          <w:b/>
          <w:i w:val="0"/>
        </w:rPr>
        <w:t>A. Differential diagnosis compares supported possibilities and identifies discriminating information.</w:t>
      </w:r>
    </w:p>
    <w:p>
      <w:pPr>
        <w:keepNext/>
        <w:keepLines/>
        <w:spacing w:after="40"/>
        <w:ind w:left="173"/>
      </w:pPr>
      <w:r>
        <w:rPr>
          <w:b/>
          <w:i w:val="0"/>
        </w:rPr>
        <w:t>B. A differential is focused on plausible explanations, not every disorder.</w:t>
      </w:r>
    </w:p>
    <w:p>
      <w:pPr>
        <w:keepNext/>
        <w:keepLines/>
        <w:spacing w:after="40"/>
        <w:ind w:left="173"/>
      </w:pPr>
      <w:r>
        <w:rPr>
          <w:b/>
          <w:i w:val="0"/>
        </w:rPr>
        <w:t>C. A prior record is one data source and may be outdated or inaccurate.</w:t>
      </w:r>
    </w:p>
    <w:p>
      <w:pPr>
        <w:keepNext/>
        <w:keepLines/>
        <w:spacing w:after="40"/>
        <w:ind w:left="173"/>
      </w:pPr>
      <w:r>
        <w:rPr>
          <w:b/>
          <w:i w:val="0"/>
        </w:rPr>
        <w:t>D. Differential reasoning begins during assessment and continues as new information emerges.</w:t>
      </w:r>
    </w:p>
    <w:p>
      <w:pPr>
        <w:keepLines/>
        <w:spacing w:after="120"/>
        <w:ind w:left="173"/>
      </w:pPr>
      <w:r>
        <w:rPr>
          <w:b/>
          <w:i w:val="0"/>
          <w:color w:val="1F4E78"/>
        </w:rPr>
        <w:t xml:space="preserve">Exam Strategy: </w:t>
      </w:r>
      <w:r>
        <w:rPr>
          <w:b w:val="0"/>
          <w:i/>
        </w:rPr>
        <w:t>Match the response to the task in the stem and avoid certainty that exceeds the available evidence.</w:t>
      </w:r>
    </w:p>
    <w:p>
      <w:pPr>
        <w:pStyle w:val="Heading2"/>
        <w:keepNext/>
        <w:keepLines/>
      </w:pPr>
      <w:r>
        <w:t>Question 2 (LCSW-WB05-Q002)</w:t>
      </w:r>
    </w:p>
    <w:p>
      <w:pPr>
        <w:keepNext/>
        <w:keepLines/>
      </w:pPr>
      <w:r>
        <w:rPr>
          <w:b/>
          <w:i w:val="0"/>
          <w:color w:val="0F7C82"/>
        </w:rPr>
        <w:t>Correct Answer: B</w:t>
      </w:r>
    </w:p>
    <w:p>
      <w:pPr>
        <w:keepNext/>
        <w:keepLines/>
        <w:spacing w:after="40"/>
        <w:ind w:left="173"/>
      </w:pPr>
      <w:r>
        <w:rPr>
          <w:b/>
          <w:i w:val="0"/>
        </w:rPr>
        <w:t>A. Symptoms are not assumed to be intentionally produced.</w:t>
      </w:r>
    </w:p>
    <w:p>
      <w:pPr>
        <w:keepNext/>
        <w:keepLines/>
        <w:spacing w:after="40"/>
        <w:ind w:left="173"/>
      </w:pPr>
      <w:r>
        <w:rPr>
          <w:b/>
          <w:i w:val="0"/>
        </w:rPr>
        <w:t>B. The clinical focus includes disproportionate distress or behavior while medical needs remain important.</w:t>
      </w:r>
    </w:p>
    <w:p>
      <w:pPr>
        <w:keepNext/>
        <w:keepLines/>
        <w:spacing w:after="40"/>
        <w:ind w:left="173"/>
      </w:pPr>
      <w:r>
        <w:rPr>
          <w:b/>
          <w:i w:val="0"/>
        </w:rPr>
        <w:t>C. A medical condition and excessive symptom-related distress can coexist.</w:t>
      </w:r>
    </w:p>
    <w:p>
      <w:pPr>
        <w:keepNext/>
        <w:keepLines/>
        <w:spacing w:after="40"/>
        <w:ind w:left="173"/>
      </w:pPr>
      <w:r>
        <w:rPr>
          <w:b/>
          <w:i w:val="0"/>
        </w:rPr>
        <w:t>D. Confrontation based on an unsupported assumption is inappropriate.</w:t>
      </w:r>
    </w:p>
    <w:p>
      <w:pPr>
        <w:keepLines/>
        <w:spacing w:after="120"/>
        <w:ind w:left="173"/>
      </w:pPr>
      <w:r>
        <w:rPr>
          <w:b/>
          <w:i w:val="0"/>
          <w:color w:val="1F4E78"/>
        </w:rPr>
        <w:t xml:space="preserve">Exam Strategy: </w:t>
      </w:r>
      <w:r>
        <w:rPr>
          <w:b w:val="0"/>
          <w:i/>
        </w:rPr>
        <w:t>Match the response to the task in the stem and avoid certainty that exceeds the available evidence.</w:t>
      </w:r>
    </w:p>
    <w:p>
      <w:pPr>
        <w:pStyle w:val="Heading2"/>
        <w:keepNext/>
        <w:keepLines/>
      </w:pPr>
      <w:r>
        <w:t>Question 3 (LCSW-WB05-Q003)</w:t>
      </w:r>
    </w:p>
    <w:p>
      <w:pPr>
        <w:keepNext/>
        <w:keepLines/>
      </w:pPr>
      <w:r>
        <w:rPr>
          <w:b/>
          <w:i w:val="0"/>
          <w:color w:val="0F7C82"/>
        </w:rPr>
        <w:t>Correct Answer: C</w:t>
      </w:r>
    </w:p>
    <w:p>
      <w:pPr>
        <w:keepNext/>
        <w:keepLines/>
        <w:spacing w:after="40"/>
        <w:ind w:left="173"/>
      </w:pPr>
      <w:r>
        <w:rPr>
          <w:b/>
          <w:i w:val="0"/>
        </w:rPr>
        <w:t>A. Social work services may address significant contextual and relational problems without a mental-disorder diagnosis.</w:t>
      </w:r>
    </w:p>
    <w:p>
      <w:pPr>
        <w:keepNext/>
        <w:keepLines/>
        <w:spacing w:after="40"/>
        <w:ind w:left="173"/>
      </w:pPr>
      <w:r>
        <w:rPr>
          <w:b/>
          <w:i w:val="0"/>
        </w:rPr>
        <w:t>B. A diagnosis should not be assigned solely to justify services.</w:t>
      </w:r>
    </w:p>
    <w:p>
      <w:pPr>
        <w:keepNext/>
        <w:keepLines/>
        <w:spacing w:after="40"/>
        <w:ind w:left="173"/>
      </w:pPr>
      <w:r>
        <w:rPr>
          <w:b/>
          <w:i w:val="0"/>
        </w:rPr>
        <w:t>C. Conditions affecting housing and relationships can be legitimate focuses of assessment and intervention.</w:t>
      </w:r>
    </w:p>
    <w:p>
      <w:pPr>
        <w:keepNext/>
        <w:keepLines/>
        <w:spacing w:after="40"/>
        <w:ind w:left="173"/>
      </w:pPr>
      <w:r>
        <w:rPr>
          <w:b/>
          <w:i w:val="0"/>
        </w:rPr>
        <w:t>D. An identifiable stressor does not automatically establish adjustment disorder.</w:t>
      </w:r>
    </w:p>
    <w:p>
      <w:pPr>
        <w:keepLines/>
        <w:spacing w:after="120"/>
        <w:ind w:left="173"/>
      </w:pPr>
      <w:r>
        <w:rPr>
          <w:b/>
          <w:i w:val="0"/>
          <w:color w:val="1F4E78"/>
        </w:rPr>
        <w:t xml:space="preserve">Exam Strategy: </w:t>
      </w:r>
      <w:r>
        <w:rPr>
          <w:b w:val="0"/>
          <w:i/>
        </w:rPr>
        <w:t>Integrate clinical pattern with context without replacing diagnostic evidence with a relational or environmental explanation.</w:t>
      </w:r>
    </w:p>
    <w:p>
      <w:pPr>
        <w:pStyle w:val="Heading2"/>
        <w:keepNext/>
        <w:keepLines/>
      </w:pPr>
      <w:r>
        <w:t>Question 4 (LCSW-WB05-Q004)</w:t>
      </w:r>
    </w:p>
    <w:p>
      <w:pPr>
        <w:keepNext/>
        <w:keepLines/>
      </w:pPr>
      <w:r>
        <w:rPr>
          <w:b/>
          <w:i w:val="0"/>
          <w:color w:val="0F7C82"/>
        </w:rPr>
        <w:t>Correct Answer: D</w:t>
      </w:r>
    </w:p>
    <w:p>
      <w:pPr>
        <w:keepNext/>
        <w:keepLines/>
        <w:spacing w:after="40"/>
        <w:ind w:left="173"/>
      </w:pPr>
      <w:r>
        <w:rPr>
          <w:b/>
          <w:i w:val="0"/>
        </w:rPr>
        <w:t>A. Sadness after loss does not by itself establish a depressive disorder.</w:t>
      </w:r>
    </w:p>
    <w:p>
      <w:pPr>
        <w:keepNext/>
        <w:keepLines/>
        <w:spacing w:after="40"/>
        <w:ind w:left="173"/>
      </w:pPr>
      <w:r>
        <w:rPr>
          <w:b/>
          <w:i w:val="0"/>
        </w:rPr>
        <w:t>B. Grief varies, and risk and impairment still require assessment.</w:t>
      </w:r>
    </w:p>
    <w:p>
      <w:pPr>
        <w:keepNext/>
        <w:keepLines/>
        <w:spacing w:after="40"/>
        <w:ind w:left="173"/>
      </w:pPr>
      <w:r>
        <w:rPr>
          <w:b/>
          <w:i w:val="0"/>
        </w:rPr>
        <w:t>C. A group may help but should follow assessment and client choice.</w:t>
      </w:r>
    </w:p>
    <w:p>
      <w:pPr>
        <w:keepNext/>
        <w:keepLines/>
        <w:spacing w:after="40"/>
        <w:ind w:left="173"/>
      </w:pPr>
      <w:r>
        <w:rPr>
          <w:b/>
          <w:i w:val="0"/>
        </w:rPr>
        <w:t>D. This evaluates safety, cultural context, functioning, and the grief-versus-depression differential.</w:t>
      </w:r>
    </w:p>
    <w:p>
      <w:pPr>
        <w:keepLines/>
        <w:spacing w:after="120"/>
        <w:ind w:left="173"/>
      </w:pPr>
      <w:r>
        <w:rPr>
          <w:b/>
          <w:i w:val="0"/>
          <w:color w:val="1F4E78"/>
        </w:rPr>
        <w:t xml:space="preserve">Exam Strategy: </w:t>
      </w:r>
      <w:r>
        <w:rPr>
          <w:b w:val="0"/>
          <w:i/>
        </w:rPr>
        <w:t>Integrate clinical pattern with context without replacing diagnostic evidence with a relational or environmental explanation.</w:t>
      </w:r>
    </w:p>
    <w:p>
      <w:pPr>
        <w:pStyle w:val="Heading2"/>
        <w:keepNext/>
        <w:keepLines/>
      </w:pPr>
      <w:r>
        <w:t>Question 5 (LCSW-WB05-Q005)</w:t>
      </w:r>
    </w:p>
    <w:p>
      <w:pPr>
        <w:keepNext/>
        <w:keepLines/>
      </w:pPr>
      <w:r>
        <w:rPr>
          <w:b/>
          <w:i w:val="0"/>
          <w:color w:val="0F7C82"/>
        </w:rPr>
        <w:t>Correct Answer: A</w:t>
      </w:r>
    </w:p>
    <w:p>
      <w:pPr>
        <w:keepNext/>
        <w:keepLines/>
        <w:spacing w:after="40"/>
        <w:ind w:left="173"/>
      </w:pPr>
      <w:r>
        <w:rPr>
          <w:b/>
          <w:i w:val="0"/>
        </w:rPr>
        <w:t>A. This assesses cross-setting, developmental, medical, educational, and contextual differentials.</w:t>
      </w:r>
    </w:p>
    <w:p>
      <w:pPr>
        <w:keepNext/>
        <w:keepLines/>
        <w:spacing w:after="40"/>
        <w:ind w:left="173"/>
      </w:pPr>
      <w:r>
        <w:rPr>
          <w:b/>
          <w:i w:val="0"/>
        </w:rPr>
        <w:t>B. A referral concern is not sufficient for diagnosis.</w:t>
      </w:r>
    </w:p>
    <w:p>
      <w:pPr>
        <w:keepNext/>
        <w:keepLines/>
        <w:spacing w:after="40"/>
        <w:ind w:left="173"/>
      </w:pPr>
      <w:r>
        <w:rPr>
          <w:b/>
          <w:i w:val="0"/>
        </w:rPr>
        <w:t>C. Discipline does not clarify the clinical presentation.</w:t>
      </w:r>
    </w:p>
    <w:p>
      <w:pPr>
        <w:keepNext/>
        <w:keepLines/>
        <w:spacing w:after="40"/>
        <w:ind w:left="173"/>
      </w:pPr>
      <w:r>
        <w:rPr>
          <w:b/>
          <w:i w:val="0"/>
        </w:rPr>
        <w:t>D. Medication referral is premature and does not replace assessment.</w:t>
      </w:r>
    </w:p>
    <w:p>
      <w:pPr>
        <w:keepLines/>
        <w:spacing w:after="120"/>
        <w:ind w:left="173"/>
      </w:pPr>
      <w:r>
        <w:rPr>
          <w:b/>
          <w:i w:val="0"/>
          <w:color w:val="1F4E78"/>
        </w:rPr>
        <w:t xml:space="preserve">Exam Strategy: </w:t>
      </w:r>
      <w:r>
        <w:rPr>
          <w:b w:val="0"/>
          <w:i/>
        </w:rPr>
        <w:t>Integrate clinical pattern with context without replacing diagnostic evidence with a relational or environmental explanation.</w:t>
      </w:r>
    </w:p>
    <w:p>
      <w:pPr>
        <w:pStyle w:val="Heading2"/>
        <w:keepNext/>
        <w:keepLines/>
      </w:pPr>
      <w:r>
        <w:t>Question 6 (LCSW-WB05-Q006)</w:t>
      </w:r>
    </w:p>
    <w:p>
      <w:pPr>
        <w:keepNext/>
        <w:keepLines/>
      </w:pPr>
      <w:r>
        <w:rPr>
          <w:b/>
          <w:i w:val="0"/>
          <w:color w:val="0F7C82"/>
        </w:rPr>
        <w:t>Correct Answer: B</w:t>
      </w:r>
    </w:p>
    <w:p>
      <w:pPr>
        <w:keepNext/>
        <w:keepLines/>
        <w:spacing w:after="40"/>
        <w:ind w:left="173"/>
      </w:pPr>
      <w:r>
        <w:rPr>
          <w:b/>
          <w:i w:val="0"/>
        </w:rPr>
        <w:t>A. Safety matters, but the stem specifically asks for diagnosis.</w:t>
      </w:r>
    </w:p>
    <w:p>
      <w:pPr>
        <w:keepNext/>
        <w:keepLines/>
        <w:spacing w:after="40"/>
        <w:ind w:left="173"/>
      </w:pPr>
      <w:r>
        <w:rPr>
          <w:b/>
          <w:i w:val="0"/>
        </w:rPr>
        <w:t>B. The response should match the diagnostic task and the facts provided.</w:t>
      </w:r>
    </w:p>
    <w:p>
      <w:pPr>
        <w:keepNext/>
        <w:keepLines/>
        <w:spacing w:after="40"/>
        <w:ind w:left="173"/>
      </w:pPr>
      <w:r>
        <w:rPr>
          <w:b/>
          <w:i w:val="0"/>
        </w:rPr>
        <w:t>C. Severity does not determine diagnostic fit.</w:t>
      </w:r>
    </w:p>
    <w:p>
      <w:pPr>
        <w:keepNext/>
        <w:keepLines/>
        <w:spacing w:after="40"/>
        <w:ind w:left="173"/>
      </w:pPr>
      <w:r>
        <w:rPr>
          <w:b/>
          <w:i w:val="0"/>
        </w:rPr>
        <w:t>D. Base rates in one setting do not override the vignette.</w:t>
      </w:r>
    </w:p>
    <w:p>
      <w:pPr>
        <w:keepLines/>
        <w:spacing w:after="120"/>
        <w:ind w:left="173"/>
      </w:pPr>
      <w:r>
        <w:rPr>
          <w:b/>
          <w:i w:val="0"/>
          <w:color w:val="1F4E78"/>
        </w:rPr>
        <w:t xml:space="preserve">Exam Strategy: </w:t>
      </w:r>
      <w:r>
        <w:rPr>
          <w:b w:val="0"/>
          <w:i/>
        </w:rPr>
        <w:t>Address acuity and safety before routine diagnostic closure.</w:t>
      </w:r>
    </w:p>
    <w:p>
      <w:pPr>
        <w:pStyle w:val="Heading2"/>
        <w:keepNext/>
        <w:keepLines/>
      </w:pPr>
      <w:r>
        <w:t>Question 7 (LCSW-WB05-Q007)</w:t>
      </w:r>
    </w:p>
    <w:p>
      <w:pPr>
        <w:keepNext/>
        <w:keepLines/>
      </w:pPr>
      <w:r>
        <w:rPr>
          <w:b/>
          <w:i w:val="0"/>
          <w:color w:val="0F7C82"/>
        </w:rPr>
        <w:t>Correct Answer: C</w:t>
      </w:r>
    </w:p>
    <w:p>
      <w:pPr>
        <w:keepNext/>
        <w:keepLines/>
        <w:spacing w:after="40"/>
        <w:ind w:left="173"/>
      </w:pPr>
      <w:r>
        <w:rPr>
          <w:b/>
          <w:i w:val="0"/>
        </w:rPr>
        <w:t>A. A prior record does not replace current assessment.</w:t>
      </w:r>
    </w:p>
    <w:p>
      <w:pPr>
        <w:keepNext/>
        <w:keepLines/>
        <w:spacing w:after="40"/>
        <w:ind w:left="173"/>
      </w:pPr>
      <w:r>
        <w:rPr>
          <w:b/>
          <w:i w:val="0"/>
        </w:rPr>
        <w:t>B. The substance-related explanation is plausible but still requires assessment and exclusion of other causes.</w:t>
      </w:r>
    </w:p>
    <w:p>
      <w:pPr>
        <w:keepNext/>
        <w:keepLines/>
        <w:spacing w:after="40"/>
        <w:ind w:left="173"/>
      </w:pPr>
      <w:r>
        <w:rPr>
          <w:b/>
          <w:i w:val="0"/>
        </w:rPr>
        <w:t>C. This addresses urgency, chronology, records, and the primary-versus-substance-induced differential.</w:t>
      </w:r>
    </w:p>
    <w:p>
      <w:pPr>
        <w:keepNext/>
        <w:keepLines/>
        <w:spacing w:after="40"/>
        <w:ind w:left="173"/>
      </w:pPr>
      <w:r>
        <w:rPr>
          <w:b/>
          <w:i w:val="0"/>
        </w:rPr>
        <w:t>D. Group treatment is not the first priority in an acute presentation.</w:t>
      </w:r>
    </w:p>
    <w:p>
      <w:pPr>
        <w:keepLines/>
        <w:spacing w:after="120"/>
        <w:ind w:left="173"/>
      </w:pPr>
      <w:r>
        <w:rPr>
          <w:b/>
          <w:i w:val="0"/>
          <w:color w:val="1F4E78"/>
        </w:rPr>
        <w:t xml:space="preserve">Exam Strategy: </w:t>
      </w:r>
      <w:r>
        <w:rPr>
          <w:b w:val="0"/>
          <w:i/>
        </w:rPr>
        <w:t>Use chronology to separate primary, substance-related, medication-related, stress-linked, and episodic explanations.</w:t>
      </w:r>
    </w:p>
    <w:p>
      <w:pPr>
        <w:pStyle w:val="Heading2"/>
        <w:keepNext/>
        <w:keepLines/>
      </w:pPr>
      <w:r>
        <w:t>Question 8 (LCSW-WB05-Q008)</w:t>
      </w:r>
    </w:p>
    <w:p>
      <w:pPr>
        <w:keepNext/>
        <w:keepLines/>
      </w:pPr>
      <w:r>
        <w:rPr>
          <w:b/>
          <w:i w:val="0"/>
          <w:color w:val="0F7C82"/>
        </w:rPr>
        <w:t>Correct Answer: D</w:t>
      </w:r>
    </w:p>
    <w:p>
      <w:pPr>
        <w:keepNext/>
        <w:keepLines/>
        <w:spacing w:after="40"/>
        <w:ind w:left="173"/>
      </w:pPr>
      <w:r>
        <w:rPr>
          <w:b/>
          <w:i w:val="0"/>
        </w:rPr>
        <w:t>A. The client’s retained reality testing and trauma-linked experience require a broader differential.</w:t>
      </w:r>
    </w:p>
    <w:p>
      <w:pPr>
        <w:keepNext/>
        <w:keepLines/>
        <w:spacing w:after="40"/>
        <w:ind w:left="173"/>
      </w:pPr>
      <w:r>
        <w:rPr>
          <w:b/>
          <w:i w:val="0"/>
        </w:rPr>
        <w:t>B. There is no basis to assume fabrication.</w:t>
      </w:r>
    </w:p>
    <w:p>
      <w:pPr>
        <w:keepNext/>
        <w:keepLines/>
        <w:spacing w:after="40"/>
        <w:ind w:left="173"/>
      </w:pPr>
      <w:r>
        <w:rPr>
          <w:b/>
          <w:i w:val="0"/>
        </w:rPr>
        <w:t>C. The scenario does not establish a pervasive personality pattern.</w:t>
      </w:r>
    </w:p>
    <w:p>
      <w:pPr>
        <w:keepNext/>
        <w:keepLines/>
        <w:spacing w:after="40"/>
        <w:ind w:left="173"/>
      </w:pPr>
      <w:r>
        <w:rPr>
          <w:b/>
          <w:i w:val="0"/>
        </w:rPr>
        <w:t>D. This evaluates dissociation, trauma, exclusions, and impact.</w:t>
      </w:r>
    </w:p>
    <w:p>
      <w:pPr>
        <w:keepLines/>
        <w:spacing w:after="120"/>
        <w:ind w:left="173"/>
      </w:pPr>
      <w:r>
        <w:rPr>
          <w:b/>
          <w:i w:val="0"/>
          <w:color w:val="1F4E78"/>
        </w:rPr>
        <w:t xml:space="preserve">Exam Strategy: </w:t>
      </w:r>
      <w:r>
        <w:rPr>
          <w:b w:val="0"/>
          <w:i/>
        </w:rPr>
        <w:t>Match the response to the task in the stem and avoid certainty that exceeds the available evidence.</w:t>
      </w:r>
    </w:p>
    <w:p>
      <w:pPr>
        <w:pStyle w:val="Heading2"/>
        <w:keepNext/>
        <w:keepLines/>
      </w:pPr>
      <w:r>
        <w:t>Question 9 (LCSW-WB05-Q009)</w:t>
      </w:r>
    </w:p>
    <w:p>
      <w:pPr>
        <w:keepNext/>
        <w:keepLines/>
      </w:pPr>
      <w:r>
        <w:rPr>
          <w:b/>
          <w:i w:val="0"/>
          <w:color w:val="0F7C82"/>
        </w:rPr>
        <w:t>Correct Answer: A</w:t>
      </w:r>
    </w:p>
    <w:p>
      <w:pPr>
        <w:keepNext/>
        <w:keepLines/>
        <w:spacing w:after="40"/>
        <w:ind w:left="173"/>
      </w:pPr>
      <w:r>
        <w:rPr>
          <w:b/>
          <w:i w:val="0"/>
        </w:rPr>
        <w:t>A. This evaluates depression, grief, neurocognitive, medication, medical, and safety factors.</w:t>
      </w:r>
    </w:p>
    <w:p>
      <w:pPr>
        <w:keepNext/>
        <w:keepLines/>
        <w:spacing w:after="40"/>
        <w:ind w:left="173"/>
      </w:pPr>
      <w:r>
        <w:rPr>
          <w:b/>
          <w:i w:val="0"/>
        </w:rPr>
        <w:t>B. Depression may contribute, but the functional and cognitive changes require broader assessment.</w:t>
      </w:r>
    </w:p>
    <w:p>
      <w:pPr>
        <w:keepNext/>
        <w:keepLines/>
        <w:spacing w:after="40"/>
        <w:ind w:left="173"/>
      </w:pPr>
      <w:r>
        <w:rPr>
          <w:b/>
          <w:i w:val="0"/>
        </w:rPr>
        <w:t>C. Age alone does not establish a neurocognitive disorder.</w:t>
      </w:r>
    </w:p>
    <w:p>
      <w:pPr>
        <w:keepNext/>
        <w:keepLines/>
        <w:spacing w:after="40"/>
        <w:ind w:left="173"/>
      </w:pPr>
      <w:r>
        <w:rPr>
          <w:b/>
          <w:i w:val="0"/>
        </w:rPr>
        <w:t>D. The client’s rights and decision-making ability require assessment.</w:t>
      </w:r>
    </w:p>
    <w:p>
      <w:pPr>
        <w:keepLines/>
        <w:spacing w:after="120"/>
        <w:ind w:left="173"/>
      </w:pPr>
      <w:r>
        <w:rPr>
          <w:b/>
          <w:i w:val="0"/>
          <w:color w:val="1F4E78"/>
        </w:rPr>
        <w:t xml:space="preserve">Exam Strategy: </w:t>
      </w:r>
      <w:r>
        <w:rPr>
          <w:b w:val="0"/>
          <w:i/>
        </w:rPr>
        <w:t>Address acuity and safety before routine diagnostic closure.</w:t>
      </w:r>
    </w:p>
    <w:p>
      <w:pPr>
        <w:pStyle w:val="Heading2"/>
        <w:keepNext/>
        <w:keepLines/>
      </w:pPr>
      <w:r>
        <w:t>Question 10 (LCSW-WB05-Q010)</w:t>
      </w:r>
    </w:p>
    <w:p>
      <w:pPr>
        <w:keepNext/>
        <w:keepLines/>
      </w:pPr>
      <w:r>
        <w:rPr>
          <w:b/>
          <w:i w:val="0"/>
          <w:color w:val="0F7C82"/>
        </w:rPr>
        <w:t>Correct Answer: B</w:t>
      </w:r>
    </w:p>
    <w:p>
      <w:pPr>
        <w:keepNext/>
        <w:keepLines/>
        <w:spacing w:after="40"/>
        <w:ind w:left="173"/>
      </w:pPr>
      <w:r>
        <w:rPr>
          <w:b/>
          <w:i w:val="0"/>
        </w:rPr>
        <w:t>A. Depression is possible, but the differential and immediate needs are incomplete.</w:t>
      </w:r>
    </w:p>
    <w:p>
      <w:pPr>
        <w:keepNext/>
        <w:keepLines/>
        <w:spacing w:after="40"/>
        <w:ind w:left="173"/>
      </w:pPr>
      <w:r>
        <w:rPr>
          <w:b/>
          <w:i w:val="0"/>
        </w:rPr>
        <w:t>B. This integrates safety, diagnosis, health, trauma, substance use, environment, resources, and client participation.</w:t>
      </w:r>
    </w:p>
    <w:p>
      <w:pPr>
        <w:keepNext/>
        <w:keepLines/>
        <w:spacing w:after="40"/>
        <w:ind w:left="173"/>
      </w:pPr>
      <w:r>
        <w:rPr>
          <w:b/>
          <w:i w:val="0"/>
        </w:rPr>
        <w:t>C. Substance-related symptoms are possible but not established without chronology and broader assessment.</w:t>
      </w:r>
    </w:p>
    <w:p>
      <w:pPr>
        <w:keepNext/>
        <w:keepLines/>
        <w:spacing w:after="40"/>
        <w:ind w:left="173"/>
      </w:pPr>
      <w:r>
        <w:rPr>
          <w:b/>
          <w:i w:val="0"/>
        </w:rPr>
        <w:t>D. Housing is critical but does not eliminate the need to assess mental health, substance, medical, and safety concerns.</w:t>
      </w:r>
    </w:p>
    <w:p>
      <w:pPr>
        <w:keepLines/>
        <w:spacing w:after="120"/>
        <w:ind w:left="173"/>
      </w:pPr>
      <w:r>
        <w:rPr>
          <w:b/>
          <w:i w:val="0"/>
          <w:color w:val="1F4E78"/>
        </w:rPr>
        <w:t xml:space="preserve">Exam Strategy: </w:t>
      </w:r>
      <w:r>
        <w:rPr>
          <w:b w:val="0"/>
          <w:i/>
        </w:rPr>
        <w:t>Use chronology to separate primary, substance-related, medication-related, stress-linked, and episodic explanations.</w:t>
      </w:r>
    </w:p>
    <w:p>
      <w:r>
        <w:br w:type="page"/>
      </w:r>
    </w:p>
    <w:p>
      <w:pPr>
        <w:pStyle w:val="Heading1"/>
      </w:pPr>
      <w:r>
        <w:t>Score and Study Plan</w:t>
      </w:r>
    </w:p>
    <w:tbl>
      <w:tblPr>
        <w:tblStyle w:val="TableGrid"/>
        <w:tblW w:type="auto" w:w="0"/>
        <w:jc w:val="center"/>
        <w:tblLayout w:type="fixed"/>
        <w:tblLook w:firstColumn="1" w:firstRow="1" w:lastColumn="0" w:lastRow="0" w:noHBand="0" w:noVBand="1" w:val="04A0"/>
      </w:tblPr>
      <w:tblGrid>
        <w:gridCol w:w="1728"/>
        <w:gridCol w:w="2880"/>
        <w:gridCol w:w="5328"/>
      </w:tblGrid>
      <w:tr>
        <w:trPr>
          <w:tblHeader w:val="true"/>
          <w:cantSplit/>
        </w:trPr>
        <w:tc>
          <w:tcPr>
            <w:tcW w:type="dxa" w:w="3360"/>
            <w:shd w:fill="17365D"/>
            <w:tcMar>
              <w:top w:w="100" w:type="dxa"/>
              <w:start w:w="120" w:type="dxa"/>
              <w:bottom w:w="100" w:type="dxa"/>
              <w:end w:w="120" w:type="dxa"/>
            </w:tcMar>
          </w:tcPr>
          <w:p>
            <w:pPr>
              <w:spacing w:after="0"/>
            </w:pPr>
            <w:r>
              <w:rPr>
                <w:b/>
                <w:color w:val="FFFFFF"/>
                <w:sz w:val="18"/>
              </w:rPr>
              <w:t>Score Range</w:t>
            </w:r>
          </w:p>
        </w:tc>
        <w:tc>
          <w:tcPr>
            <w:tcW w:type="dxa" w:w="3360"/>
            <w:shd w:fill="17365D"/>
            <w:tcMar>
              <w:top w:w="100" w:type="dxa"/>
              <w:start w:w="120" w:type="dxa"/>
              <w:bottom w:w="100" w:type="dxa"/>
              <w:end w:w="120" w:type="dxa"/>
            </w:tcMar>
          </w:tcPr>
          <w:p>
            <w:pPr>
              <w:spacing w:after="0"/>
            </w:pPr>
            <w:r>
              <w:rPr>
                <w:b/>
                <w:color w:val="FFFFFF"/>
                <w:sz w:val="18"/>
              </w:rPr>
              <w:t>Meaning</w:t>
            </w:r>
          </w:p>
        </w:tc>
        <w:tc>
          <w:tcPr>
            <w:tcW w:type="dxa" w:w="3360"/>
            <w:shd w:fill="17365D"/>
            <w:tcMar>
              <w:top w:w="100" w:type="dxa"/>
              <w:start w:w="120" w:type="dxa"/>
              <w:bottom w:w="100" w:type="dxa"/>
              <w:end w:w="120" w:type="dxa"/>
            </w:tcMar>
          </w:tcPr>
          <w:p>
            <w:pPr>
              <w:spacing w:after="0"/>
            </w:pPr>
            <w:r>
              <w:rPr>
                <w:b/>
                <w:color w:val="FFFFFF"/>
                <w:sz w:val="18"/>
              </w:rPr>
              <w:t>Recommended Next Step</w:t>
            </w:r>
          </w:p>
        </w:tc>
      </w:tr>
      <w:tr>
        <w:trPr>
          <w:cantSplit/>
        </w:trPr>
        <w:tc>
          <w:tcPr>
            <w:tcW w:type="dxa" w:w="1728"/>
            <w:tcMar>
              <w:top w:w="100" w:type="dxa"/>
              <w:start w:w="120" w:type="dxa"/>
              <w:bottom w:w="100" w:type="dxa"/>
              <w:end w:w="120" w:type="dxa"/>
            </w:tcMar>
          </w:tcPr>
          <w:p>
            <w:pPr>
              <w:spacing w:after="0"/>
            </w:pPr>
            <w:r>
              <w:rPr>
                <w:sz w:val="18"/>
              </w:rPr>
              <w:t>9-10</w:t>
            </w:r>
          </w:p>
        </w:tc>
        <w:tc>
          <w:tcPr>
            <w:tcW w:type="dxa" w:w="2880"/>
            <w:tcMar>
              <w:top w:w="100" w:type="dxa"/>
              <w:start w:w="120" w:type="dxa"/>
              <w:bottom w:w="100" w:type="dxa"/>
              <w:end w:w="120" w:type="dxa"/>
            </w:tcMar>
          </w:tcPr>
          <w:p>
            <w:pPr>
              <w:spacing w:after="0"/>
            </w:pPr>
            <w:r>
              <w:rPr>
                <w:sz w:val="18"/>
              </w:rPr>
              <w:t>Strong diagnostic reasoning</w:t>
            </w:r>
          </w:p>
        </w:tc>
        <w:tc>
          <w:tcPr>
            <w:tcW w:type="dxa" w:w="5328"/>
            <w:tcMar>
              <w:top w:w="100" w:type="dxa"/>
              <w:start w:w="120" w:type="dxa"/>
              <w:bottom w:w="100" w:type="dxa"/>
              <w:end w:w="120" w:type="dxa"/>
            </w:tcMar>
          </w:tcPr>
          <w:p>
            <w:pPr>
              <w:spacing w:after="0"/>
            </w:pPr>
            <w:r>
              <w:rPr>
                <w:sz w:val="18"/>
              </w:rPr>
              <w:t>Review only missed or low-confidence items; then practice mixed vignettes.</w:t>
            </w:r>
          </w:p>
        </w:tc>
      </w:tr>
      <w:tr>
        <w:trPr>
          <w:cantSplit/>
        </w:trPr>
        <w:tc>
          <w:tcPr>
            <w:tcW w:type="dxa" w:w="1728"/>
            <w:tcMar>
              <w:top w:w="100" w:type="dxa"/>
              <w:start w:w="120" w:type="dxa"/>
              <w:bottom w:w="100" w:type="dxa"/>
              <w:end w:w="120" w:type="dxa"/>
            </w:tcMar>
            <w:shd w:fill="F7F8FA"/>
          </w:tcPr>
          <w:p>
            <w:pPr>
              <w:spacing w:after="0"/>
            </w:pPr>
            <w:r>
              <w:rPr>
                <w:sz w:val="18"/>
              </w:rPr>
              <w:t>7-8</w:t>
            </w:r>
          </w:p>
        </w:tc>
        <w:tc>
          <w:tcPr>
            <w:tcW w:type="dxa" w:w="2880"/>
            <w:tcMar>
              <w:top w:w="100" w:type="dxa"/>
              <w:start w:w="120" w:type="dxa"/>
              <w:bottom w:w="100" w:type="dxa"/>
              <w:end w:w="120" w:type="dxa"/>
            </w:tcMar>
            <w:shd w:fill="F7F8FA"/>
          </w:tcPr>
          <w:p>
            <w:pPr>
              <w:spacing w:after="0"/>
            </w:pPr>
            <w:r>
              <w:rPr>
                <w:sz w:val="18"/>
              </w:rPr>
              <w:t>Developing consistency</w:t>
            </w:r>
          </w:p>
        </w:tc>
        <w:tc>
          <w:tcPr>
            <w:tcW w:type="dxa" w:w="5328"/>
            <w:tcMar>
              <w:top w:w="100" w:type="dxa"/>
              <w:start w:w="120" w:type="dxa"/>
              <w:bottom w:w="100" w:type="dxa"/>
              <w:end w:w="120" w:type="dxa"/>
            </w:tcMar>
            <w:shd w:fill="F7F8FA"/>
          </w:tcPr>
          <w:p>
            <w:pPr>
              <w:spacing w:after="0"/>
            </w:pPr>
            <w:r>
              <w:rPr>
                <w:sz w:val="18"/>
              </w:rPr>
              <w:t>Revisit chronology, exclusions, and question-task matching before retesting.</w:t>
            </w:r>
          </w:p>
        </w:tc>
      </w:tr>
      <w:tr>
        <w:trPr>
          <w:cantSplit/>
        </w:trPr>
        <w:tc>
          <w:tcPr>
            <w:tcW w:type="dxa" w:w="1728"/>
            <w:tcMar>
              <w:top w:w="100" w:type="dxa"/>
              <w:start w:w="120" w:type="dxa"/>
              <w:bottom w:w="100" w:type="dxa"/>
              <w:end w:w="120" w:type="dxa"/>
            </w:tcMar>
          </w:tcPr>
          <w:p>
            <w:pPr>
              <w:spacing w:after="0"/>
            </w:pPr>
            <w:r>
              <w:rPr>
                <w:sz w:val="18"/>
              </w:rPr>
              <w:t>5-6</w:t>
            </w:r>
          </w:p>
        </w:tc>
        <w:tc>
          <w:tcPr>
            <w:tcW w:type="dxa" w:w="2880"/>
            <w:tcMar>
              <w:top w:w="100" w:type="dxa"/>
              <w:start w:w="120" w:type="dxa"/>
              <w:bottom w:w="100" w:type="dxa"/>
              <w:end w:w="120" w:type="dxa"/>
            </w:tcMar>
          </w:tcPr>
          <w:p>
            <w:pPr>
              <w:spacing w:after="0"/>
            </w:pPr>
            <w:r>
              <w:rPr>
                <w:sz w:val="18"/>
              </w:rPr>
              <w:t>Content and sequencing gaps</w:t>
            </w:r>
          </w:p>
        </w:tc>
        <w:tc>
          <w:tcPr>
            <w:tcW w:type="dxa" w:w="5328"/>
            <w:tcMar>
              <w:top w:w="100" w:type="dxa"/>
              <w:start w:w="120" w:type="dxa"/>
              <w:bottom w:w="100" w:type="dxa"/>
              <w:end w:w="120" w:type="dxa"/>
            </w:tcMar>
          </w:tcPr>
          <w:p>
            <w:pPr>
              <w:spacing w:after="0"/>
            </w:pPr>
            <w:r>
              <w:rPr>
                <w:sz w:val="18"/>
              </w:rPr>
              <w:t>Review the diagnostic sequence and high-yield family comparison table; rewrite missed-item rules.</w:t>
            </w:r>
          </w:p>
        </w:tc>
      </w:tr>
      <w:tr>
        <w:trPr>
          <w:cantSplit/>
        </w:trPr>
        <w:tc>
          <w:tcPr>
            <w:tcW w:type="dxa" w:w="1728"/>
            <w:tcMar>
              <w:top w:w="100" w:type="dxa"/>
              <w:start w:w="120" w:type="dxa"/>
              <w:bottom w:w="100" w:type="dxa"/>
              <w:end w:w="120" w:type="dxa"/>
            </w:tcMar>
            <w:shd w:fill="F7F8FA"/>
          </w:tcPr>
          <w:p>
            <w:pPr>
              <w:spacing w:after="0"/>
            </w:pPr>
            <w:r>
              <w:rPr>
                <w:sz w:val="18"/>
              </w:rPr>
              <w:t>0-4</w:t>
            </w:r>
          </w:p>
        </w:tc>
        <w:tc>
          <w:tcPr>
            <w:tcW w:type="dxa" w:w="2880"/>
            <w:tcMar>
              <w:top w:w="100" w:type="dxa"/>
              <w:start w:w="120" w:type="dxa"/>
              <w:bottom w:w="100" w:type="dxa"/>
              <w:end w:w="120" w:type="dxa"/>
            </w:tcMar>
            <w:shd w:fill="F7F8FA"/>
          </w:tcPr>
          <w:p>
            <w:pPr>
              <w:spacing w:after="0"/>
            </w:pPr>
            <w:r>
              <w:rPr>
                <w:sz w:val="18"/>
              </w:rPr>
              <w:t>Foundation needs reinforcement</w:t>
            </w:r>
          </w:p>
        </w:tc>
        <w:tc>
          <w:tcPr>
            <w:tcW w:type="dxa" w:w="5328"/>
            <w:tcMar>
              <w:top w:w="100" w:type="dxa"/>
              <w:start w:w="120" w:type="dxa"/>
              <w:bottom w:w="100" w:type="dxa"/>
              <w:end w:w="120" w:type="dxa"/>
            </w:tcMar>
            <w:shd w:fill="F7F8FA"/>
          </w:tcPr>
          <w:p>
            <w:pPr>
              <w:spacing w:after="0"/>
            </w:pPr>
            <w:r>
              <w:rPr>
                <w:sz w:val="18"/>
              </w:rPr>
              <w:t>Study the workbook in sections and complete a second untimed attempt before advancing.</w:t>
            </w:r>
          </w:p>
        </w:tc>
      </w:tr>
    </w:tbl>
    <w:p>
      <w:pPr>
        <w:spacing w:after="0"/>
      </w:pPr>
    </w:p>
    <w:p>
      <w:pPr>
        <w:pStyle w:val="Heading2"/>
      </w:pPr>
      <w:r>
        <w:t>My Error Patterns</w:t>
      </w:r>
    </w:p>
    <w:tbl>
      <w:tblPr>
        <w:tblStyle w:val="TableGrid"/>
        <w:tblW w:type="auto" w:w="0"/>
        <w:jc w:val="center"/>
        <w:tblLayout w:type="fixed"/>
        <w:tblLook w:firstColumn="1" w:firstRow="1" w:lastColumn="0" w:lastRow="0" w:noHBand="0" w:noVBand="1" w:val="04A0"/>
      </w:tblPr>
      <w:tblGrid>
        <w:gridCol w:w="2016"/>
        <w:gridCol w:w="3024"/>
        <w:gridCol w:w="4896"/>
      </w:tblGrid>
      <w:tr>
        <w:trPr>
          <w:tblHeader w:val="true"/>
          <w:cantSplit/>
        </w:trPr>
        <w:tc>
          <w:tcPr>
            <w:tcW w:type="dxa" w:w="3360"/>
            <w:shd w:fill="17365D"/>
            <w:tcMar>
              <w:top w:w="100" w:type="dxa"/>
              <w:start w:w="120" w:type="dxa"/>
              <w:bottom w:w="100" w:type="dxa"/>
              <w:end w:w="120" w:type="dxa"/>
            </w:tcMar>
          </w:tcPr>
          <w:p>
            <w:pPr>
              <w:spacing w:after="0"/>
            </w:pPr>
            <w:r>
              <w:rPr>
                <w:b/>
                <w:color w:val="FFFFFF"/>
                <w:sz w:val="18"/>
              </w:rPr>
              <w:t>Question(s)</w:t>
            </w:r>
          </w:p>
        </w:tc>
        <w:tc>
          <w:tcPr>
            <w:tcW w:type="dxa" w:w="3360"/>
            <w:shd w:fill="17365D"/>
            <w:tcMar>
              <w:top w:w="100" w:type="dxa"/>
              <w:start w:w="120" w:type="dxa"/>
              <w:bottom w:w="100" w:type="dxa"/>
              <w:end w:w="120" w:type="dxa"/>
            </w:tcMar>
          </w:tcPr>
          <w:p>
            <w:pPr>
              <w:spacing w:after="0"/>
            </w:pPr>
            <w:r>
              <w:rPr>
                <w:b/>
                <w:color w:val="FFFFFF"/>
                <w:sz w:val="18"/>
              </w:rPr>
              <w:t>Error Type</w:t>
            </w:r>
          </w:p>
        </w:tc>
        <w:tc>
          <w:tcPr>
            <w:tcW w:type="dxa" w:w="3360"/>
            <w:shd w:fill="17365D"/>
            <w:tcMar>
              <w:top w:w="100" w:type="dxa"/>
              <w:start w:w="120" w:type="dxa"/>
              <w:bottom w:w="100" w:type="dxa"/>
              <w:end w:w="120" w:type="dxa"/>
            </w:tcMar>
          </w:tcPr>
          <w:p>
            <w:pPr>
              <w:spacing w:after="0"/>
            </w:pPr>
            <w:r>
              <w:rPr>
                <w:b/>
                <w:color w:val="FFFFFF"/>
                <w:sz w:val="18"/>
              </w:rPr>
              <w:t>Rule I Will Use Next Time</w:t>
            </w:r>
          </w:p>
        </w:tc>
      </w:tr>
      <w:tr>
        <w:trPr>
          <w:cantSplit/>
        </w:trPr>
        <w:tc>
          <w:tcPr>
            <w:tcW w:type="dxa" w:w="2016"/>
            <w:tcMar>
              <w:top w:w="100" w:type="dxa"/>
              <w:start w:w="120" w:type="dxa"/>
              <w:bottom w:w="100" w:type="dxa"/>
              <w:end w:w="120" w:type="dxa"/>
            </w:tcMar>
          </w:tcPr>
          <w:p>
            <w:pPr>
              <w:spacing w:after="0"/>
            </w:pPr>
            <w:r>
              <w:rPr>
                <w:sz w:val="18"/>
              </w:rPr>
            </w:r>
          </w:p>
        </w:tc>
        <w:tc>
          <w:tcPr>
            <w:tcW w:type="dxa" w:w="3024"/>
            <w:tcMar>
              <w:top w:w="100" w:type="dxa"/>
              <w:start w:w="120" w:type="dxa"/>
              <w:bottom w:w="100" w:type="dxa"/>
              <w:end w:w="120" w:type="dxa"/>
            </w:tcMar>
          </w:tcPr>
          <w:p>
            <w:pPr>
              <w:spacing w:after="0"/>
            </w:pPr>
            <w:r>
              <w:rPr>
                <w:sz w:val="18"/>
              </w:rPr>
            </w:r>
          </w:p>
        </w:tc>
        <w:tc>
          <w:tcPr>
            <w:tcW w:type="dxa" w:w="4896"/>
            <w:tcMar>
              <w:top w:w="100" w:type="dxa"/>
              <w:start w:w="120" w:type="dxa"/>
              <w:bottom w:w="100" w:type="dxa"/>
              <w:end w:w="120" w:type="dxa"/>
            </w:tcMar>
          </w:tcPr>
          <w:p>
            <w:pPr>
              <w:spacing w:after="0"/>
            </w:pPr>
            <w:r>
              <w:rPr>
                <w:sz w:val="18"/>
              </w:rPr>
            </w:r>
          </w:p>
        </w:tc>
      </w:tr>
      <w:tr>
        <w:trPr>
          <w:cantSplit/>
        </w:trPr>
        <w:tc>
          <w:tcPr>
            <w:tcW w:type="dxa" w:w="2016"/>
            <w:tcMar>
              <w:top w:w="100" w:type="dxa"/>
              <w:start w:w="120" w:type="dxa"/>
              <w:bottom w:w="100" w:type="dxa"/>
              <w:end w:w="120" w:type="dxa"/>
            </w:tcMar>
            <w:shd w:fill="F7F8FA"/>
          </w:tcPr>
          <w:p>
            <w:pPr>
              <w:spacing w:after="0"/>
            </w:pPr>
            <w:r>
              <w:rPr>
                <w:sz w:val="18"/>
              </w:rPr>
            </w:r>
          </w:p>
        </w:tc>
        <w:tc>
          <w:tcPr>
            <w:tcW w:type="dxa" w:w="3024"/>
            <w:tcMar>
              <w:top w:w="100" w:type="dxa"/>
              <w:start w:w="120" w:type="dxa"/>
              <w:bottom w:w="100" w:type="dxa"/>
              <w:end w:w="120" w:type="dxa"/>
            </w:tcMar>
            <w:shd w:fill="F7F8FA"/>
          </w:tcPr>
          <w:p>
            <w:pPr>
              <w:spacing w:after="0"/>
            </w:pPr>
            <w:r>
              <w:rPr>
                <w:sz w:val="18"/>
              </w:rPr>
            </w:r>
          </w:p>
        </w:tc>
        <w:tc>
          <w:tcPr>
            <w:tcW w:type="dxa" w:w="4896"/>
            <w:tcMar>
              <w:top w:w="100" w:type="dxa"/>
              <w:start w:w="120" w:type="dxa"/>
              <w:bottom w:w="100" w:type="dxa"/>
              <w:end w:w="120" w:type="dxa"/>
            </w:tcMar>
            <w:shd w:fill="F7F8FA"/>
          </w:tcPr>
          <w:p>
            <w:pPr>
              <w:spacing w:after="0"/>
            </w:pPr>
            <w:r>
              <w:rPr>
                <w:sz w:val="18"/>
              </w:rPr>
            </w:r>
          </w:p>
        </w:tc>
      </w:tr>
      <w:tr>
        <w:trPr>
          <w:cantSplit/>
        </w:trPr>
        <w:tc>
          <w:tcPr>
            <w:tcW w:type="dxa" w:w="2016"/>
            <w:tcMar>
              <w:top w:w="100" w:type="dxa"/>
              <w:start w:w="120" w:type="dxa"/>
              <w:bottom w:w="100" w:type="dxa"/>
              <w:end w:w="120" w:type="dxa"/>
            </w:tcMar>
          </w:tcPr>
          <w:p>
            <w:pPr>
              <w:spacing w:after="0"/>
            </w:pPr>
            <w:r>
              <w:rPr>
                <w:sz w:val="18"/>
              </w:rPr>
            </w:r>
          </w:p>
        </w:tc>
        <w:tc>
          <w:tcPr>
            <w:tcW w:type="dxa" w:w="3024"/>
            <w:tcMar>
              <w:top w:w="100" w:type="dxa"/>
              <w:start w:w="120" w:type="dxa"/>
              <w:bottom w:w="100" w:type="dxa"/>
              <w:end w:w="120" w:type="dxa"/>
            </w:tcMar>
          </w:tcPr>
          <w:p>
            <w:pPr>
              <w:spacing w:after="0"/>
            </w:pPr>
            <w:r>
              <w:rPr>
                <w:sz w:val="18"/>
              </w:rPr>
            </w:r>
          </w:p>
        </w:tc>
        <w:tc>
          <w:tcPr>
            <w:tcW w:type="dxa" w:w="4896"/>
            <w:tcMar>
              <w:top w:w="100" w:type="dxa"/>
              <w:start w:w="120" w:type="dxa"/>
              <w:bottom w:w="100" w:type="dxa"/>
              <w:end w:w="120" w:type="dxa"/>
            </w:tcMar>
          </w:tcPr>
          <w:p>
            <w:pPr>
              <w:spacing w:after="0"/>
            </w:pPr>
            <w:r>
              <w:rPr>
                <w:sz w:val="18"/>
              </w:rPr>
            </w:r>
          </w:p>
        </w:tc>
      </w:tr>
      <w:tr>
        <w:trPr>
          <w:cantSplit/>
        </w:trPr>
        <w:tc>
          <w:tcPr>
            <w:tcW w:type="dxa" w:w="2016"/>
            <w:tcMar>
              <w:top w:w="100" w:type="dxa"/>
              <w:start w:w="120" w:type="dxa"/>
              <w:bottom w:w="100" w:type="dxa"/>
              <w:end w:w="120" w:type="dxa"/>
            </w:tcMar>
            <w:shd w:fill="F7F8FA"/>
          </w:tcPr>
          <w:p>
            <w:pPr>
              <w:spacing w:after="0"/>
            </w:pPr>
            <w:r>
              <w:rPr>
                <w:sz w:val="18"/>
              </w:rPr>
            </w:r>
          </w:p>
        </w:tc>
        <w:tc>
          <w:tcPr>
            <w:tcW w:type="dxa" w:w="3024"/>
            <w:tcMar>
              <w:top w:w="100" w:type="dxa"/>
              <w:start w:w="120" w:type="dxa"/>
              <w:bottom w:w="100" w:type="dxa"/>
              <w:end w:w="120" w:type="dxa"/>
            </w:tcMar>
            <w:shd w:fill="F7F8FA"/>
          </w:tcPr>
          <w:p>
            <w:pPr>
              <w:spacing w:after="0"/>
            </w:pPr>
            <w:r>
              <w:rPr>
                <w:sz w:val="18"/>
              </w:rPr>
            </w:r>
          </w:p>
        </w:tc>
        <w:tc>
          <w:tcPr>
            <w:tcW w:type="dxa" w:w="4896"/>
            <w:tcMar>
              <w:top w:w="100" w:type="dxa"/>
              <w:start w:w="120" w:type="dxa"/>
              <w:bottom w:w="100" w:type="dxa"/>
              <w:end w:w="120" w:type="dxa"/>
            </w:tcMar>
            <w:shd w:fill="F7F8FA"/>
          </w:tcPr>
          <w:p>
            <w:pPr>
              <w:spacing w:after="0"/>
            </w:pPr>
            <w:r>
              <w:rPr>
                <w:sz w:val="18"/>
              </w:rPr>
            </w:r>
          </w:p>
        </w:tc>
      </w:tr>
    </w:tbl>
    <w:p>
      <w:pPr>
        <w:spacing w:after="0"/>
      </w:pPr>
    </w:p>
    <w:p>
      <w:pPr>
        <w:pStyle w:val="Heading2"/>
      </w:pPr>
      <w:r>
        <w:t>My Diagnostic Review Checklist</w:t>
      </w:r>
    </w:p>
    <w:p>
      <w:pPr>
        <w:pStyle w:val="ListBullet"/>
      </w:pPr>
      <w:r>
        <w:t>Did I define the full symptom pattern instead of anchoring on one dramatic feature?</w:t>
      </w:r>
    </w:p>
    <w:p>
      <w:pPr>
        <w:pStyle w:val="ListBullet"/>
      </w:pPr>
      <w:r>
        <w:t>Did I clarify onset, duration, episodes, baseline, and timing relative to stressors, substances, medications, sleep, illness, or injury?</w:t>
      </w:r>
    </w:p>
    <w:p>
      <w:pPr>
        <w:pStyle w:val="ListBullet"/>
      </w:pPr>
      <w:r>
        <w:t>Did I assess impairment, distress, safety, and the client’s developmental and cultural context?</w:t>
      </w:r>
    </w:p>
    <w:p>
      <w:pPr>
        <w:pStyle w:val="ListBullet"/>
      </w:pPr>
      <w:r>
        <w:t>Did I separate reported information, collateral information, records, observation, and clinical inference?</w:t>
      </w:r>
    </w:p>
    <w:p>
      <w:pPr>
        <w:pStyle w:val="ListBullet"/>
      </w:pPr>
      <w:r>
        <w:t>Did I choose diagnosis, further assessment, consultation, referral, or intervention based on what the stem actually asked?</w:t>
      </w:r>
    </w:p>
    <w:p>
      <w:pPr>
        <w:pStyle w:val="Heading1"/>
      </w:pPr>
      <w:r>
        <w:t>Sources and Currency Note</w:t>
      </w:r>
    </w:p>
    <w:p>
      <w:pPr>
        <w:pStyle w:val="ListBullet"/>
      </w:pPr>
      <w:r>
        <w:t>Association of Social Work Boards. ASWB Examination Guidebook and 2026 Clinical content outline for examinations administered on or after August 3, 2026.</w:t>
      </w:r>
    </w:p>
    <w:p>
      <w:pPr>
        <w:pStyle w:val="ListBullet"/>
      </w:pPr>
      <w:r>
        <w:t>American Psychiatric Association. Diagnostic and Statistical Manual of Mental Disorders, Fifth Edition, Text Revision (DSM-5-TR), 2022. Diagnostic concepts are summarized rather than reproduced.</w:t>
      </w:r>
    </w:p>
    <w:p>
      <w:pPr>
        <w:pStyle w:val="ListBullet"/>
      </w:pPr>
      <w:r>
        <w:t>Medication content is educational and supports recognition, assessment, and care coordination within social work scope; it does not provide prescribing or dose-change guidance.</w:t>
      </w:r>
    </w:p>
    <w:p>
      <w:pPr>
        <w:pStyle w:val="ListBullet"/>
      </w:pPr>
      <w:r>
        <w:t>Official examination outlines, testing rules, and jurisdictional requirements may change. Verify current ASWB and licensing-board information before testing.</w:t>
      </w:r>
    </w:p>
    <w:p>
      <w:pPr/>
      <w:r>
        <w:t>All practice questions are original CTA items. This workbook is an educational review resource and does not replace the DSM-5-TR, medical or psychiatric consultation, or current official examination guidance.</w:t>
      </w:r>
    </w:p>
    <w:sectPr w:rsidR="00FC693F" w:rsidRPr="0006063C" w:rsidSect="00034616">
      <w:headerReference w:type="first" r:id="rId10"/>
      <w:footerReference w:type="first" r:id="rId11"/>
      <w:headerReference w:type="default" r:id="rId12"/>
      <w:footerReference w:type="default" r:id="rId13"/>
      <w:pgSz w:w="12240" w:h="15840"/>
      <w:pgMar w:top="936"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c>
        <w:tcPr>
          <w:tcW w:type="dxa" w:w="5040"/>
        </w:tcPr>
        <w:p>
          <w:r>
            <w:rPr>
              <w:rFonts w:ascii="Aptos" w:hAnsi="Aptos"/>
              <w:color w:val="6B7280"/>
              <w:sz w:val="16"/>
            </w:rPr>
            <w:t>Clinical Training Academy • Student Workbook</w:t>
          </w:r>
        </w:p>
      </w:tc>
      <w:tc>
        <w:tcPr>
          <w:tcW w:type="dxa" w:w="5040"/>
        </w:tcPr>
        <w:p>
          <w:pPr>
            <w:jc w:val="right"/>
          </w:pPr>
          <w:r>
            <w:rPr>
              <w:rFonts w:ascii="Aptos" w:hAnsi="Aptos"/>
              <w:color w:val="6B7280"/>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667085"/>
        <w:sz w:val="18"/>
      </w:rPr>
      <w:t xml:space="preserve">   CTA LCSW Workbook 5 - Diagnosis, Medical Factors, and Psychopharmacology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Caps">
    <w:name w:val="CTA Small Caps"/>
    <w:pPr>
      <w:spacing w:after="40"/>
    </w:pPr>
    <w:rPr>
      <w:rFonts w:ascii="Aptos" w:hAnsi="Aptos"/>
      <w:b/>
      <w:color w:val="0E749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Workbook 5: Diagnosis, Medical Factors, and Psychopharmacology</dc:title>
  <dc:subject>Student-facing exam preparation workbook</dc:subject>
  <dc:creator>Clinical Training Academy</dc:creator>
  <cp:keywords/>
  <dc:description>Version 1.0 - July 2026</dc:description>
  <cp:lastModifiedBy>Clinical Training Academy</cp:lastModifiedBy>
  <cp:revision>1</cp:revision>
  <dcterms:created xsi:type="dcterms:W3CDTF">2013-12-23T23:15:00Z</dcterms:created>
  <dcterms:modified xsi:type="dcterms:W3CDTF">2013-12-23T23:15:00Z</dcterms:modified>
  <cp:category/>
</cp:coreProperties>
</file>