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9D8F"/>
          <w:sz w:val="20"/>
        </w:rPr>
        <w:t>LCSW CLINICAL EXAM PREPARATION PROGRAM</w:t>
      </w:r>
    </w:p>
    <w:p>
      <w:pPr>
        <w:pStyle w:val="Title"/>
        <w:jc w:val="center"/>
      </w:pPr>
      <w:r>
        <w:t>LCSW Clinical Question Bank</w:t>
      </w:r>
    </w:p>
    <w:p>
      <w:pPr>
        <w:pStyle w:val="Subtitle"/>
        <w:jc w:val="center"/>
      </w:pPr>
      <w:r>
        <w:t>Workbook 10: Case Management, Advocacy, Resources, and Collaboration</w:t>
      </w:r>
    </w:p>
    <w:p>
      <w:pPr>
        <w:jc w:val="center"/>
      </w:pPr>
      <w:r>
        <w:rPr>
          <w:b/>
          <w:color w:val="1B2A41"/>
          <w:sz w:val="20"/>
        </w:rPr>
        <w:t>17 QUESTIONS WITH COMPLETE RATIONALES AND EXAM STRATEGIES</w:t>
      </w:r>
    </w:p>
    <w:p/>
    <w:p/>
    <w:p>
      <w:pPr>
        <w:jc w:val="center"/>
      </w:pPr>
      <w:r>
        <w:t>Version 1.0 • July 2026</w:t>
      </w:r>
    </w:p>
    <w:p>
      <w:pPr>
        <w:jc w:val="center"/>
      </w:pPr>
      <w:r>
        <w:rPr>
          <w:b/>
          <w:color w:val="1B2A41"/>
        </w:rPr>
        <w:t>Clinical Training Academy</w:t>
      </w:r>
    </w:p>
    <w:p>
      <w:r>
        <w:br w:type="page"/>
      </w:r>
    </w:p>
    <w:tbl>
      <w:tblPr>
        <w:tblW w:type="auto" w:w="0"/>
        <w:jc w:val="center"/>
        <w:tblLook w:firstColumn="1" w:firstRow="1" w:lastColumn="0" w:lastRow="0" w:noHBand="0" w:noVBand="1" w:val="04A0"/>
      </w:tblPr>
      <w:tblGrid>
        <w:gridCol w:w="10282"/>
      </w:tblGrid>
      <w:tr>
        <w:trPr>
          <w:tblHeader w:val="true"/>
        </w:trPr>
        <w:tc>
          <w:tcPr>
            <w:tcW w:type="dxa" w:w="10282"/>
            <w:shd w:fill="E9F5F3"/>
            <w:vAlign w:val="center"/>
          </w:tcPr>
          <w:p>
            <w:r>
              <w:rPr>
                <w:b/>
                <w:color w:val="1B2A41"/>
                <w:sz w:val="21"/>
              </w:rPr>
              <w:t>Publication and Use Notice</w:t>
              <w:br/>
            </w:r>
            <w:r>
              <w:rPr>
                <w:sz w:val="19"/>
              </w:rPr>
              <w:t>This original Clinical Training Academy resource is designed for LCSW clinical-examination preparation and educational use. It is not legal advice, medical advice, or a substitute for current official examination materials, supervision, consultation, or case-specific professional judgment.</w:t>
            </w:r>
          </w:p>
        </w:tc>
      </w:tr>
    </w:tbl>
    <w:p/>
    <w:tbl>
      <w:tblPr>
        <w:tblW w:type="auto" w:w="0"/>
        <w:jc w:val="center"/>
        <w:tblLook w:firstColumn="1" w:firstRow="1" w:lastColumn="0" w:lastRow="0" w:noHBand="0" w:noVBand="1" w:val="04A0"/>
      </w:tblPr>
      <w:tblGrid>
        <w:gridCol w:w="10282"/>
      </w:tblGrid>
      <w:tr>
        <w:trPr>
          <w:tblHeader w:val="true"/>
        </w:trPr>
        <w:tc>
          <w:tcPr>
            <w:tcW w:type="dxa" w:w="10282"/>
            <w:shd w:fill="F2F4F6"/>
            <w:vAlign w:val="center"/>
          </w:tcPr>
          <w:p>
            <w:r>
              <w:rPr>
                <w:b/>
                <w:color w:val="1B2A41"/>
                <w:sz w:val="21"/>
              </w:rPr>
              <w:t>Question Bank Structure</w:t>
              <w:br/>
            </w:r>
            <w:r>
              <w:rPr>
                <w:sz w:val="19"/>
              </w:rPr>
              <w:t>This workbook question bank contains 17 questions: 5 Easy, 7 Moderate, and 5 Difficult. Scenario-Based, Application, Knowledge &amp; Recall, and Integrated Clinical Reasoning are question types rather than difficulty categories. Each item includes the correct answer, a rationale for every option, and a CTA exam strategy.</w:t>
            </w:r>
          </w:p>
        </w:tc>
      </w:tr>
    </w:tbl>
    <w:p/>
    <w:p>
      <w:pPr>
        <w:pStyle w:val="Heading1"/>
      </w:pPr>
      <w:r>
        <w:t>Question Bank Blueprint</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pPr>
              <w:spacing w:after="20"/>
            </w:pPr>
            <w:r>
              <w:rPr>
                <w:b/>
                <w:color w:val="FFFFFF"/>
                <w:sz w:val="18"/>
              </w:rPr>
              <w:t>Control</w:t>
            </w:r>
          </w:p>
        </w:tc>
        <w:tc>
          <w:tcPr>
            <w:tcW w:type="dxa" w:w="5141"/>
            <w:shd w:fill="1B2A41"/>
          </w:tcPr>
          <w:p>
            <w:pPr>
              <w:spacing w:after="20"/>
            </w:pPr>
            <w:r>
              <w:rPr>
                <w:b/>
                <w:color w:val="FFFFFF"/>
                <w:sz w:val="18"/>
              </w:rPr>
              <w:t>Final Design</w:t>
            </w:r>
          </w:p>
        </w:tc>
      </w:tr>
      <w:tr>
        <w:trPr>
          <w:cantSplit/>
        </w:trPr>
        <w:tc>
          <w:tcPr>
            <w:tcW w:type="dxa" w:w="5141"/>
          </w:tcPr>
          <w:p>
            <w:pPr>
              <w:spacing w:after="20"/>
            </w:pPr>
            <w:r>
              <w:rPr>
                <w:sz w:val="18"/>
              </w:rPr>
              <w:t>Total questions</w:t>
            </w:r>
          </w:p>
        </w:tc>
        <w:tc>
          <w:tcPr>
            <w:tcW w:type="dxa" w:w="5141"/>
          </w:tcPr>
          <w:p>
            <w:pPr>
              <w:spacing w:after="20"/>
            </w:pPr>
            <w:r>
              <w:rPr>
                <w:sz w:val="18"/>
              </w:rPr>
              <w:t>17</w:t>
            </w:r>
          </w:p>
        </w:tc>
      </w:tr>
      <w:tr>
        <w:trPr>
          <w:cantSplit/>
        </w:trPr>
        <w:tc>
          <w:tcPr>
            <w:tcW w:type="dxa" w:w="5141"/>
            <w:shd w:fill="F2F4F6"/>
          </w:tcPr>
          <w:p>
            <w:pPr>
              <w:spacing w:after="20"/>
            </w:pPr>
            <w:r>
              <w:rPr>
                <w:sz w:val="18"/>
              </w:rPr>
              <w:t>Difficulty distribution</w:t>
            </w:r>
          </w:p>
        </w:tc>
        <w:tc>
          <w:tcPr>
            <w:tcW w:type="dxa" w:w="5141"/>
            <w:shd w:fill="F2F4F6"/>
          </w:tcPr>
          <w:p>
            <w:pPr>
              <w:spacing w:after="20"/>
            </w:pPr>
            <w:r>
              <w:rPr>
                <w:sz w:val="18"/>
              </w:rPr>
              <w:t>Easy: 5 | Moderate: 7 | Difficult: 5</w:t>
            </w:r>
          </w:p>
        </w:tc>
      </w:tr>
      <w:tr>
        <w:trPr>
          <w:cantSplit/>
        </w:trPr>
        <w:tc>
          <w:tcPr>
            <w:tcW w:type="dxa" w:w="5141"/>
          </w:tcPr>
          <w:p>
            <w:pPr>
              <w:spacing w:after="20"/>
            </w:pPr>
            <w:r>
              <w:rPr>
                <w:sz w:val="18"/>
              </w:rPr>
              <w:t>Question-type distribution</w:t>
            </w:r>
          </w:p>
        </w:tc>
        <w:tc>
          <w:tcPr>
            <w:tcW w:type="dxa" w:w="5141"/>
          </w:tcPr>
          <w:p>
            <w:pPr>
              <w:spacing w:after="20"/>
            </w:pPr>
            <w:r>
              <w:rPr>
                <w:sz w:val="18"/>
              </w:rPr>
              <w:t>Knowledge &amp; Recall: 3 | Application: 4 | Scenario-Based: 5 | Integrated Clinical Reasoning: 5</w:t>
            </w:r>
          </w:p>
        </w:tc>
      </w:tr>
      <w:tr>
        <w:trPr>
          <w:cantSplit/>
        </w:trPr>
        <w:tc>
          <w:tcPr>
            <w:tcW w:type="dxa" w:w="5141"/>
            <w:shd w:fill="F2F4F6"/>
          </w:tcPr>
          <w:p>
            <w:pPr>
              <w:spacing w:after="20"/>
            </w:pPr>
            <w:r>
              <w:rPr>
                <w:sz w:val="18"/>
              </w:rPr>
              <w:t>Answer distribution</w:t>
            </w:r>
          </w:p>
        </w:tc>
        <w:tc>
          <w:tcPr>
            <w:tcW w:type="dxa" w:w="5141"/>
            <w:shd w:fill="F2F4F6"/>
          </w:tcPr>
          <w:p>
            <w:pPr>
              <w:spacing w:after="20"/>
            </w:pPr>
            <w:r>
              <w:rPr>
                <w:sz w:val="18"/>
              </w:rPr>
              <w:t>A: 5 | B: 4 | C: 4 | D: 4</w:t>
            </w:r>
          </w:p>
        </w:tc>
      </w:tr>
      <w:tr>
        <w:trPr>
          <w:cantSplit/>
        </w:trPr>
        <w:tc>
          <w:tcPr>
            <w:tcW w:type="dxa" w:w="5141"/>
          </w:tcPr>
          <w:p>
            <w:pPr>
              <w:spacing w:after="20"/>
            </w:pPr>
            <w:r>
              <w:rPr>
                <w:sz w:val="18"/>
              </w:rPr>
              <w:t>Source alignment</w:t>
            </w:r>
          </w:p>
        </w:tc>
        <w:tc>
          <w:tcPr>
            <w:tcW w:type="dxa" w:w="5141"/>
          </w:tcPr>
          <w:p>
            <w:pPr>
              <w:spacing w:after="20"/>
            </w:pPr>
            <w:r>
              <w:rPr>
                <w:sz w:val="18"/>
              </w:rPr>
              <w:t>CTA LCSW Workbook 10: Case Management, Advocacy, Resources, and Collaboration</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For scenario questions, identify the priority, the requested action, and whether more assessment is needed before intervention.</w:t>
      </w:r>
    </w:p>
    <w:p>
      <w:pPr>
        <w:pStyle w:val="ListBullet"/>
      </w:pPr>
      <w:r>
        <w:t>Record both incorrect answers and low-confidence correct answers in your study notes.</w:t>
      </w:r>
    </w:p>
    <w:p>
      <w:pPr>
        <w:pStyle w:val="Heading1"/>
      </w:pPr>
      <w:r>
        <w:t>Easy Questions</w:t>
      </w:r>
    </w:p>
    <w:p>
      <w:r>
        <w:t>5 questions | Foundational distinctions and direct applications.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LCSW-WB10-QB-Q001</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BRIDGE coordination sequence</w:t>
            </w:r>
          </w:p>
        </w:tc>
      </w:tr>
    </w:tbl>
    <w:p>
      <w:pPr>
        <w:keepNext/>
      </w:pPr>
      <w:r>
        <w:rPr>
          <w:b/>
          <w:color w:val="1B2A41"/>
        </w:rPr>
        <w:t>Question</w:t>
      </w:r>
    </w:p>
    <w:p>
      <w:pPr>
        <w:keepNext/>
        <w:keepLines/>
      </w:pPr>
      <w:r>
        <w:t>What is the central purpose of the BRIDGE coordination sequence?</w:t>
      </w:r>
    </w:p>
    <w:p>
      <w:pPr>
        <w:pStyle w:val="Option"/>
        <w:keepLines/>
      </w:pPr>
      <w:r>
        <w:t>A. To turn assessment into a client-centered plan with clear priorities, roles, accessible handoffs, and follow-through.</w:t>
      </w:r>
    </w:p>
    <w:p>
      <w:pPr>
        <w:pStyle w:val="Option"/>
        <w:keepLines/>
      </w:pPr>
      <w:r>
        <w:t>B. To transfer responsibility to the first agency that accepts a referral.</w:t>
      </w:r>
    </w:p>
    <w:p>
      <w:pPr>
        <w:pStyle w:val="Option"/>
        <w:keepLines/>
      </w:pPr>
      <w:r>
        <w:t>C. To rank agencies according to the social worker’s personal preferences.</w:t>
      </w:r>
    </w:p>
    <w:p>
      <w:pPr>
        <w:pStyle w:val="Option"/>
        <w:keepLines/>
      </w:pPr>
      <w:r>
        <w:t>D. To replace direct clinical work with administrative tasks.</w:t>
      </w:r>
    </w:p>
    <w:p>
      <w:pPr>
        <w:keepNext/>
      </w:pPr>
      <w:r>
        <w:rPr>
          <w:b/>
          <w:color w:val="2A9D8F"/>
        </w:rPr>
        <w:t>Correct Answer: A</w:t>
      </w:r>
    </w:p>
    <w:p>
      <w:pPr>
        <w:keepNext/>
      </w:pPr>
      <w:r>
        <w:rPr>
          <w:b/>
          <w:color w:val="1B2A41"/>
        </w:rPr>
        <w:t>Rationales</w:t>
      </w:r>
    </w:p>
    <w:p>
      <w:pPr>
        <w:pStyle w:val="Rationale"/>
        <w:keepLines/>
      </w:pPr>
      <w:r>
        <w:t>A. Correct. BRIDGE links priority, participation, systems and barriers, roles and disclosure, accessible handoffs, and evaluation.</w:t>
      </w:r>
    </w:p>
    <w:p>
      <w:pPr>
        <w:pStyle w:val="Rationale"/>
        <w:keepLines/>
      </w:pPr>
      <w:r>
        <w:t>B. Incorrect. Coordination requires explicit responsibility and continued accountability rather than simple transfer.</w:t>
      </w:r>
    </w:p>
    <w:p>
      <w:pPr>
        <w:pStyle w:val="Rationale"/>
        <w:keepLines/>
      </w:pPr>
      <w:r>
        <w:t>C. Incorrect. Resource selection is based on fit, eligibility, access, quality, and client choice.</w:t>
      </w:r>
    </w:p>
    <w:p>
      <w:pPr>
        <w:pStyle w:val="Rationale"/>
        <w:keepLines/>
      </w:pPr>
      <w:r>
        <w:t>D. Incorrect. Case management is integrated clinical practice, not a substitute for clinical reasoning.</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Select the answer that includes priority, client participation, assigned responsibility, access, and follow-up.</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LCSW-WB10-QB-Q002</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Case management as integrated clinical practice</w:t>
            </w:r>
          </w:p>
        </w:tc>
      </w:tr>
    </w:tbl>
    <w:p>
      <w:pPr>
        <w:keepNext/>
      </w:pPr>
      <w:r>
        <w:rPr>
          <w:b/>
          <w:color w:val="1B2A41"/>
        </w:rPr>
        <w:t>Question</w:t>
      </w:r>
    </w:p>
    <w:p>
      <w:pPr>
        <w:keepNext/>
        <w:keepLines/>
      </w:pPr>
      <w:r>
        <w:t>Which activity BEST reflects clinical case management rather than simple referral?</w:t>
      </w:r>
    </w:p>
    <w:p>
      <w:pPr>
        <w:pStyle w:val="Option"/>
        <w:keepLines/>
      </w:pPr>
      <w:r>
        <w:t>A. Giving a client a directory of local programs.</w:t>
      </w:r>
    </w:p>
    <w:p>
      <w:pPr>
        <w:pStyle w:val="Option"/>
        <w:keepLines/>
      </w:pPr>
      <w:r>
        <w:t>B. Assessing needs and barriers, planning with the client, coordinating services, monitoring access, and revising the plan.</w:t>
      </w:r>
    </w:p>
    <w:p>
      <w:pPr>
        <w:pStyle w:val="Option"/>
        <w:keepLines/>
      </w:pPr>
      <w:r>
        <w:t>C. Closing the case after another agency is contacted.</w:t>
      </w:r>
    </w:p>
    <w:p>
      <w:pPr>
        <w:pStyle w:val="Option"/>
        <w:keepLines/>
      </w:pPr>
      <w:r>
        <w:t>D. Limiting services to resources within the social worker’s organization.</w:t>
      </w:r>
    </w:p>
    <w:p>
      <w:pPr>
        <w:keepNext/>
      </w:pPr>
      <w:r>
        <w:rPr>
          <w:b/>
          <w:color w:val="2A9D8F"/>
        </w:rPr>
        <w:t>Correct Answer: B</w:t>
      </w:r>
    </w:p>
    <w:p>
      <w:pPr>
        <w:keepNext/>
      </w:pPr>
      <w:r>
        <w:rPr>
          <w:b/>
          <w:color w:val="1B2A41"/>
        </w:rPr>
        <w:t>Rationales</w:t>
      </w:r>
    </w:p>
    <w:p>
      <w:pPr>
        <w:pStyle w:val="Rationale"/>
        <w:keepLines/>
      </w:pPr>
      <w:r>
        <w:t>A. Incorrect. A directory alone does not establish fit, access, or continuity.</w:t>
      </w:r>
    </w:p>
    <w:p>
      <w:pPr>
        <w:pStyle w:val="Rationale"/>
        <w:keepLines/>
      </w:pPr>
      <w:r>
        <w:t>B. Correct. Clinical case management integrates assessment, planning, linkage, coordination, advocacy, monitoring, and evaluation.</w:t>
      </w:r>
    </w:p>
    <w:p>
      <w:pPr>
        <w:pStyle w:val="Rationale"/>
        <w:keepLines/>
      </w:pPr>
      <w:r>
        <w:t>C. Incorrect. Contact does not show that the client entered or benefited from the service.</w:t>
      </w:r>
    </w:p>
    <w:p>
      <w:pPr>
        <w:pStyle w:val="Rationale"/>
        <w:keepLines/>
      </w:pPr>
      <w:r>
        <w:t>D. Incorrect. The plan should follow client needs and available systems, not organizational boundaries alone.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Look for the full cycle from assessment through outcome review, not a one-time referral action.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LCSW-WB10-QB-Q003</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Resource fit, eligibility, access, and choice</w:t>
            </w:r>
          </w:p>
        </w:tc>
      </w:tr>
    </w:tbl>
    <w:p>
      <w:pPr>
        <w:keepNext/>
      </w:pPr>
      <w:r>
        <w:rPr>
          <w:b/>
          <w:color w:val="1B2A41"/>
        </w:rPr>
        <w:t>Question</w:t>
      </w:r>
    </w:p>
    <w:p>
      <w:pPr>
        <w:keepNext/>
        <w:keepLines/>
      </w:pPr>
      <w:r>
        <w:t>Before recommending a community resource, what should the social worker verify?</w:t>
      </w:r>
    </w:p>
    <w:p>
      <w:pPr>
        <w:pStyle w:val="Option"/>
        <w:keepLines/>
      </w:pPr>
      <w:r>
        <w:t>A. Only whether the agency has a familiar name.</w:t>
      </w:r>
    </w:p>
    <w:p>
      <w:pPr>
        <w:pStyle w:val="Option"/>
        <w:keepLines/>
      </w:pPr>
      <w:r>
        <w:t>B. Only whether the referral source prefers it.</w:t>
      </w:r>
    </w:p>
    <w:p>
      <w:pPr>
        <w:pStyle w:val="Option"/>
        <w:keepLines/>
      </w:pPr>
      <w:r>
        <w:t>C. Whether the service matches the need, the client can qualify and use it, and the client understands and chooses it.</w:t>
      </w:r>
    </w:p>
    <w:p>
      <w:pPr>
        <w:pStyle w:val="Option"/>
        <w:keepLines/>
      </w:pPr>
      <w:r>
        <w:t>D. Whether the social worker has referred other clients there recently.</w:t>
      </w:r>
    </w:p>
    <w:p>
      <w:pPr>
        <w:keepNext/>
      </w:pPr>
      <w:r>
        <w:rPr>
          <w:b/>
          <w:color w:val="2A9D8F"/>
        </w:rPr>
        <w:t>Correct Answer: C</w:t>
      </w:r>
    </w:p>
    <w:p>
      <w:pPr>
        <w:keepNext/>
      </w:pPr>
      <w:r>
        <w:rPr>
          <w:b/>
          <w:color w:val="1B2A41"/>
        </w:rPr>
        <w:t>Rationales</w:t>
      </w:r>
    </w:p>
    <w:p>
      <w:pPr>
        <w:pStyle w:val="Rationale"/>
        <w:keepLines/>
      </w:pPr>
      <w:r>
        <w:t>A. Incorrect. Familiarity does not establish appropriateness or quality.</w:t>
      </w:r>
    </w:p>
    <w:p>
      <w:pPr>
        <w:pStyle w:val="Rationale"/>
        <w:keepLines/>
      </w:pPr>
      <w:r>
        <w:t>B. Incorrect. Referral-source preference does not replace assessment and self-determination.</w:t>
      </w:r>
    </w:p>
    <w:p>
      <w:pPr>
        <w:pStyle w:val="Rationale"/>
        <w:keepLines/>
      </w:pPr>
      <w:r>
        <w:t>C. Correct. Effective resource matching includes fit, eligibility, accessibility, informed preference, and practical usability.</w:t>
      </w:r>
    </w:p>
    <w:p>
      <w:pPr>
        <w:pStyle w:val="Rationale"/>
        <w:keepLines/>
      </w:pPr>
      <w:r>
        <w:t>D. Incorrect. Prior referral volume does not prove current fit for this client.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A strong resource answer tests four things: match, qualification, usability, and client choice.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LCSW-WB10-QB-Q004</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Knowledge &amp; Recall</w:t>
            </w:r>
          </w:p>
        </w:tc>
        <w:tc>
          <w:tcPr>
            <w:tcW w:type="dxa" w:w="2570"/>
            <w:vAlign w:val="center"/>
          </w:tcPr>
          <w:p>
            <w:pPr>
              <w:spacing w:after="0" w:before="0"/>
              <w:keepNext/>
            </w:pPr>
            <w:r>
              <w:rPr>
                <w:sz w:val="17"/>
              </w:rPr>
              <w:t>Warm handoff and continuity</w:t>
            </w:r>
          </w:p>
        </w:tc>
      </w:tr>
    </w:tbl>
    <w:p>
      <w:pPr>
        <w:keepNext/>
      </w:pPr>
      <w:r>
        <w:rPr>
          <w:b/>
          <w:color w:val="1B2A41"/>
        </w:rPr>
        <w:t>Question</w:t>
      </w:r>
    </w:p>
    <w:p>
      <w:pPr>
        <w:keepNext/>
        <w:keepLines/>
      </w:pPr>
      <w:r>
        <w:t>Which event BEST shows that a warm handoff has been completed?</w:t>
      </w:r>
    </w:p>
    <w:p>
      <w:pPr>
        <w:pStyle w:val="Option"/>
        <w:keepLines/>
      </w:pPr>
      <w:r>
        <w:t>A. The social worker gives the client a telephone number.</w:t>
      </w:r>
    </w:p>
    <w:p>
      <w:pPr>
        <w:pStyle w:val="Option"/>
        <w:keepLines/>
      </w:pPr>
      <w:r>
        <w:t>B. The referral form is placed in the record.</w:t>
      </w:r>
    </w:p>
    <w:p>
      <w:pPr>
        <w:pStyle w:val="Option"/>
        <w:keepLines/>
      </w:pPr>
      <w:r>
        <w:t>C. The receiving agency is sent the entire case file.</w:t>
      </w:r>
    </w:p>
    <w:p>
      <w:pPr>
        <w:pStyle w:val="Option"/>
        <w:keepLines/>
      </w:pPr>
      <w:r>
        <w:t>D. The receiving service accepts the connection, barriers are addressed, and follow-up confirms whether the client gained entry.</w:t>
      </w:r>
    </w:p>
    <w:p>
      <w:pPr>
        <w:keepNext/>
      </w:pPr>
      <w:r>
        <w:rPr>
          <w:b/>
          <w:color w:val="2A9D8F"/>
        </w:rPr>
        <w:t>Correct Answer: D</w:t>
      </w:r>
    </w:p>
    <w:p>
      <w:pPr>
        <w:keepNext/>
      </w:pPr>
      <w:r>
        <w:rPr>
          <w:b/>
          <w:color w:val="1B2A41"/>
        </w:rPr>
        <w:t>Rationales</w:t>
      </w:r>
    </w:p>
    <w:p>
      <w:pPr>
        <w:pStyle w:val="Rationale"/>
        <w:keepLines/>
      </w:pPr>
      <w:r>
        <w:t>A. Incorrect. Information alone does not create connection or continuity.</w:t>
      </w:r>
    </w:p>
    <w:p>
      <w:pPr>
        <w:pStyle w:val="Rationale"/>
        <w:keepLines/>
      </w:pPr>
      <w:r>
        <w:t>B. Incorrect. Documentation of a referral does not show access.</w:t>
      </w:r>
    </w:p>
    <w:p>
      <w:pPr>
        <w:pStyle w:val="Rationale"/>
        <w:keepLines/>
      </w:pPr>
      <w:r>
        <w:t>C. Incorrect. Broad disclosure may be unnecessary and does not guarantee service entry.</w:t>
      </w:r>
    </w:p>
    <w:p>
      <w:pPr>
        <w:pStyle w:val="Rationale"/>
        <w:keepLines/>
      </w:pPr>
      <w:r>
        <w:t>D. Correct. A warm handoff includes fit, authorization, active connection, barrier reduction, and confirmation of access.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Distinguish “referral sent” from “client connected.” The latter requires confirmation and follow-through.</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LCSW-WB10-QB-Q005</w:t>
            </w:r>
          </w:p>
        </w:tc>
        <w:tc>
          <w:tcPr>
            <w:tcW w:type="dxa" w:w="2570"/>
            <w:shd w:fill="F2F4F6"/>
            <w:vAlign w:val="center"/>
          </w:tcPr>
          <w:p>
            <w:pPr>
              <w:spacing w:after="0" w:before="0"/>
              <w:keepNext/>
            </w:pPr>
            <w:r>
              <w:rPr>
                <w:sz w:val="17"/>
              </w:rPr>
              <w:t>Easy</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Accountable coordination documentation</w:t>
            </w:r>
          </w:p>
        </w:tc>
      </w:tr>
    </w:tbl>
    <w:p>
      <w:pPr>
        <w:keepNext/>
      </w:pPr>
      <w:r>
        <w:rPr>
          <w:b/>
          <w:color w:val="1B2A41"/>
        </w:rPr>
        <w:t>Question</w:t>
      </w:r>
    </w:p>
    <w:p>
      <w:pPr>
        <w:keepNext/>
        <w:keepLines/>
      </w:pPr>
      <w:r>
        <w:t>After a multidisciplinary meeting, which documentation is MOST useful for continuity?</w:t>
      </w:r>
    </w:p>
    <w:p>
      <w:pPr>
        <w:pStyle w:val="Option"/>
        <w:keepLines/>
      </w:pPr>
      <w:r>
        <w:t>A. The client’s goals and participation, information-sharing authority, assigned tasks, responsible parties, deadlines, barriers, and review date.</w:t>
      </w:r>
    </w:p>
    <w:p>
      <w:pPr>
        <w:pStyle w:val="Option"/>
        <w:keepLines/>
      </w:pPr>
      <w:r>
        <w:t>B. A statement that the meeting was productive.</w:t>
      </w:r>
    </w:p>
    <w:p>
      <w:pPr>
        <w:pStyle w:val="Option"/>
        <w:keepLines/>
      </w:pPr>
      <w:r>
        <w:t>C. A ranking of which professionals seemed most cooperative.</w:t>
      </w:r>
    </w:p>
    <w:p>
      <w:pPr>
        <w:pStyle w:val="Option"/>
        <w:keepLines/>
      </w:pPr>
      <w:r>
        <w:t>D. Copies of every participant’s complete record.</w:t>
      </w:r>
    </w:p>
    <w:p>
      <w:pPr>
        <w:keepNext/>
      </w:pPr>
      <w:r>
        <w:rPr>
          <w:b/>
          <w:color w:val="2A9D8F"/>
        </w:rPr>
        <w:t>Correct Answer: A</w:t>
      </w:r>
    </w:p>
    <w:p>
      <w:pPr>
        <w:keepNext/>
      </w:pPr>
      <w:r>
        <w:rPr>
          <w:b/>
          <w:color w:val="1B2A41"/>
        </w:rPr>
        <w:t>Rationales</w:t>
      </w:r>
    </w:p>
    <w:p>
      <w:pPr>
        <w:pStyle w:val="Rationale"/>
        <w:keepLines/>
      </w:pPr>
      <w:r>
        <w:t>A. Correct. Strong documentation makes decisions, authority, responsibility, barriers, and follow-up visible.</w:t>
      </w:r>
    </w:p>
    <w:p>
      <w:pPr>
        <w:pStyle w:val="Rationale"/>
        <w:keepLines/>
      </w:pPr>
      <w:r>
        <w:t>B. Incorrect. A general impression does not support accountability.</w:t>
      </w:r>
    </w:p>
    <w:p>
      <w:pPr>
        <w:pStyle w:val="Rationale"/>
        <w:keepLines/>
      </w:pPr>
      <w:r>
        <w:t>C. Incorrect. Personal judgments about colleagues do not define the plan.</w:t>
      </w:r>
    </w:p>
    <w:p>
      <w:pPr>
        <w:pStyle w:val="Rationale"/>
        <w:keepLines/>
      </w:pPr>
      <w:r>
        <w:t>D. Incorrect. Complete records may exceed what is relevant or authorized.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Choose documentation that tells the next provider what was decided, who owns each step, and when progress will be reviewed.</w:t>
            </w:r>
          </w:p>
        </w:tc>
      </w:tr>
    </w:tbl>
    <w:p/>
    <w:p>
      <w:pPr>
        <w:pStyle w:val="Heading1"/>
      </w:pPr>
      <w:r>
        <w:t>Moderate Questions</w:t>
      </w:r>
    </w:p>
    <w:p>
      <w:r>
        <w:t>7 questions | Applied intervention, coordination, and client-system decisions.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LCSW-WB10-QB-Q006</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Prioritization of urgent and time-sensitive needs</w:t>
            </w:r>
          </w:p>
        </w:tc>
      </w:tr>
    </w:tbl>
    <w:p>
      <w:pPr>
        <w:keepNext/>
      </w:pPr>
      <w:r>
        <w:rPr>
          <w:b/>
          <w:color w:val="1B2A41"/>
        </w:rPr>
        <w:t>Question</w:t>
      </w:r>
    </w:p>
    <w:p>
      <w:pPr>
        <w:keepNext/>
        <w:keepLines/>
      </w:pPr>
      <w:r>
        <w:t>A client wants employment assistance but also reports having no medication for a serious cardiac condition and no transportation to the pharmacy. What should the social worker address FIRST?</w:t>
      </w:r>
    </w:p>
    <w:p>
      <w:pPr>
        <w:pStyle w:val="Option"/>
        <w:keepLines/>
      </w:pPr>
      <w:r>
        <w:t>A. Begin a long-term vocational assessment.</w:t>
      </w:r>
    </w:p>
    <w:p>
      <w:pPr>
        <w:pStyle w:val="Option"/>
        <w:keepLines/>
      </w:pPr>
      <w:r>
        <w:t>B. Assess medical urgency and coordinate safe, accessible medication and transportation support before moving to longer-term goals.</w:t>
      </w:r>
    </w:p>
    <w:p>
      <w:pPr>
        <w:pStyle w:val="Option"/>
        <w:keepLines/>
      </w:pPr>
      <w:r>
        <w:t>C. Ask the client to choose only one service domain.</w:t>
      </w:r>
    </w:p>
    <w:p>
      <w:pPr>
        <w:pStyle w:val="Option"/>
        <w:keepLines/>
      </w:pPr>
      <w:r>
        <w:t>D. Refer the client to psychotherapy for poor planning.</w:t>
      </w:r>
    </w:p>
    <w:p>
      <w:pPr>
        <w:keepNext/>
      </w:pPr>
      <w:r>
        <w:rPr>
          <w:b/>
          <w:color w:val="2A9D8F"/>
        </w:rPr>
        <w:t>Correct Answer: B</w:t>
      </w:r>
    </w:p>
    <w:p>
      <w:pPr>
        <w:keepNext/>
      </w:pPr>
      <w:r>
        <w:rPr>
          <w:b/>
          <w:color w:val="1B2A41"/>
        </w:rPr>
        <w:t>Rationales</w:t>
      </w:r>
    </w:p>
    <w:p>
      <w:pPr>
        <w:pStyle w:val="Rationale"/>
        <w:keepLines/>
      </w:pPr>
      <w:r>
        <w:t>A. Incorrect. Employment is important but does not precede possible medical risk.</w:t>
      </w:r>
    </w:p>
    <w:p>
      <w:pPr>
        <w:pStyle w:val="Rationale"/>
        <w:keepLines/>
      </w:pPr>
      <w:r>
        <w:t>B. Correct. Immediate health and access needs are prioritized before longer-term recovery planning.</w:t>
      </w:r>
    </w:p>
    <w:p>
      <w:pPr>
        <w:pStyle w:val="Rationale"/>
        <w:keepLines/>
      </w:pPr>
      <w:r>
        <w:t>C. Incorrect. Integrated case management can sequence multiple needs rather than forcing a false choice.</w:t>
      </w:r>
    </w:p>
    <w:p>
      <w:pPr>
        <w:pStyle w:val="Rationale"/>
        <w:keepLines/>
      </w:pPr>
      <w:r>
        <w:t>D. Incorrect. The known barrier is practical and potentially urgent, not evidence of a psychological deficit.</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Triage safety and medical urgency before basic needs, deadlines, and longer-term functioning.</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LCSW-WB10-QB-Q007</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Barrier assessment before labeling nonadherence</w:t>
            </w:r>
          </w:p>
        </w:tc>
      </w:tr>
    </w:tbl>
    <w:p>
      <w:pPr>
        <w:keepNext/>
      </w:pPr>
      <w:r>
        <w:rPr>
          <w:b/>
          <w:color w:val="1B2A41"/>
        </w:rPr>
        <w:t>Question</w:t>
      </w:r>
    </w:p>
    <w:p>
      <w:pPr>
        <w:keepNext/>
        <w:keepLines/>
      </w:pPr>
      <w:r>
        <w:t>A client has missed two dialysis appointments. The clinic calls the client “noncompliant,” but the client reports an unreliable bus route and no one to supervise a dependent parent. What should the social worker do FIRST?</w:t>
      </w:r>
    </w:p>
    <w:p>
      <w:pPr>
        <w:pStyle w:val="Option"/>
        <w:keepLines/>
      </w:pPr>
      <w:r>
        <w:t>A. Warn the client that continued absences will lead to case closure.</w:t>
      </w:r>
    </w:p>
    <w:p>
      <w:pPr>
        <w:pStyle w:val="Option"/>
        <w:keepLines/>
      </w:pPr>
      <w:r>
        <w:t>B. Accept the clinic’s interpretation because dialysis is medically necessary.</w:t>
      </w:r>
    </w:p>
    <w:p>
      <w:pPr>
        <w:pStyle w:val="Option"/>
        <w:keepLines/>
      </w:pPr>
      <w:r>
        <w:t>C. Assess transportation and caregiving barriers, clarify urgency, and coordinate an accessible plan with the client and care team.</w:t>
      </w:r>
    </w:p>
    <w:p>
      <w:pPr>
        <w:pStyle w:val="Option"/>
        <w:keepLines/>
      </w:pPr>
      <w:r>
        <w:t>D. Refer the client to anger-management treatment.</w:t>
      </w:r>
    </w:p>
    <w:p>
      <w:pPr>
        <w:keepNext/>
      </w:pPr>
      <w:r>
        <w:rPr>
          <w:b/>
          <w:color w:val="2A9D8F"/>
        </w:rPr>
        <w:t>Correct Answer: C</w:t>
      </w:r>
    </w:p>
    <w:p>
      <w:pPr>
        <w:keepNext/>
      </w:pPr>
      <w:r>
        <w:rPr>
          <w:b/>
          <w:color w:val="1B2A41"/>
        </w:rPr>
        <w:t>Rationales</w:t>
      </w:r>
    </w:p>
    <w:p>
      <w:pPr>
        <w:pStyle w:val="Rationale"/>
        <w:keepLines/>
      </w:pPr>
      <w:r>
        <w:t>A. Incorrect. A threat does not address the barriers and may increase risk.</w:t>
      </w:r>
    </w:p>
    <w:p>
      <w:pPr>
        <w:pStyle w:val="Rationale"/>
        <w:keepLines/>
      </w:pPr>
      <w:r>
        <w:t>B. Incorrect. Medical importance strengthens the need for barrier assessment rather than labeling.</w:t>
      </w:r>
    </w:p>
    <w:p>
      <w:pPr>
        <w:pStyle w:val="Rationale"/>
        <w:keepLines/>
      </w:pPr>
      <w:r>
        <w:t>C. Correct. The response addresses urgent care, concrete access conditions, client participation, and collaboration.</w:t>
      </w:r>
    </w:p>
    <w:p>
      <w:pPr>
        <w:pStyle w:val="Rationale"/>
        <w:keepLines/>
      </w:pPr>
      <w:r>
        <w:t>D. Incorrect. No anger problem is described.</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Replace vague labels with observable events, the client’s explanation, barriers, and a revised access plan.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LCSW-WB10-QB-Q008</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Interdisciplinary role clarity and authority</w:t>
            </w:r>
          </w:p>
        </w:tc>
      </w:tr>
    </w:tbl>
    <w:p>
      <w:pPr>
        <w:keepNext/>
      </w:pPr>
      <w:r>
        <w:rPr>
          <w:b/>
          <w:color w:val="1B2A41"/>
        </w:rPr>
        <w:t>Question</w:t>
      </w:r>
    </w:p>
    <w:p>
      <w:pPr>
        <w:keepNext/>
        <w:keepLines/>
      </w:pPr>
      <w:r>
        <w:t>During discharge planning, the nurse expects the social worker to approve home safety, the physician expects the family to arrange equipment, and the family believes the hospital will manage everything. What should the social worker do FIRST?</w:t>
      </w:r>
    </w:p>
    <w:p>
      <w:pPr>
        <w:pStyle w:val="Option"/>
        <w:keepLines/>
      </w:pPr>
      <w:r>
        <w:t>A. Assume responsibility for every task to prevent delay.</w:t>
      </w:r>
    </w:p>
    <w:p>
      <w:pPr>
        <w:pStyle w:val="Option"/>
        <w:keepLines/>
      </w:pPr>
      <w:r>
        <w:t>B. Ask the family to decide which professional is in charge.</w:t>
      </w:r>
    </w:p>
    <w:p>
      <w:pPr>
        <w:pStyle w:val="Option"/>
        <w:keepLines/>
      </w:pPr>
      <w:r>
        <w:t>C. Document the confusion and wait for the next team meeting.</w:t>
      </w:r>
    </w:p>
    <w:p>
      <w:pPr>
        <w:pStyle w:val="Option"/>
        <w:keepLines/>
      </w:pPr>
      <w:r>
        <w:t>D. Clarify authority and roles, center the patient’s goals, assign each task and deadline, and identify the follow-up point.</w:t>
      </w:r>
    </w:p>
    <w:p>
      <w:pPr>
        <w:keepNext/>
      </w:pPr>
      <w:r>
        <w:rPr>
          <w:b/>
          <w:color w:val="2A9D8F"/>
        </w:rPr>
        <w:t>Correct Answer: D</w:t>
      </w:r>
    </w:p>
    <w:p>
      <w:pPr>
        <w:keepNext/>
      </w:pPr>
      <w:r>
        <w:rPr>
          <w:b/>
          <w:color w:val="1B2A41"/>
        </w:rPr>
        <w:t>Rationales</w:t>
      </w:r>
    </w:p>
    <w:p>
      <w:pPr>
        <w:pStyle w:val="Rationale"/>
        <w:keepLines/>
      </w:pPr>
      <w:r>
        <w:t>A. Incorrect. Taking over all functions can exceed role and obscure accountability.</w:t>
      </w:r>
    </w:p>
    <w:p>
      <w:pPr>
        <w:pStyle w:val="Rationale"/>
        <w:keepLines/>
      </w:pPr>
      <w:r>
        <w:t>B. Incorrect. The team, not the family, must clarify professional responsibilities while supporting participation.</w:t>
      </w:r>
    </w:p>
    <w:p>
      <w:pPr>
        <w:pStyle w:val="Rationale"/>
        <w:keepLines/>
      </w:pPr>
      <w:r>
        <w:t>C. Incorrect. Waiting allows safety and continuity problems to persist.</w:t>
      </w:r>
    </w:p>
    <w:p>
      <w:pPr>
        <w:pStyle w:val="Rationale"/>
        <w:keepLines/>
      </w:pPr>
      <w:r>
        <w:t>D. Correct. Role clarity, client participation, explicit ownership, and follow-up are essential intervention tasks.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a team is confused, choose the answer that names authority, responsibility, deadline, and client participation.</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LCSW-WB10-QB-Q009</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Application</w:t>
            </w:r>
          </w:p>
        </w:tc>
        <w:tc>
          <w:tcPr>
            <w:tcW w:type="dxa" w:w="2570"/>
            <w:vAlign w:val="center"/>
          </w:tcPr>
          <w:p>
            <w:pPr>
              <w:spacing w:after="0" w:before="0"/>
              <w:keepNext/>
            </w:pPr>
            <w:r>
              <w:rPr>
                <w:sz w:val="17"/>
              </w:rPr>
              <w:t>Selecting the correct advocacy level</w:t>
            </w:r>
          </w:p>
        </w:tc>
      </w:tr>
    </w:tbl>
    <w:p>
      <w:pPr>
        <w:keepNext/>
      </w:pPr>
      <w:r>
        <w:rPr>
          <w:b/>
          <w:color w:val="1B2A41"/>
        </w:rPr>
        <w:t>Question</w:t>
      </w:r>
    </w:p>
    <w:p>
      <w:pPr>
        <w:keepNext/>
        <w:keepLines/>
      </w:pPr>
      <w:r>
        <w:t>Several clients report that the same agency routinely refuses qualified interpreters despite repeated individual requests. Which advocacy level is MOST appropriate?</w:t>
      </w:r>
    </w:p>
    <w:p>
      <w:pPr>
        <w:pStyle w:val="Option"/>
        <w:keepLines/>
      </w:pPr>
      <w:r>
        <w:t>A. Organizational advocacy aimed at the repeated procedure and access barrier, with affected-client participation when appropriate.</w:t>
      </w:r>
    </w:p>
    <w:p>
      <w:pPr>
        <w:pStyle w:val="Option"/>
        <w:keepLines/>
      </w:pPr>
      <w:r>
        <w:t>B. Individual psychotherapy for each client’s frustration.</w:t>
      </w:r>
    </w:p>
    <w:p>
      <w:pPr>
        <w:pStyle w:val="Option"/>
        <w:keepLines/>
      </w:pPr>
      <w:r>
        <w:t>C. A private reminder to one receptionist with no follow-up.</w:t>
      </w:r>
    </w:p>
    <w:p>
      <w:pPr>
        <w:pStyle w:val="Option"/>
        <w:keepLines/>
      </w:pPr>
      <w:r>
        <w:t>D. Immediate national policy advocacy without first defining the agency problem.</w:t>
      </w:r>
    </w:p>
    <w:p>
      <w:pPr>
        <w:keepNext/>
      </w:pPr>
      <w:r>
        <w:rPr>
          <w:b/>
          <w:color w:val="2A9D8F"/>
        </w:rPr>
        <w:t>Correct Answer: A</w:t>
      </w:r>
    </w:p>
    <w:p>
      <w:pPr>
        <w:keepNext/>
      </w:pPr>
      <w:r>
        <w:rPr>
          <w:b/>
          <w:color w:val="1B2A41"/>
        </w:rPr>
        <w:t>Rationales</w:t>
      </w:r>
    </w:p>
    <w:p>
      <w:pPr>
        <w:pStyle w:val="Rationale"/>
        <w:keepLines/>
      </w:pPr>
      <w:r>
        <w:t>A. Correct. A repeated agency-level barrier calls for organizational change rather than isolated case fixes alone.</w:t>
      </w:r>
    </w:p>
    <w:p>
      <w:pPr>
        <w:pStyle w:val="Rationale"/>
        <w:keepLines/>
      </w:pPr>
      <w:r>
        <w:t>B. Incorrect. Therapy does not correct the inaccessible procedure.</w:t>
      </w:r>
    </w:p>
    <w:p>
      <w:pPr>
        <w:pStyle w:val="Rationale"/>
        <w:keepLines/>
      </w:pPr>
      <w:r>
        <w:t>C. Incorrect. An informal reminder may be insufficient for a persistent systemic pattern.</w:t>
      </w:r>
    </w:p>
    <w:p>
      <w:pPr>
        <w:pStyle w:val="Rationale"/>
        <w:keepLines/>
      </w:pPr>
      <w:r>
        <w:t>D. Incorrect. The smallest sufficient advocacy level should be used before escalating beyond the identified system.</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Match the advocacy level to where the barrier is maintained: case, organization, or community/policy.</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LCSW-WB10-QB-Q010</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Time-sensitive benefits access and literacy support</w:t>
            </w:r>
          </w:p>
        </w:tc>
      </w:tr>
    </w:tbl>
    <w:p>
      <w:pPr>
        <w:keepNext/>
      </w:pPr>
      <w:r>
        <w:rPr>
          <w:b/>
          <w:color w:val="1B2A41"/>
        </w:rPr>
        <w:t>Question</w:t>
      </w:r>
    </w:p>
    <w:p>
      <w:pPr>
        <w:keepNext/>
        <w:keepLines/>
      </w:pPr>
      <w:r>
        <w:t>A client has three days to appeal a benefits termination, lacks identification documents, and says the notice is difficult to read. What should the social worker do FIRST?</w:t>
      </w:r>
    </w:p>
    <w:p>
      <w:pPr>
        <w:pStyle w:val="Option"/>
        <w:keepLines/>
      </w:pPr>
      <w:r>
        <w:t>A. Schedule a routine therapy session to process the client’s anxiety.</w:t>
      </w:r>
    </w:p>
    <w:p>
      <w:pPr>
        <w:pStyle w:val="Option"/>
        <w:keepLines/>
      </w:pPr>
      <w:r>
        <w:t>B. Clarify the deadline and client goal, arrange accessible benefits or legal assistance, help address documentation barriers, and confirm the handoff.</w:t>
      </w:r>
    </w:p>
    <w:p>
      <w:pPr>
        <w:pStyle w:val="Option"/>
        <w:keepLines/>
      </w:pPr>
      <w:r>
        <w:t>C. Tell the client to submit any form independently before asking questions.</w:t>
      </w:r>
    </w:p>
    <w:p>
      <w:pPr>
        <w:pStyle w:val="Option"/>
        <w:keepLines/>
      </w:pPr>
      <w:r>
        <w:t>D. Wait until the client replaces all identification documents.</w:t>
      </w:r>
    </w:p>
    <w:p>
      <w:pPr>
        <w:keepNext/>
      </w:pPr>
      <w:r>
        <w:rPr>
          <w:b/>
          <w:color w:val="2A9D8F"/>
        </w:rPr>
        <w:t>Correct Answer: B</w:t>
      </w:r>
    </w:p>
    <w:p>
      <w:pPr>
        <w:keepNext/>
      </w:pPr>
      <w:r>
        <w:rPr>
          <w:b/>
          <w:color w:val="1B2A41"/>
        </w:rPr>
        <w:t>Rationales</w:t>
      </w:r>
    </w:p>
    <w:p>
      <w:pPr>
        <w:pStyle w:val="Rationale"/>
        <w:keepLines/>
      </w:pPr>
      <w:r>
        <w:t>A. Incorrect. Emotional support may help, but the time-sensitive appeal requires immediate coordination.</w:t>
      </w:r>
    </w:p>
    <w:p>
      <w:pPr>
        <w:pStyle w:val="Rationale"/>
        <w:keepLines/>
      </w:pPr>
      <w:r>
        <w:t>B. Correct. The response prioritizes the deadline, accessibility, qualified help, practical barriers, and follow-through.</w:t>
      </w:r>
    </w:p>
    <w:p>
      <w:pPr>
        <w:pStyle w:val="Rationale"/>
        <w:keepLines/>
      </w:pPr>
      <w:r>
        <w:t>C. Incorrect. Independent submission may be inaccessible and could jeopardize the appeal.</w:t>
      </w:r>
    </w:p>
    <w:p>
      <w:pPr>
        <w:pStyle w:val="Rationale"/>
        <w:keepLines/>
      </w:pPr>
      <w:r>
        <w:t>D. Incorrect. Waiting may cause the client to miss the deadline; documentation needs should be addressed within the urgent plan.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a deadline appears, prioritize it while preserving informed participation and qualified assistance.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LCSW-WB10-QB-Q011</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Minimum necessary information in collaboration</w:t>
            </w:r>
          </w:p>
        </w:tc>
      </w:tr>
    </w:tbl>
    <w:p>
      <w:pPr>
        <w:keepNext/>
      </w:pPr>
      <w:r>
        <w:rPr>
          <w:b/>
          <w:color w:val="1B2A41"/>
        </w:rPr>
        <w:t>Question</w:t>
      </w:r>
    </w:p>
    <w:p>
      <w:pPr>
        <w:keepNext/>
        <w:keepLines/>
      </w:pPr>
      <w:r>
        <w:t>An integrated-care team asks for the client’s complete psychotherapy record “so everyone has the same information.” What should the social worker do?</w:t>
      </w:r>
    </w:p>
    <w:p>
      <w:pPr>
        <w:pStyle w:val="Option"/>
        <w:keepLines/>
      </w:pPr>
      <w:r>
        <w:t>A. Send the record because all team members are helping the same client.</w:t>
      </w:r>
    </w:p>
    <w:p>
      <w:pPr>
        <w:pStyle w:val="Option"/>
        <w:keepLines/>
      </w:pPr>
      <w:r>
        <w:t>B. Refuse all collaboration to protect confidentiality.</w:t>
      </w:r>
    </w:p>
    <w:p>
      <w:pPr>
        <w:pStyle w:val="Option"/>
        <w:keepLines/>
      </w:pPr>
      <w:r>
        <w:t>C. Clarify authority and purpose, involve the client as required, and share only information relevant to the coordination need.</w:t>
      </w:r>
    </w:p>
    <w:p>
      <w:pPr>
        <w:pStyle w:val="Option"/>
        <w:keepLines/>
      </w:pPr>
      <w:r>
        <w:t>D. Ask another team member to decide what may be disclosed.</w:t>
      </w:r>
    </w:p>
    <w:p>
      <w:pPr>
        <w:keepNext/>
      </w:pPr>
      <w:r>
        <w:rPr>
          <w:b/>
          <w:color w:val="2A9D8F"/>
        </w:rPr>
        <w:t>Correct Answer: C</w:t>
      </w:r>
    </w:p>
    <w:p>
      <w:pPr>
        <w:keepNext/>
      </w:pPr>
      <w:r>
        <w:rPr>
          <w:b/>
          <w:color w:val="1B2A41"/>
        </w:rPr>
        <w:t>Rationales</w:t>
      </w:r>
    </w:p>
    <w:p>
      <w:pPr>
        <w:pStyle w:val="Rationale"/>
        <w:keepLines/>
      </w:pPr>
      <w:r>
        <w:t>A. Incorrect. Collaboration is not blanket permission for broad disclosure.</w:t>
      </w:r>
    </w:p>
    <w:p>
      <w:pPr>
        <w:pStyle w:val="Rationale"/>
        <w:keepLines/>
      </w:pPr>
      <w:r>
        <w:t>B. Incorrect. Appropriate coordination can occur with proper authority and limited relevant information.</w:t>
      </w:r>
    </w:p>
    <w:p>
      <w:pPr>
        <w:pStyle w:val="Rationale"/>
        <w:keepLines/>
      </w:pPr>
      <w:r>
        <w:t>C. Correct. The social worker should define recipient, purpose, authorization, relevance, and limits.</w:t>
      </w:r>
    </w:p>
    <w:p>
      <w:pPr>
        <w:pStyle w:val="Rationale"/>
        <w:keepLines/>
      </w:pPr>
      <w:r>
        <w:t>D. Incorrect. The social worker remains responsible for evaluating disclosure within the role.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team questions, separate the purpose of collaboration from the scope of information that is actually necessary.</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LCSW-WB10-QB-Q012</w:t>
            </w:r>
          </w:p>
        </w:tc>
        <w:tc>
          <w:tcPr>
            <w:tcW w:type="dxa" w:w="2570"/>
            <w:shd w:fill="F2F4F6"/>
            <w:vAlign w:val="center"/>
          </w:tcPr>
          <w:p>
            <w:pPr>
              <w:spacing w:after="0" w:before="0"/>
              <w:keepNext/>
            </w:pPr>
            <w:r>
              <w:rPr>
                <w:sz w:val="17"/>
              </w:rPr>
              <w:t>Moderate</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School collaboration, language access, and client participation</w:t>
            </w:r>
          </w:p>
        </w:tc>
      </w:tr>
    </w:tbl>
    <w:p>
      <w:pPr>
        <w:keepNext/>
      </w:pPr>
      <w:r>
        <w:rPr>
          <w:b/>
          <w:color w:val="1B2A41"/>
        </w:rPr>
        <w:t>Question</w:t>
      </w:r>
    </w:p>
    <w:p>
      <w:pPr>
        <w:keepNext/>
        <w:keepLines/>
      </w:pPr>
      <w:r>
        <w:t>A school team develops a plan for a student with a disability without the student present. The parent has limited English proficiency and signed documents without understanding them. What should the school social worker do NEXT?</w:t>
      </w:r>
    </w:p>
    <w:p>
      <w:pPr>
        <w:pStyle w:val="Option"/>
        <w:keepLines/>
      </w:pPr>
      <w:r>
        <w:t>A. Implement the plan because the team has professional expertise.</w:t>
      </w:r>
    </w:p>
    <w:p>
      <w:pPr>
        <w:pStyle w:val="Option"/>
        <w:keepLines/>
      </w:pPr>
      <w:r>
        <w:t>B. Ask the student to interpret the documents for the parent.</w:t>
      </w:r>
    </w:p>
    <w:p>
      <w:pPr>
        <w:pStyle w:val="Option"/>
        <w:keepLines/>
      </w:pPr>
      <w:r>
        <w:t>C. Send a translated summary after the plan begins.</w:t>
      </w:r>
    </w:p>
    <w:p>
      <w:pPr>
        <w:pStyle w:val="Option"/>
        <w:keepLines/>
      </w:pPr>
      <w:r>
        <w:t>D. Arrange qualified language access, clarify roles and decision authority, support meaningful student and parent participation, and assign implementation and review responsibilities.</w:t>
      </w:r>
    </w:p>
    <w:p>
      <w:pPr>
        <w:keepNext/>
      </w:pPr>
      <w:r>
        <w:rPr>
          <w:b/>
          <w:color w:val="2A9D8F"/>
        </w:rPr>
        <w:t>Correct Answer: D</w:t>
      </w:r>
    </w:p>
    <w:p>
      <w:pPr>
        <w:keepNext/>
      </w:pPr>
      <w:r>
        <w:rPr>
          <w:b/>
          <w:color w:val="1B2A41"/>
        </w:rPr>
        <w:t>Rationales</w:t>
      </w:r>
    </w:p>
    <w:p>
      <w:pPr>
        <w:pStyle w:val="Rationale"/>
        <w:keepLines/>
      </w:pPr>
      <w:r>
        <w:t>A. Incorrect. Professional expertise does not replace informed, meaningful client-system participation.</w:t>
      </w:r>
    </w:p>
    <w:p>
      <w:pPr>
        <w:pStyle w:val="Rationale"/>
        <w:keepLines/>
      </w:pPr>
      <w:r>
        <w:t>B. Incorrect. Using the student as interpreter creates accuracy, power, and role concerns.</w:t>
      </w:r>
    </w:p>
    <w:p>
      <w:pPr>
        <w:pStyle w:val="Rationale"/>
        <w:keepLines/>
      </w:pPr>
      <w:r>
        <w:t>C. Incorrect. Information after decisions are made does not create meaningful participation.</w:t>
      </w:r>
    </w:p>
    <w:p>
      <w:pPr>
        <w:pStyle w:val="Rationale"/>
        <w:keepLines/>
      </w:pPr>
      <w:r>
        <w:t>D. Correct. The response integrates access, role clarity, self-determination, accountability, and evaluation.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In school-team scenarios, look for understandable participation before decisions plus clear responsibility afterward.</w:t>
            </w:r>
          </w:p>
        </w:tc>
      </w:tr>
    </w:tbl>
    <w:p/>
    <w:p>
      <w:pPr>
        <w:pStyle w:val="Heading1"/>
      </w:pPr>
      <w:r>
        <w:t>Difficult Questions</w:t>
      </w:r>
    </w:p>
    <w:p>
      <w:r>
        <w:t>5 questions | Integrated clinical reasoning across competing priorities.</w:t>
      </w:r>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LCSW-WB10-QB-Q013</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Scenario-Based</w:t>
            </w:r>
          </w:p>
        </w:tc>
        <w:tc>
          <w:tcPr>
            <w:tcW w:type="dxa" w:w="2570"/>
            <w:vAlign w:val="center"/>
          </w:tcPr>
          <w:p>
            <w:pPr>
              <w:spacing w:after="0" w:before="0"/>
              <w:keepNext/>
            </w:pPr>
            <w:r>
              <w:rPr>
                <w:sz w:val="17"/>
              </w:rPr>
              <w:t>Integrated medical, suicide, housing, and communication triage</w:t>
            </w:r>
          </w:p>
        </w:tc>
      </w:tr>
    </w:tbl>
    <w:p>
      <w:pPr>
        <w:keepNext/>
      </w:pPr>
      <w:r>
        <w:rPr>
          <w:b/>
          <w:color w:val="1B2A41"/>
        </w:rPr>
        <w:t>Question</w:t>
      </w:r>
    </w:p>
    <w:p>
      <w:pPr>
        <w:keepNext/>
        <w:keepLines/>
      </w:pPr>
      <w:r>
        <w:t>A client discharged after treatment for heart failure is sleeping in a car, has no working telephone, reports passive suicidal thoughts, and is unsure how to obtain medications. What should the social worker do FIRST?</w:t>
      </w:r>
    </w:p>
    <w:p>
      <w:pPr>
        <w:pStyle w:val="Option"/>
        <w:keepLines/>
      </w:pPr>
      <w:r>
        <w:t>A. Assess suicide and medical urgency, address immediate shelter and medication access, map involved systems with the client, and establish reachable follow-up.</w:t>
      </w:r>
    </w:p>
    <w:p>
      <w:pPr>
        <w:pStyle w:val="Option"/>
        <w:keepLines/>
      </w:pPr>
      <w:r>
        <w:t>B. Begin a weekly depression group before discussing housing.</w:t>
      </w:r>
    </w:p>
    <w:p>
      <w:pPr>
        <w:pStyle w:val="Option"/>
        <w:keepLines/>
      </w:pPr>
      <w:r>
        <w:t>C. Provide a resource list and ask the client to call from a public telephone.</w:t>
      </w:r>
    </w:p>
    <w:p>
      <w:pPr>
        <w:pStyle w:val="Option"/>
        <w:keepLines/>
      </w:pPr>
      <w:r>
        <w:t>D. Refer the client to another case-management agency and close the case.</w:t>
      </w:r>
    </w:p>
    <w:p>
      <w:pPr>
        <w:keepNext/>
      </w:pPr>
      <w:r>
        <w:rPr>
          <w:b/>
          <w:color w:val="2A9D8F"/>
        </w:rPr>
        <w:t>Correct Answer: A</w:t>
      </w:r>
    </w:p>
    <w:p>
      <w:pPr>
        <w:keepNext/>
      </w:pPr>
      <w:r>
        <w:rPr>
          <w:b/>
          <w:color w:val="1B2A41"/>
        </w:rPr>
        <w:t>Rationales</w:t>
      </w:r>
    </w:p>
    <w:p>
      <w:pPr>
        <w:pStyle w:val="Rationale"/>
        <w:keepLines/>
      </w:pPr>
      <w:r>
        <w:t>A. Correct. The response prioritizes safety and medical risk, concrete access, client-centered coordination, and continuity.</w:t>
      </w:r>
    </w:p>
    <w:p>
      <w:pPr>
        <w:pStyle w:val="Rationale"/>
        <w:keepLines/>
      </w:pPr>
      <w:r>
        <w:t>B. Incorrect. Group treatment does not address the immediate risks and barriers.</w:t>
      </w:r>
    </w:p>
    <w:p>
      <w:pPr>
        <w:pStyle w:val="Rationale"/>
        <w:keepLines/>
      </w:pPr>
      <w:r>
        <w:t>C. Incorrect. A list is inadequate when communication, health, and housing barriers threaten access.</w:t>
      </w:r>
    </w:p>
    <w:p>
      <w:pPr>
        <w:pStyle w:val="Rationale"/>
        <w:keepLines/>
      </w:pPr>
      <w:r>
        <w:t>D. Incorrect. Transfer without active linkage and follow-up can create dangerous gaps.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For complex cases, triage immediate risk first, then make coordination reachable and accountable.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LCSW-WB10-QB-Q014</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Immigration-related benefit concern and professional competence</w:t>
            </w:r>
          </w:p>
        </w:tc>
      </w:tr>
    </w:tbl>
    <w:p>
      <w:pPr>
        <w:keepNext/>
      </w:pPr>
      <w:r>
        <w:rPr>
          <w:b/>
          <w:color w:val="1B2A41"/>
        </w:rPr>
        <w:t>Question</w:t>
      </w:r>
    </w:p>
    <w:p>
      <w:pPr>
        <w:keepNext/>
        <w:keepLines/>
      </w:pPr>
      <w:r>
        <w:t>A refugee parent asks whether signing a subsidized-housing form could jeopardize a pending family petition. The social worker lacks immigration-law expertise. What should the social worker do NEXT?</w:t>
      </w:r>
    </w:p>
    <w:p>
      <w:pPr>
        <w:pStyle w:val="Option"/>
        <w:keepLines/>
      </w:pPr>
      <w:r>
        <w:t>A. Guarantee that the benefit will have no immigration consequences.</w:t>
      </w:r>
    </w:p>
    <w:p>
      <w:pPr>
        <w:pStyle w:val="Option"/>
        <w:keepLines/>
      </w:pPr>
      <w:r>
        <w:t>B. Acknowledge the concern, arrange qualified language-accessible immigration or benefits consultation, and support the client’s informed decision without giving advice outside competence.</w:t>
      </w:r>
    </w:p>
    <w:p>
      <w:pPr>
        <w:pStyle w:val="Option"/>
        <w:keepLines/>
      </w:pPr>
      <w:r>
        <w:t>C. Advise the client to decline all benefits until citizenship is obtained.</w:t>
      </w:r>
    </w:p>
    <w:p>
      <w:pPr>
        <w:pStyle w:val="Option"/>
        <w:keepLines/>
      </w:pPr>
      <w:r>
        <w:t>D. Complete the application immediately because the benefit appears helpful.</w:t>
      </w:r>
    </w:p>
    <w:p>
      <w:pPr>
        <w:keepNext/>
      </w:pPr>
      <w:r>
        <w:rPr>
          <w:b/>
          <w:color w:val="2A9D8F"/>
        </w:rPr>
        <w:t>Correct Answer: B</w:t>
      </w:r>
    </w:p>
    <w:p>
      <w:pPr>
        <w:keepNext/>
      </w:pPr>
      <w:r>
        <w:rPr>
          <w:b/>
          <w:color w:val="1B2A41"/>
        </w:rPr>
        <w:t>Rationales</w:t>
      </w:r>
    </w:p>
    <w:p>
      <w:pPr>
        <w:pStyle w:val="Rationale"/>
        <w:keepLines/>
      </w:pPr>
      <w:r>
        <w:t>A. Incorrect. The social worker cannot make an unsupported legal guarantee.</w:t>
      </w:r>
    </w:p>
    <w:p>
      <w:pPr>
        <w:pStyle w:val="Rationale"/>
        <w:keepLines/>
      </w:pPr>
      <w:r>
        <w:t>B. Correct. The response protects competence, language access, self-determination, and informed coordination.</w:t>
      </w:r>
    </w:p>
    <w:p>
      <w:pPr>
        <w:pStyle w:val="Rationale"/>
        <w:keepLines/>
      </w:pPr>
      <w:r>
        <w:t>C. Incorrect. Broad advice to avoid benefits may cause harm and exceeds competence.</w:t>
      </w:r>
    </w:p>
    <w:p>
      <w:pPr>
        <w:pStyle w:val="Rationale"/>
        <w:keepLines/>
      </w:pPr>
      <w:r>
        <w:t>D. Incorrect. Urgency does not justify bypassing the client’s concern or informed choice.</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legal consequences are uncertain, coordinate qualified consultation rather than guessing or making the decision for the client.</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LCSW-WB10-QB-Q015</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Self-determination, capacity, and family involvement</w:t>
            </w:r>
          </w:p>
        </w:tc>
      </w:tr>
    </w:tbl>
    <w:p>
      <w:pPr>
        <w:keepNext/>
      </w:pPr>
      <w:r>
        <w:rPr>
          <w:b/>
          <w:color w:val="1B2A41"/>
        </w:rPr>
        <w:t>Question</w:t>
      </w:r>
    </w:p>
    <w:p>
      <w:pPr>
        <w:keepNext/>
        <w:keepLines/>
      </w:pPr>
      <w:r>
        <w:t>A competent older adult says a daughter may not attend service-planning meetings. The daughter reports medication errors, and the client appears confused during one visit. What should the social worker do FIRST?</w:t>
      </w:r>
    </w:p>
    <w:p>
      <w:pPr>
        <w:pStyle w:val="Option"/>
        <w:keepLines/>
      </w:pPr>
      <w:r>
        <w:t>A. Invite the daughter immediately because family concern overrides preference.</w:t>
      </w:r>
    </w:p>
    <w:p>
      <w:pPr>
        <w:pStyle w:val="Option"/>
        <w:keepLines/>
      </w:pPr>
      <w:r>
        <w:t>B. Exclude the daughter permanently without assessing the new information.</w:t>
      </w:r>
    </w:p>
    <w:p>
      <w:pPr>
        <w:pStyle w:val="Option"/>
        <w:keepLines/>
      </w:pPr>
      <w:r>
        <w:t>C. Assess immediate safety and decision-making ability, clarify the client’s preferences and authority for disclosure, and use the least intrusive support consistent with the findings.</w:t>
      </w:r>
    </w:p>
    <w:p>
      <w:pPr>
        <w:pStyle w:val="Option"/>
        <w:keepLines/>
      </w:pPr>
      <w:r>
        <w:t>D. Terminate services until the family agrees.</w:t>
      </w:r>
    </w:p>
    <w:p>
      <w:pPr>
        <w:keepNext/>
      </w:pPr>
      <w:r>
        <w:rPr>
          <w:b/>
          <w:color w:val="2A9D8F"/>
        </w:rPr>
        <w:t>Correct Answer: C</w:t>
      </w:r>
    </w:p>
    <w:p>
      <w:pPr>
        <w:keepNext/>
      </w:pPr>
      <w:r>
        <w:rPr>
          <w:b/>
          <w:color w:val="1B2A41"/>
        </w:rPr>
        <w:t>Rationales</w:t>
      </w:r>
    </w:p>
    <w:p>
      <w:pPr>
        <w:pStyle w:val="Rationale"/>
        <w:keepLines/>
      </w:pPr>
      <w:r>
        <w:t>A. Incorrect. Concern warrants assessment but does not automatically eliminate the client’s rights.</w:t>
      </w:r>
    </w:p>
    <w:p>
      <w:pPr>
        <w:pStyle w:val="Rationale"/>
        <w:keepLines/>
      </w:pPr>
      <w:r>
        <w:t>B. Incorrect. The report and observed confusion require evaluation rather than automatic exclusion.</w:t>
      </w:r>
    </w:p>
    <w:p>
      <w:pPr>
        <w:pStyle w:val="Rationale"/>
        <w:keepLines/>
      </w:pPr>
      <w:r>
        <w:t>C. Correct. The response balances safety, capacity, self-determination, confidentiality, and proportionate support.</w:t>
      </w:r>
    </w:p>
    <w:p>
      <w:pPr>
        <w:pStyle w:val="Rationale"/>
        <w:keepLines/>
      </w:pPr>
      <w:r>
        <w:t>D. Incorrect. Termination would abandon the assessment and coordination needs.</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Do not choose between autonomy and safety prematurely; assess capacity and risk, then use the least intrusive effective response.</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LCSW-WB10-QB-Q016</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Organizational disability-access advocacy</w:t>
            </w:r>
          </w:p>
        </w:tc>
      </w:tr>
    </w:tbl>
    <w:p>
      <w:pPr>
        <w:keepNext/>
      </w:pPr>
      <w:r>
        <w:rPr>
          <w:b/>
          <w:color w:val="1B2A41"/>
        </w:rPr>
        <w:t>Question</w:t>
      </w:r>
    </w:p>
    <w:p>
      <w:pPr>
        <w:keepNext/>
        <w:keepLines/>
      </w:pPr>
      <w:r>
        <w:t>Deaf clients at a community clinic repeatedly receive appointments without communication accommodations, and individual complaints have not changed the scheduling process. What is the BEST social-work response?</w:t>
      </w:r>
    </w:p>
    <w:p>
      <w:pPr>
        <w:pStyle w:val="Option"/>
        <w:keepLines/>
      </w:pPr>
      <w:r>
        <w:t>A. Teach each client coping skills for frustrating appointments.</w:t>
      </w:r>
    </w:p>
    <w:p>
      <w:pPr>
        <w:pStyle w:val="Option"/>
        <w:keepLines/>
      </w:pPr>
      <w:r>
        <w:t>B. Ask clients to bring family members to interpret.</w:t>
      </w:r>
    </w:p>
    <w:p>
      <w:pPr>
        <w:pStyle w:val="Option"/>
        <w:keepLines/>
      </w:pPr>
      <w:r>
        <w:t>C. Refer all deaf clients to a different clinic without examining alternatives.</w:t>
      </w:r>
    </w:p>
    <w:p>
      <w:pPr>
        <w:pStyle w:val="Option"/>
        <w:keepLines/>
      </w:pPr>
      <w:r>
        <w:t>D. Work with affected clients to document the pattern, identify decision makers, pursue organizational accessibility changes, and evaluate implementation.</w:t>
      </w:r>
    </w:p>
    <w:p>
      <w:pPr>
        <w:keepNext/>
      </w:pPr>
      <w:r>
        <w:rPr>
          <w:b/>
          <w:color w:val="2A9D8F"/>
        </w:rPr>
        <w:t>Correct Answer: D</w:t>
      </w:r>
    </w:p>
    <w:p>
      <w:pPr>
        <w:keepNext/>
      </w:pPr>
      <w:r>
        <w:rPr>
          <w:b/>
          <w:color w:val="1B2A41"/>
        </w:rPr>
        <w:t>Rationales</w:t>
      </w:r>
    </w:p>
    <w:p>
      <w:pPr>
        <w:pStyle w:val="Rationale"/>
        <w:keepLines/>
      </w:pPr>
      <w:r>
        <w:t>A. Incorrect. Coping support does not correct the inaccessible system.</w:t>
      </w:r>
    </w:p>
    <w:p>
      <w:pPr>
        <w:pStyle w:val="Rationale"/>
        <w:keepLines/>
      </w:pPr>
      <w:r>
        <w:t>B. Incorrect. Family interpretation may be inaccurate, coercive, or inappropriate.</w:t>
      </w:r>
    </w:p>
    <w:p>
      <w:pPr>
        <w:pStyle w:val="Rationale"/>
        <w:keepLines/>
      </w:pPr>
      <w:r>
        <w:t>C. Incorrect. Referral may shift the burden to clients and does not address the repeated barrier.</w:t>
      </w:r>
    </w:p>
    <w:p>
      <w:pPr>
        <w:pStyle w:val="Rationale"/>
        <w:keepLines/>
      </w:pPr>
      <w:r>
        <w:t>D. Correct. The intervention matches an organizational pattern and includes client participation, evidence, decision makers, change, and evaluation.</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Repeated barriers across clients signal a system-level target; include affected people in defining and evaluating the remedy.</w:t>
            </w:r>
          </w:p>
        </w:tc>
      </w:tr>
    </w:tbl>
    <w:p/>
    <w:tbl>
      <w:tblPr>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B2A41"/>
            <w:vAlign w:val="center"/>
          </w:tcPr>
          <w:p>
            <w:pPr>
              <w:spacing w:after="0" w:before="0"/>
            </w:pPr>
            <w:r>
              <w:rPr>
                <w:b/>
                <w:color w:val="FFFFFF"/>
                <w:sz w:val="17"/>
              </w:rPr>
              <w:t>Question ID</w:t>
            </w:r>
          </w:p>
        </w:tc>
        <w:tc>
          <w:tcPr>
            <w:tcW w:type="dxa" w:w="2570"/>
            <w:shd w:fill="1B2A41"/>
            <w:vAlign w:val="center"/>
          </w:tcPr>
          <w:p>
            <w:pPr>
              <w:spacing w:after="0" w:before="0"/>
            </w:pPr>
            <w:r>
              <w:rPr>
                <w:b/>
                <w:color w:val="FFFFFF"/>
                <w:sz w:val="17"/>
              </w:rPr>
              <w:t>Difficulty</w:t>
            </w:r>
          </w:p>
        </w:tc>
        <w:tc>
          <w:tcPr>
            <w:tcW w:type="dxa" w:w="2570"/>
            <w:shd w:fill="1B2A41"/>
            <w:vAlign w:val="center"/>
          </w:tcPr>
          <w:p>
            <w:pPr>
              <w:spacing w:after="0" w:before="0"/>
            </w:pPr>
            <w:r>
              <w:rPr>
                <w:b/>
                <w:color w:val="FFFFFF"/>
                <w:sz w:val="17"/>
              </w:rPr>
              <w:t>Question Type</w:t>
            </w:r>
          </w:p>
        </w:tc>
        <w:tc>
          <w:tcPr>
            <w:tcW w:type="dxa" w:w="2570"/>
            <w:shd w:fill="1B2A41"/>
            <w:vAlign w:val="center"/>
          </w:tcPr>
          <w:p>
            <w:pPr>
              <w:spacing w:after="0" w:before="0"/>
            </w:pPr>
            <w:r>
              <w:rPr>
                <w:b/>
                <w:color w:val="FFFFFF"/>
                <w:sz w:val="17"/>
              </w:rPr>
              <w:t>Primary Concept</w:t>
            </w:r>
          </w:p>
        </w:tc>
      </w:tr>
      <w:tr>
        <w:trPr>
          <w:cantSplit/>
        </w:trPr>
        <w:tc>
          <w:tcPr>
            <w:tcW w:type="dxa" w:w="2570"/>
            <w:vAlign w:val="center"/>
          </w:tcPr>
          <w:p>
            <w:pPr>
              <w:spacing w:after="0" w:before="0"/>
              <w:keepNext/>
            </w:pPr>
            <w:r>
              <w:rPr>
                <w:sz w:val="17"/>
              </w:rPr>
              <w:t>LCSW-WB10-QB-Q017</w:t>
            </w:r>
          </w:p>
        </w:tc>
        <w:tc>
          <w:tcPr>
            <w:tcW w:type="dxa" w:w="2570"/>
            <w:shd w:fill="F2F4F6"/>
            <w:vAlign w:val="center"/>
          </w:tcPr>
          <w:p>
            <w:pPr>
              <w:spacing w:after="0" w:before="0"/>
              <w:keepNext/>
            </w:pPr>
            <w:r>
              <w:rPr>
                <w:sz w:val="17"/>
              </w:rPr>
              <w:t>Difficult</w:t>
            </w:r>
          </w:p>
        </w:tc>
        <w:tc>
          <w:tcPr>
            <w:tcW w:type="dxa" w:w="2570"/>
            <w:shd w:fill="F2F4F6"/>
            <w:vAlign w:val="center"/>
          </w:tcPr>
          <w:p>
            <w:pPr>
              <w:spacing w:after="0" w:before="0"/>
              <w:keepNext/>
            </w:pPr>
            <w:r>
              <w:rPr>
                <w:sz w:val="17"/>
              </w:rPr>
              <w:t>Integrated Clinical Reasoning</w:t>
            </w:r>
          </w:p>
        </w:tc>
        <w:tc>
          <w:tcPr>
            <w:tcW w:type="dxa" w:w="2570"/>
            <w:vAlign w:val="center"/>
          </w:tcPr>
          <w:p>
            <w:pPr>
              <w:spacing w:after="0" w:before="0"/>
              <w:keepNext/>
            </w:pPr>
            <w:r>
              <w:rPr>
                <w:sz w:val="17"/>
              </w:rPr>
              <w:t>Failed service plan, role mapping, and continuity</w:t>
            </w:r>
          </w:p>
        </w:tc>
      </w:tr>
    </w:tbl>
    <w:p>
      <w:pPr>
        <w:keepNext/>
      </w:pPr>
      <w:r>
        <w:rPr>
          <w:b/>
          <w:color w:val="1B2A41"/>
        </w:rPr>
        <w:t>Question</w:t>
      </w:r>
    </w:p>
    <w:p>
      <w:pPr>
        <w:keepNext/>
        <w:keepLines/>
      </w:pPr>
      <w:r>
        <w:t>A client has completed the same intake with four agencies, remains unhoused, and does not know who is responsible for the housing application. Each provider assumes another agency is following up. What should the social worker do NEXT?</w:t>
      </w:r>
    </w:p>
    <w:p>
      <w:pPr>
        <w:pStyle w:val="Option"/>
        <w:keepLines/>
      </w:pPr>
      <w:r>
        <w:t>A. With the client’s participation and appropriate consent, map roles and barriers, identify one responsible person for each task, create an accessible handoff, and set a specific review date.</w:t>
      </w:r>
    </w:p>
    <w:p>
      <w:pPr>
        <w:pStyle w:val="Option"/>
        <w:keepLines/>
      </w:pPr>
      <w:r>
        <w:t>B. Add a fifth referral so another agency can coordinate the case.</w:t>
      </w:r>
    </w:p>
    <w:p>
      <w:pPr>
        <w:pStyle w:val="Option"/>
        <w:keepLines/>
      </w:pPr>
      <w:r>
        <w:t>C. Ask the client to determine which agency failed.</w:t>
      </w:r>
    </w:p>
    <w:p>
      <w:pPr>
        <w:pStyle w:val="Option"/>
        <w:keepLines/>
      </w:pPr>
      <w:r>
        <w:t>D. Continue psychotherapy while waiting for the agencies to resolve the problem independently.</w:t>
      </w:r>
    </w:p>
    <w:p>
      <w:pPr>
        <w:keepNext/>
      </w:pPr>
      <w:r>
        <w:rPr>
          <w:b/>
          <w:color w:val="2A9D8F"/>
        </w:rPr>
        <w:t>Correct Answer: A</w:t>
      </w:r>
    </w:p>
    <w:p>
      <w:pPr>
        <w:keepNext/>
      </w:pPr>
      <w:r>
        <w:rPr>
          <w:b/>
          <w:color w:val="1B2A41"/>
        </w:rPr>
        <w:t>Rationales</w:t>
      </w:r>
    </w:p>
    <w:p>
      <w:pPr>
        <w:pStyle w:val="Rationale"/>
        <w:keepLines/>
      </w:pPr>
      <w:r>
        <w:t>A. Correct. The response repairs fragmentation through client-centered role clarity, explicit ownership, access, and follow-up.</w:t>
      </w:r>
    </w:p>
    <w:p>
      <w:pPr>
        <w:pStyle w:val="Rationale"/>
        <w:keepLines/>
      </w:pPr>
      <w:r>
        <w:t>B. Incorrect. Another referral without accountability may deepen duplication and confusion.</w:t>
      </w:r>
    </w:p>
    <w:p>
      <w:pPr>
        <w:pStyle w:val="Rationale"/>
        <w:keepLines/>
      </w:pPr>
      <w:r>
        <w:t>C. Incorrect. The client should participate but should not be assigned responsibility for system failures.</w:t>
      </w:r>
    </w:p>
    <w:p>
      <w:pPr>
        <w:pStyle w:val="Rationale"/>
        <w:keepLines/>
      </w:pPr>
      <w:r>
        <w:t>D. Incorrect. Clinical support alone will not correct the unowned housing task.</w:t>
      </w:r>
    </w:p>
    <w:tbl>
      <w:tblPr>
        <w:tblW w:type="auto" w:w="0"/>
        <w:jc w:val="center"/>
        <w:tblLook w:firstColumn="1" w:firstRow="1" w:lastColumn="0" w:lastRow="0" w:noHBand="0" w:noVBand="1" w:val="04A0"/>
      </w:tblPr>
      <w:tblGrid>
        <w:gridCol w:w="10282"/>
      </w:tblGrid>
      <w:tr>
        <w:trPr>
          <w:tblHeader w:val="true"/>
        </w:trPr>
        <w:tc>
          <w:tcPr>
            <w:tcW w:type="dxa" w:w="10282"/>
            <w:shd w:fill="E9F5F3"/>
          </w:tcPr>
          <w:p>
            <w:r>
              <w:rPr>
                <w:b/>
                <w:color w:val="2A9D8F"/>
                <w:sz w:val="20"/>
              </w:rPr>
              <w:t>CTA Exam Strategy</w:t>
              <w:br/>
            </w:r>
            <w:r>
              <w:rPr>
                <w:sz w:val="18"/>
              </w:rPr>
              <w:t>When everyone assumes someone else owns the task, choose explicit responsibility, deadline, and follow-up.</w:t>
            </w:r>
          </w:p>
        </w:tc>
      </w:tr>
    </w:tbl>
    <w:p/>
    <w:p>
      <w:pPr>
        <w:pStyle w:val="Heading1"/>
      </w:pPr>
      <w:r>
        <w:t>Final Quality-Control Summary</w:t>
      </w:r>
    </w:p>
    <w:tbl>
      <w:tblPr>
        <w:tblW w:type="auto" w:w="0"/>
        <w:jc w:val="center"/>
        <w:tblLook w:firstColumn="1" w:firstRow="1" w:lastColumn="0" w:lastRow="0" w:noHBand="0" w:noVBand="1" w:val="04A0"/>
      </w:tblPr>
      <w:tblGrid>
        <w:gridCol w:w="5141"/>
        <w:gridCol w:w="5141"/>
      </w:tblGrid>
      <w:tr>
        <w:trPr>
          <w:cantSplit/>
          <w:tblHeader w:val="true"/>
        </w:trPr>
        <w:tc>
          <w:tcPr>
            <w:tcW w:type="dxa" w:w="5141"/>
            <w:shd w:fill="1B2A41"/>
          </w:tcPr>
          <w:p>
            <w:r>
              <w:rPr>
                <w:b/>
                <w:color w:val="FFFFFF"/>
              </w:rPr>
              <w:t>Control</w:t>
            </w:r>
          </w:p>
        </w:tc>
        <w:tc>
          <w:tcPr>
            <w:tcW w:type="dxa" w:w="5141"/>
            <w:shd w:fill="1B2A41"/>
          </w:tcPr>
          <w:p>
            <w:r>
              <w:rPr>
                <w:b/>
                <w:color w:val="FFFFFF"/>
              </w:rPr>
              <w:t>Result</w:t>
            </w:r>
          </w:p>
        </w:tc>
      </w:tr>
      <w:tr>
        <w:trPr>
          <w:cantSplit/>
        </w:trPr>
        <w:tc>
          <w:tcPr>
            <w:tcW w:type="dxa" w:w="5141"/>
          </w:tcPr>
          <w:p>
            <w:r>
              <w:t>Total item count</w:t>
            </w:r>
          </w:p>
        </w:tc>
        <w:tc>
          <w:tcPr>
            <w:tcW w:type="dxa" w:w="5141"/>
          </w:tcPr>
          <w:p>
            <w:r>
              <w:t>17</w:t>
            </w:r>
          </w:p>
        </w:tc>
      </w:tr>
      <w:tr>
        <w:trPr>
          <w:cantSplit/>
        </w:trPr>
        <w:tc>
          <w:tcPr>
            <w:tcW w:type="dxa" w:w="5141"/>
            <w:shd w:fill="F2F4F6"/>
          </w:tcPr>
          <w:p>
            <w:r>
              <w:t>Difficulty distribution</w:t>
            </w:r>
          </w:p>
        </w:tc>
        <w:tc>
          <w:tcPr>
            <w:tcW w:type="dxa" w:w="5141"/>
            <w:shd w:fill="F2F4F6"/>
          </w:tcPr>
          <w:p>
            <w:r>
              <w:t>5 Easy | 7 Moderate | 5 Difficult</w:t>
            </w:r>
          </w:p>
        </w:tc>
      </w:tr>
      <w:tr>
        <w:trPr>
          <w:cantSplit/>
        </w:trPr>
        <w:tc>
          <w:tcPr>
            <w:tcW w:type="dxa" w:w="5141"/>
          </w:tcPr>
          <w:p>
            <w:r>
              <w:t>Answer balance</w:t>
            </w:r>
          </w:p>
        </w:tc>
        <w:tc>
          <w:tcPr>
            <w:tcW w:type="dxa" w:w="5141"/>
          </w:tcPr>
          <w:p>
            <w:r>
              <w:t>A=5 | B=4 | C=4 | D=4</w:t>
            </w:r>
          </w:p>
        </w:tc>
      </w:tr>
      <w:tr>
        <w:trPr>
          <w:cantSplit/>
        </w:trPr>
        <w:tc>
          <w:tcPr>
            <w:tcW w:type="dxa" w:w="5141"/>
            <w:shd w:fill="F2F4F6"/>
          </w:tcPr>
          <w:p>
            <w:r>
              <w:t>One-best-answer review</w:t>
            </w:r>
          </w:p>
        </w:tc>
        <w:tc>
          <w:tcPr>
            <w:tcW w:type="dxa" w:w="5141"/>
            <w:shd w:fill="F2F4F6"/>
          </w:tcPr>
          <w:p>
            <w:r>
              <w:t>Completed</w:t>
            </w:r>
          </w:p>
        </w:tc>
      </w:tr>
      <w:tr>
        <w:trPr>
          <w:cantSplit/>
        </w:trPr>
        <w:tc>
          <w:tcPr>
            <w:tcW w:type="dxa" w:w="5141"/>
          </w:tcPr>
          <w:p>
            <w:r>
              <w:t>Rationale coverage</w:t>
            </w:r>
          </w:p>
        </w:tc>
        <w:tc>
          <w:tcPr>
            <w:tcW w:type="dxa" w:w="5141"/>
          </w:tcPr>
          <w:p>
            <w:r>
              <w:t>Correct and incorrect options addressed for every item</w:t>
            </w:r>
          </w:p>
        </w:tc>
      </w:tr>
      <w:tr>
        <w:trPr>
          <w:cantSplit/>
        </w:trPr>
        <w:tc>
          <w:tcPr>
            <w:tcW w:type="dxa" w:w="5141"/>
            <w:shd w:fill="F2F4F6"/>
          </w:tcPr>
          <w:p>
            <w:r>
              <w:t>Student-facing format</w:t>
            </w:r>
          </w:p>
        </w:tc>
        <w:tc>
          <w:tcPr>
            <w:tcW w:type="dxa" w:w="5141"/>
            <w:shd w:fill="F2F4F6"/>
          </w:tcPr>
          <w:p>
            <w:r>
              <w:t>Question bank only; no separate 50-question workbook exam</w:t>
            </w:r>
          </w:p>
        </w:tc>
      </w:tr>
    </w:tbl>
    <w:p>
      <w:pPr>
        <w:pStyle w:val="Heading1"/>
      </w:pPr>
      <w:r>
        <w:t>Sources and Currency Note</w:t>
      </w:r>
    </w:p>
    <w:p>
      <w:pPr>
        <w:pStyle w:val="ListBullet"/>
      </w:pPr>
      <w:r>
        <w:t>CTA LCSW Workbook 10: Case Management, Advocacy, Resources, and Collaboration, Version 1.0 (July 2026).</w:t>
      </w:r>
    </w:p>
    <w:p>
      <w:pPr>
        <w:pStyle w:val="ListBullet"/>
      </w:pPr>
      <w:r>
        <w:t>Association of Social Work Boards Clinical examination resources cited in the source workbook.</w:t>
      </w:r>
    </w:p>
    <w:p>
      <w:pPr>
        <w:pStyle w:val="ListBullet"/>
      </w:pPr>
      <w:r>
        <w:t>This resource uses national clinical-examination reasoning. Jurisdiction-specific consent, reporting, confidentiality, scope, benefits, and service-delivery rules must be verified locally.</w:t>
      </w:r>
    </w:p>
    <w:p>
      <w:pPr>
        <w:pStyle w:val="ListBullet"/>
      </w:pPr>
      <w:r>
        <w:t>Case-management, advocacy, resource-navigation, interdisciplinary, school, health, benefits, and community methods are summarized for examination preparation and do not establish specialized practice competence.</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2A41"/>
        <w:sz w:val="16"/>
      </w:rPr>
      <w:t xml:space="preserve">Clinical Training Academy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A9D8F"/>
        <w:sz w:val="16"/>
      </w:rPr>
      <w:t>CTA LCSW Workbook 10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B2A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i/>
      <w:iCs/>
      <w:color w:val="2A9D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
    <w:name w:val="Option"/>
    <w:pPr>
      <w:spacing w:after="40"/>
      <w:ind w:left="259"/>
    </w:pPr>
    <w:rPr>
      <w:rFonts w:ascii="Aptos" w:hAnsi="Aptos"/>
      <w:sz w:val="21"/>
    </w:rPr>
  </w:style>
  <w:style w:type="paragraph" w:customStyle="1" w:styleId="Rationale">
    <w:name w:val="Rationale"/>
    <w:pPr>
      <w:spacing w:after="4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10 17-Question Bank</dc:title>
  <dc:subject>Workbook 10: Case Management, Advocacy, Resources, and Collaboration</dc:subject>
  <dc:creator>Clinical Training Academy</dc:creator>
  <cp:keywords>LCSW, clinical exam, question bank, workbook 10, CTA</cp:keywords>
  <dc:description>Original CTA educational question bank.</dc:description>
  <cp:lastModifiedBy>Clinical Training Academy</cp:lastModifiedBy>
  <cp:revision>1</cp:revision>
  <dcterms:created xsi:type="dcterms:W3CDTF">2013-12-23T23:15:00Z</dcterms:created>
  <dcterms:modified xsi:type="dcterms:W3CDTF">2013-12-23T23:15:00Z</dcterms:modified>
  <cp:category/>
</cp:coreProperties>
</file>