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987552" cy="713848"/>
                    </a:xfrm>
                    <a:prstGeom prst="rect"/>
                  </pic:spPr>
                </pic:pic>
              </a:graphicData>
            </a:graphic>
          </wp:inline>
        </w:drawing>
      </w:r>
    </w:p>
    <w:p>
      <w:pPr>
        <w:jc w:val="center"/>
      </w:pPr>
      <w:r>
        <w:rPr>
          <w:b/>
          <w:color w:val="2A9D8F"/>
          <w:sz w:val="22"/>
        </w:rPr>
        <w:t>LCSW CLINICAL EXAM PREPARATION PROGRAM</w:t>
      </w:r>
    </w:p>
    <w:p>
      <w:pPr>
        <w:pStyle w:val="Title"/>
        <w:jc w:val="center"/>
      </w:pPr>
      <w:r>
        <w:t>LCSW Clinical Question Bank</w:t>
      </w:r>
    </w:p>
    <w:p>
      <w:pPr>
        <w:pStyle w:val="Subtitle"/>
        <w:jc w:val="center"/>
      </w:pPr>
      <w:r>
        <w:t>Workbook 4: Clinical Assessment, Interviewing, and Mental Status</w:t>
      </w:r>
    </w:p>
    <w:p>
      <w:pPr>
        <w:jc w:val="center"/>
      </w:pPr>
      <w:r>
        <w:rPr>
          <w:b/>
          <w:color w:val="1B2A41"/>
          <w:sz w:val="22"/>
        </w:rPr>
        <w:t>17 QUESTIONS WITH COMPLETE RATIONALES AND EXAM STRATEGIES</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Publication and Use Notice</w:t>
              <w:br/>
            </w:r>
            <w:r>
              <w:rPr>
                <w:sz w:val="19"/>
              </w:rPr>
              <w:t>This original Clinical Training Academy resource is designed for licensing-examination preparation and professional education. It is not an official licensing examination, is not affiliated with or endorsed by a licensing or testing organization, and does not replace current law, professional standards, supervision, consultation, or case-specific guidance.</w:t>
            </w:r>
          </w:p>
        </w:tc>
      </w:tr>
    </w:tbl>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Question Bank Structure</w:t>
              <w:br/>
            </w:r>
            <w:r>
              <w:rPr>
                <w:sz w:val="19"/>
              </w:rPr>
              <w:t>This workbook question bank contains 17 questions: 5 Easy, 7 Moderate, and 5 Difficult. Question type and difficulty are separate classifications. Every item includes one best answer, complete option-by-option rationales, and a CTA exam strategy.</w:t>
            </w:r>
          </w:p>
        </w:tc>
      </w:tr>
    </w:tbl>
    <w:p/>
    <w:p>
      <w:pPr>
        <w:pStyle w:val="Heading1"/>
      </w:pPr>
      <w:r>
        <w:t>Question Bank Blueprint</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Control</w:t>
            </w:r>
          </w:p>
        </w:tc>
        <w:tc>
          <w:tcPr>
            <w:tcW w:type="dxa" w:w="6984"/>
            <w:shd w:fill="DCEDEA"/>
            <w:tcMar>
              <w:top w:w="90" w:type="dxa"/>
              <w:start w:w="100" w:type="dxa"/>
              <w:bottom w:w="90" w:type="dxa"/>
              <w:end w:w="100" w:type="dxa"/>
            </w:tcMar>
            <w:vAlign w:val="center"/>
          </w:tcPr>
          <w:p>
            <w:pPr>
              <w:jc w:val="center"/>
            </w:pPr>
            <w:r>
              <w:rPr>
                <w:b/>
                <w:color w:val="1B2A41"/>
                <w:sz w:val="17"/>
              </w:rPr>
              <w:t>Final Design</w:t>
            </w:r>
          </w:p>
        </w:tc>
      </w:tr>
      <w:tr>
        <w:trPr>
          <w:cantSplit w:val="true"/>
        </w:trPr>
        <w:tc>
          <w:tcPr>
            <w:tcW w:type="dxa" w:w="3240"/>
            <w:tcMar>
              <w:top w:w="90" w:type="dxa"/>
              <w:start w:w="100" w:type="dxa"/>
              <w:bottom w:w="90" w:type="dxa"/>
              <w:end w:w="100" w:type="dxa"/>
            </w:tcMar>
            <w:vAlign w:val="top"/>
          </w:tcPr>
          <w:p>
            <w:r>
              <w:rPr>
                <w:sz w:val="17"/>
              </w:rPr>
              <w:t>Total questions</w:t>
            </w:r>
          </w:p>
        </w:tc>
        <w:tc>
          <w:tcPr>
            <w:tcW w:type="dxa" w:w="6984"/>
            <w:tcMar>
              <w:top w:w="90" w:type="dxa"/>
              <w:start w:w="100" w:type="dxa"/>
              <w:bottom w:w="90" w:type="dxa"/>
              <w:end w:w="100" w:type="dxa"/>
            </w:tcMar>
            <w:vAlign w:val="top"/>
          </w:tcPr>
          <w:p>
            <w:r>
              <w:rPr>
                <w:sz w:val="17"/>
              </w:rPr>
              <w:t>17</w:t>
            </w:r>
          </w:p>
        </w:tc>
      </w:tr>
      <w:tr>
        <w:trPr>
          <w:cantSplit w:val="true"/>
        </w:trPr>
        <w:tc>
          <w:tcPr>
            <w:tcW w:type="dxa" w:w="3240"/>
            <w:tcMar>
              <w:top w:w="90" w:type="dxa"/>
              <w:start w:w="100" w:type="dxa"/>
              <w:bottom w:w="90" w:type="dxa"/>
              <w:end w:w="100" w:type="dxa"/>
            </w:tcMar>
            <w:vAlign w:val="top"/>
          </w:tcPr>
          <w:p>
            <w:r>
              <w:rPr>
                <w:sz w:val="17"/>
              </w:rPr>
              <w:t>Difficulty distribution</w:t>
            </w:r>
          </w:p>
        </w:tc>
        <w:tc>
          <w:tcPr>
            <w:tcW w:type="dxa" w:w="6984"/>
            <w:tcMar>
              <w:top w:w="90" w:type="dxa"/>
              <w:start w:w="100" w:type="dxa"/>
              <w:bottom w:w="90" w:type="dxa"/>
              <w:end w:w="100" w:type="dxa"/>
            </w:tcMar>
            <w:vAlign w:val="top"/>
          </w:tcPr>
          <w:p>
            <w:r>
              <w:rPr>
                <w:sz w:val="17"/>
              </w:rPr>
              <w:t>Easy: 5 | Moderate: 7 | Difficult: 5</w:t>
            </w:r>
          </w:p>
        </w:tc>
      </w:tr>
      <w:tr>
        <w:trPr>
          <w:cantSplit w:val="true"/>
        </w:trPr>
        <w:tc>
          <w:tcPr>
            <w:tcW w:type="dxa" w:w="3240"/>
            <w:tcMar>
              <w:top w:w="90" w:type="dxa"/>
              <w:start w:w="100" w:type="dxa"/>
              <w:bottom w:w="90" w:type="dxa"/>
              <w:end w:w="100" w:type="dxa"/>
            </w:tcMar>
            <w:vAlign w:val="top"/>
          </w:tcPr>
          <w:p>
            <w:r>
              <w:rPr>
                <w:sz w:val="17"/>
              </w:rPr>
              <w:t>Question-type distribution</w:t>
            </w:r>
          </w:p>
        </w:tc>
        <w:tc>
          <w:tcPr>
            <w:tcW w:type="dxa" w:w="6984"/>
            <w:tcMar>
              <w:top w:w="90" w:type="dxa"/>
              <w:start w:w="100" w:type="dxa"/>
              <w:bottom w:w="90" w:type="dxa"/>
              <w:end w:w="100" w:type="dxa"/>
            </w:tcMar>
            <w:vAlign w:val="top"/>
          </w:tcPr>
          <w:p>
            <w:r>
              <w:rPr>
                <w:sz w:val="17"/>
              </w:rPr>
              <w:t>Application: 5 | Integrated Clinical Reasoning: 3 | Knowledge &amp; Recall: 4 | Scenario-Based: 5</w:t>
            </w:r>
          </w:p>
        </w:tc>
      </w:tr>
      <w:tr>
        <w:trPr>
          <w:cantSplit w:val="true"/>
        </w:trPr>
        <w:tc>
          <w:tcPr>
            <w:tcW w:type="dxa" w:w="3240"/>
            <w:tcMar>
              <w:top w:w="90" w:type="dxa"/>
              <w:start w:w="100" w:type="dxa"/>
              <w:bottom w:w="90" w:type="dxa"/>
              <w:end w:w="100" w:type="dxa"/>
            </w:tcMar>
            <w:vAlign w:val="top"/>
          </w:tcPr>
          <w:p>
            <w:r>
              <w:rPr>
                <w:sz w:val="17"/>
              </w:rPr>
              <w:t>Answer distribution</w:t>
            </w:r>
          </w:p>
        </w:tc>
        <w:tc>
          <w:tcPr>
            <w:tcW w:type="dxa" w:w="6984"/>
            <w:tcMar>
              <w:top w:w="90" w:type="dxa"/>
              <w:start w:w="100" w:type="dxa"/>
              <w:bottom w:w="90" w:type="dxa"/>
              <w:end w:w="100" w:type="dxa"/>
            </w:tcMar>
            <w:vAlign w:val="top"/>
          </w:tcPr>
          <w:p>
            <w:r>
              <w:rPr>
                <w:sz w:val="17"/>
              </w:rPr>
              <w:t>A: 5 | B: 4 | C: 4 | D: 4</w:t>
            </w:r>
          </w:p>
        </w:tc>
      </w:tr>
      <w:tr>
        <w:trPr>
          <w:cantSplit w:val="true"/>
        </w:trPr>
        <w:tc>
          <w:tcPr>
            <w:tcW w:type="dxa" w:w="3240"/>
            <w:tcMar>
              <w:top w:w="90" w:type="dxa"/>
              <w:start w:w="100" w:type="dxa"/>
              <w:bottom w:w="90" w:type="dxa"/>
              <w:end w:w="100" w:type="dxa"/>
            </w:tcMar>
            <w:vAlign w:val="top"/>
          </w:tcPr>
          <w:p>
            <w:r>
              <w:rPr>
                <w:sz w:val="17"/>
              </w:rPr>
              <w:t>Option format</w:t>
            </w:r>
          </w:p>
        </w:tc>
        <w:tc>
          <w:tcPr>
            <w:tcW w:type="dxa" w:w="6984"/>
            <w:tcMar>
              <w:top w:w="90" w:type="dxa"/>
              <w:start w:w="100" w:type="dxa"/>
              <w:bottom w:w="90" w:type="dxa"/>
              <w:end w:w="100" w:type="dxa"/>
            </w:tcMar>
            <w:vAlign w:val="top"/>
          </w:tcPr>
          <w:p>
            <w:r>
              <w:rPr>
                <w:sz w:val="17"/>
              </w:rPr>
              <w:t>10 three-option questions | 7 four-option questions</w:t>
            </w:r>
          </w:p>
        </w:tc>
      </w:tr>
      <w:tr>
        <w:trPr>
          <w:cantSplit w:val="true"/>
        </w:trPr>
        <w:tc>
          <w:tcPr>
            <w:tcW w:type="dxa" w:w="3240"/>
            <w:tcMar>
              <w:top w:w="90" w:type="dxa"/>
              <w:start w:w="100" w:type="dxa"/>
              <w:bottom w:w="90" w:type="dxa"/>
              <w:end w:w="100" w:type="dxa"/>
            </w:tcMar>
            <w:vAlign w:val="top"/>
          </w:tcPr>
          <w:p>
            <w:r>
              <w:rPr>
                <w:sz w:val="17"/>
              </w:rPr>
              <w:t>Production scope</w:t>
            </w:r>
          </w:p>
        </w:tc>
        <w:tc>
          <w:tcPr>
            <w:tcW w:type="dxa" w:w="6984"/>
            <w:tcMar>
              <w:top w:w="90" w:type="dxa"/>
              <w:start w:w="100" w:type="dxa"/>
              <w:bottom w:w="90" w:type="dxa"/>
              <w:end w:w="100" w:type="dxa"/>
            </w:tcMar>
            <w:vAlign w:val="top"/>
          </w:tcPr>
          <w:p>
            <w:r>
              <w:rPr>
                <w:sz w:val="17"/>
              </w:rPr>
              <w:t>Exactly 17 workbook-aligned questions; no additional student-facing workbook exam created</w:t>
            </w:r>
          </w:p>
        </w:tc>
      </w:tr>
    </w:tbl>
    <w:p>
      <w:pPr>
        <w:pStyle w:val="Heading1"/>
      </w:pPr>
      <w:r>
        <w:t>How to Use This Question Bank</w:t>
      </w:r>
    </w:p>
    <w:p>
      <w:pPr>
        <w:pStyle w:val="ListBullet"/>
      </w:pPr>
      <w:r>
        <w:t>Work through one difficulty section at a time or complete all 17 questions as a mixed review.</w:t>
      </w:r>
    </w:p>
    <w:p>
      <w:pPr>
        <w:pStyle w:val="ListBullet"/>
      </w:pPr>
      <w:r>
        <w:t>Cover the answer and rationale area before choosing your response.</w:t>
      </w:r>
    </w:p>
    <w:p>
      <w:pPr>
        <w:pStyle w:val="ListBullet"/>
      </w:pPr>
      <w:r>
        <w:t>After answering, study why the keyed option fits the exact qualifier, timing, role, and facts.</w:t>
      </w:r>
    </w:p>
    <w:p>
      <w:pPr>
        <w:pStyle w:val="ListBullet"/>
      </w:pPr>
      <w:r>
        <w:t>Record both incorrect answers and low-confidence correct answers in your study notes.</w:t>
      </w:r>
    </w:p>
    <w:p>
      <w:r>
        <w:br w:type="page"/>
      </w:r>
    </w:p>
    <w:p>
      <w:pPr>
        <w:pStyle w:val="Heading1"/>
      </w:pPr>
      <w:r>
        <w:t>Easy Questions</w:t>
      </w:r>
    </w:p>
    <w:p>
      <w:r>
        <w:rPr>
          <w:i/>
          <w:color w:val="696969"/>
        </w:rPr>
        <w:t>5 questions | Foundational distinctions and direct applications.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LCSW-WB04-QB-Q001</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Information-source distinctions</w:t>
            </w:r>
          </w:p>
        </w:tc>
      </w:tr>
    </w:tbl>
    <w:p>
      <w:pPr>
        <w:keepNext/>
      </w:pPr>
      <w:r>
        <w:rPr>
          <w:b/>
          <w:color w:val="1B2A41"/>
          <w:sz w:val="22"/>
        </w:rPr>
        <w:t>Question</w:t>
      </w:r>
    </w:p>
    <w:p>
      <w:pPr>
        <w:keepNext/>
      </w:pPr>
      <w:r>
        <w:rPr>
          <w:b/>
        </w:rPr>
        <w:t>During an interview, a client says, 'I have been sleeping three hours a night.' The social worker notes that the client repeatedly yawns and loses track of questions. Which statement BEST classifies these data?</w:t>
      </w:r>
    </w:p>
    <w:p>
      <w:pPr>
        <w:pStyle w:val="Option"/>
        <w:keepNext/>
      </w:pPr>
      <w:r>
        <w:rPr>
          <w:b/>
        </w:rPr>
        <w:t xml:space="preserve">A. </w:t>
      </w:r>
      <w:r>
        <w:t>Both findings are collateral information.</w:t>
      </w:r>
    </w:p>
    <w:p>
      <w:pPr>
        <w:pStyle w:val="Option"/>
        <w:keepNext/>
      </w:pPr>
      <w:r>
        <w:rPr>
          <w:b/>
        </w:rPr>
        <w:t xml:space="preserve">B. </w:t>
      </w:r>
      <w:r>
        <w:t>The sleep duration is client self-report, while yawning and losing track are direct clinical observations.</w:t>
      </w:r>
    </w:p>
    <w:p>
      <w:pPr>
        <w:pStyle w:val="Option"/>
        <w:keepNext/>
      </w:pPr>
      <w:r>
        <w:rPr>
          <w:b/>
        </w:rPr>
        <w:t xml:space="preserve">C. </w:t>
      </w:r>
      <w:r>
        <w:t>Both findings are diagnostic conclusions.</w:t>
      </w:r>
    </w:p>
    <w:p>
      <w:r>
        <w:rPr>
          <w:b/>
          <w:color w:val="237852"/>
        </w:rPr>
        <w:t>Correct Answer: B</w:t>
      </w:r>
    </w:p>
    <w:p>
      <w:pPr>
        <w:keepNext/>
      </w:pPr>
      <w:r>
        <w:rPr>
          <w:b/>
          <w:color w:val="1B2A41"/>
          <w:sz w:val="22"/>
        </w:rPr>
        <w:t>Rationales</w:t>
      </w:r>
    </w:p>
    <w:p>
      <w:pPr>
        <w:pStyle w:val="Rationale"/>
      </w:pPr>
      <w:r>
        <w:rPr>
          <w:b/>
          <w:color w:val="A02D2D"/>
        </w:rPr>
        <w:t xml:space="preserve">A. </w:t>
      </w:r>
      <w:r>
        <w:t>Incorrect. Collateral information comes from outside sources such as family, records, or other providers.</w:t>
      </w:r>
    </w:p>
    <w:p>
      <w:pPr>
        <w:pStyle w:val="Rationale"/>
      </w:pPr>
      <w:r>
        <w:rPr>
          <w:b/>
          <w:color w:val="237852"/>
        </w:rPr>
        <w:t xml:space="preserve">B. </w:t>
      </w:r>
      <w:r>
        <w:t>Correct. Assessment should distinguish the source of information rather than treating all data as equally objective.</w:t>
      </w:r>
    </w:p>
    <w:p>
      <w:pPr>
        <w:pStyle w:val="Rationale"/>
      </w:pPr>
      <w:r>
        <w:rPr>
          <w:b/>
          <w:color w:val="A02D2D"/>
        </w:rPr>
        <w:t xml:space="preserve">C. </w:t>
      </w:r>
      <w:r>
        <w:t>Incorrect. They are assessment data, not diagnoses.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Track where each fact came from before deciding how much weight to give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LCSW-WB04-QB-Q002</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Mood versus affect</w:t>
            </w:r>
          </w:p>
        </w:tc>
      </w:tr>
    </w:tbl>
    <w:p>
      <w:pPr>
        <w:keepNext/>
      </w:pPr>
      <w:r>
        <w:rPr>
          <w:b/>
          <w:color w:val="1B2A41"/>
          <w:sz w:val="22"/>
        </w:rPr>
        <w:t>Question</w:t>
      </w:r>
    </w:p>
    <w:p>
      <w:pPr>
        <w:keepNext/>
      </w:pPr>
      <w:r>
        <w:rPr>
          <w:b/>
        </w:rPr>
        <w:t>In a mental status examination, which statement BEST distinguishes mood from affect?</w:t>
      </w:r>
    </w:p>
    <w:p>
      <w:pPr>
        <w:pStyle w:val="Option"/>
        <w:keepNext/>
      </w:pPr>
      <w:r>
        <w:rPr>
          <w:b/>
        </w:rPr>
        <w:t xml:space="preserve">A. </w:t>
      </w:r>
      <w:r>
        <w:t>Mood is the client's reported sustained emotional state; affect is the emotional expression observed by the social worker.</w:t>
      </w:r>
    </w:p>
    <w:p>
      <w:pPr>
        <w:pStyle w:val="Option"/>
        <w:keepNext/>
      </w:pPr>
      <w:r>
        <w:rPr>
          <w:b/>
        </w:rPr>
        <w:t xml:space="preserve">B. </w:t>
      </w:r>
      <w:r>
        <w:t>Mood is observed behavior, while affect is the client's diagnosis.</w:t>
      </w:r>
    </w:p>
    <w:p>
      <w:pPr>
        <w:pStyle w:val="Option"/>
        <w:keepNext/>
      </w:pPr>
      <w:r>
        <w:rPr>
          <w:b/>
        </w:rPr>
        <w:t xml:space="preserve">C. </w:t>
      </w:r>
      <w:r>
        <w:t>Mood and affect are interchangeable whenever they are congruent.</w:t>
      </w:r>
    </w:p>
    <w:p>
      <w:r>
        <w:rPr>
          <w:b/>
          <w:color w:val="237852"/>
        </w:rPr>
        <w:t>Correct Answer: A</w:t>
      </w:r>
    </w:p>
    <w:p>
      <w:pPr>
        <w:keepNext/>
      </w:pPr>
      <w:r>
        <w:rPr>
          <w:b/>
          <w:color w:val="1B2A41"/>
          <w:sz w:val="22"/>
        </w:rPr>
        <w:t>Rationales</w:t>
      </w:r>
    </w:p>
    <w:p>
      <w:pPr>
        <w:pStyle w:val="Rationale"/>
      </w:pPr>
      <w:r>
        <w:rPr>
          <w:b/>
          <w:color w:val="237852"/>
        </w:rPr>
        <w:t xml:space="preserve">A. </w:t>
      </w:r>
      <w:r>
        <w:t>Correct. The MSE separates what the client reports from what the clinician observes.</w:t>
      </w:r>
    </w:p>
    <w:p>
      <w:pPr>
        <w:pStyle w:val="Rationale"/>
      </w:pPr>
      <w:r>
        <w:rPr>
          <w:b/>
          <w:color w:val="A02D2D"/>
        </w:rPr>
        <w:t xml:space="preserve">B. </w:t>
      </w:r>
      <w:r>
        <w:t>Incorrect. Affect is observed expression, and neither term is itself a diagnosis.</w:t>
      </w:r>
    </w:p>
    <w:p>
      <w:pPr>
        <w:pStyle w:val="Rationale"/>
      </w:pPr>
      <w:r>
        <w:rPr>
          <w:b/>
          <w:color w:val="A02D2D"/>
        </w:rPr>
        <w:t xml:space="preserve">C. </w:t>
      </w:r>
      <w:r>
        <w:t>Incorrect. They remain distinct domains even when they match.</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Remember: mood is reported; affect is observed.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LCSW-WB04-QB-Q003</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Thought process versus content</w:t>
            </w:r>
          </w:p>
        </w:tc>
      </w:tr>
    </w:tbl>
    <w:p>
      <w:pPr>
        <w:keepNext/>
      </w:pPr>
      <w:r>
        <w:rPr>
          <w:b/>
          <w:color w:val="1B2A41"/>
          <w:sz w:val="22"/>
        </w:rPr>
        <w:t>Question</w:t>
      </w:r>
    </w:p>
    <w:p>
      <w:pPr>
        <w:keepNext/>
      </w:pPr>
      <w:r>
        <w:rPr>
          <w:b/>
        </w:rPr>
        <w:t>Which finding is an example of THOUGHT PROCESS rather than thought content?</w:t>
      </w:r>
    </w:p>
    <w:p>
      <w:pPr>
        <w:pStyle w:val="Option"/>
        <w:keepNext/>
      </w:pPr>
      <w:r>
        <w:rPr>
          <w:b/>
        </w:rPr>
        <w:t xml:space="preserve">A. </w:t>
      </w:r>
      <w:r>
        <w:t>The client believes neighbors are monitoring the apartment.</w:t>
      </w:r>
    </w:p>
    <w:p>
      <w:pPr>
        <w:pStyle w:val="Option"/>
        <w:keepNext/>
      </w:pPr>
      <w:r>
        <w:rPr>
          <w:b/>
        </w:rPr>
        <w:t xml:space="preserve">B. </w:t>
      </w:r>
      <w:r>
        <w:t>The client reports persistent guilt about a past event.</w:t>
      </w:r>
    </w:p>
    <w:p>
      <w:pPr>
        <w:pStyle w:val="Option"/>
        <w:keepNext/>
      </w:pPr>
      <w:r>
        <w:rPr>
          <w:b/>
        </w:rPr>
        <w:t xml:space="preserve">C. </w:t>
      </w:r>
      <w:r>
        <w:t>The client's ideas shift rapidly from one loosely connected topic to another.</w:t>
      </w:r>
    </w:p>
    <w:p>
      <w:pPr>
        <w:pStyle w:val="Option"/>
        <w:keepNext/>
      </w:pPr>
      <w:r>
        <w:rPr>
          <w:b/>
        </w:rPr>
        <w:t xml:space="preserve">D. </w:t>
      </w:r>
      <w:r>
        <w:t>The client hears a voice commenting on behavior.</w:t>
      </w:r>
    </w:p>
    <w:p>
      <w:r>
        <w:rPr>
          <w:b/>
          <w:color w:val="237852"/>
        </w:rPr>
        <w:t>Correct Answer: C</w:t>
      </w:r>
    </w:p>
    <w:p>
      <w:pPr>
        <w:keepNext/>
      </w:pPr>
      <w:r>
        <w:rPr>
          <w:b/>
          <w:color w:val="1B2A41"/>
          <w:sz w:val="22"/>
        </w:rPr>
        <w:t>Rationales</w:t>
      </w:r>
    </w:p>
    <w:p>
      <w:pPr>
        <w:pStyle w:val="Rationale"/>
      </w:pPr>
      <w:r>
        <w:rPr>
          <w:b/>
          <w:color w:val="A02D2D"/>
        </w:rPr>
        <w:t xml:space="preserve">A. </w:t>
      </w:r>
      <w:r>
        <w:t>Incorrect. This is thought content.</w:t>
      </w:r>
    </w:p>
    <w:p>
      <w:pPr>
        <w:pStyle w:val="Rationale"/>
      </w:pPr>
      <w:r>
        <w:rPr>
          <w:b/>
          <w:color w:val="A02D2D"/>
        </w:rPr>
        <w:t xml:space="preserve">B. </w:t>
      </w:r>
      <w:r>
        <w:t>Incorrect. This is thought content.</w:t>
      </w:r>
    </w:p>
    <w:p>
      <w:pPr>
        <w:pStyle w:val="Rationale"/>
      </w:pPr>
      <w:r>
        <w:rPr>
          <w:b/>
          <w:color w:val="237852"/>
        </w:rPr>
        <w:t xml:space="preserve">C. </w:t>
      </w:r>
      <w:r>
        <w:t>Correct. Thought process describes organization and flow; thought content describes themes, beliefs, or preoccupations.</w:t>
      </w:r>
    </w:p>
    <w:p>
      <w:pPr>
        <w:pStyle w:val="Rationale"/>
      </w:pPr>
      <w:r>
        <w:rPr>
          <w:b/>
          <w:color w:val="A02D2D"/>
        </w:rPr>
        <w:t xml:space="preserve">D. </w:t>
      </w:r>
      <w:r>
        <w:t>Incorrect. This is a perceptual finding.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whether the item describes how ideas are organized or what the client believes and experiences.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LCSW-WB04-QB-Q004</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Validation in assessment</w:t>
            </w:r>
          </w:p>
        </w:tc>
      </w:tr>
    </w:tbl>
    <w:p>
      <w:pPr>
        <w:keepNext/>
      </w:pPr>
      <w:r>
        <w:rPr>
          <w:b/>
          <w:color w:val="1B2A41"/>
          <w:sz w:val="22"/>
        </w:rPr>
        <w:t>Question</w:t>
      </w:r>
    </w:p>
    <w:p>
      <w:pPr>
        <w:keepNext/>
      </w:pPr>
      <w:r>
        <w:rPr>
          <w:b/>
        </w:rPr>
        <w:t>A client says, 'No one takes me seriously,' and begins crying. Which response BEST demonstrates validation during assessment?</w:t>
      </w:r>
    </w:p>
    <w:p>
      <w:pPr>
        <w:pStyle w:val="Option"/>
        <w:keepNext/>
      </w:pPr>
      <w:r>
        <w:rPr>
          <w:b/>
        </w:rPr>
        <w:t xml:space="preserve">A. </w:t>
      </w:r>
      <w:r>
        <w:t>'You are right; everyone around you has treated you unfairly.'</w:t>
      </w:r>
    </w:p>
    <w:p>
      <w:pPr>
        <w:pStyle w:val="Option"/>
        <w:keepNext/>
      </w:pPr>
      <w:r>
        <w:rPr>
          <w:b/>
        </w:rPr>
        <w:t xml:space="preserve">B. </w:t>
      </w:r>
      <w:r>
        <w:t>'You need to calm down before we can continue.'</w:t>
      </w:r>
    </w:p>
    <w:p>
      <w:pPr>
        <w:pStyle w:val="Option"/>
        <w:keepNext/>
      </w:pPr>
      <w:r>
        <w:rPr>
          <w:b/>
        </w:rPr>
        <w:t xml:space="preserve">C. </w:t>
      </w:r>
      <w:r>
        <w:t>'Let us avoid feelings and finish the history questions.'</w:t>
      </w:r>
    </w:p>
    <w:p>
      <w:pPr>
        <w:pStyle w:val="Option"/>
        <w:keepNext/>
      </w:pPr>
      <w:r>
        <w:rPr>
          <w:b/>
        </w:rPr>
        <w:t xml:space="preserve">D. </w:t>
      </w:r>
      <w:r>
        <w:t>'Given what you have experienced, it makes sense that you feel dismissed. I want to understand more about what has been happening.'</w:t>
      </w:r>
    </w:p>
    <w:p>
      <w:r>
        <w:rPr>
          <w:b/>
          <w:color w:val="237852"/>
        </w:rPr>
        <w:t>Correct Answer: D</w:t>
      </w:r>
    </w:p>
    <w:p>
      <w:pPr>
        <w:keepNext/>
      </w:pPr>
      <w:r>
        <w:rPr>
          <w:b/>
          <w:color w:val="1B2A41"/>
          <w:sz w:val="22"/>
        </w:rPr>
        <w:t>Rationales</w:t>
      </w:r>
    </w:p>
    <w:p>
      <w:pPr>
        <w:pStyle w:val="Rationale"/>
      </w:pPr>
      <w:r>
        <w:rPr>
          <w:b/>
          <w:color w:val="A02D2D"/>
        </w:rPr>
        <w:t xml:space="preserve">A. </w:t>
      </w:r>
      <w:r>
        <w:t>Incorrect. This endorses a broad factual conclusion that has not been assessed.</w:t>
      </w:r>
    </w:p>
    <w:p>
      <w:pPr>
        <w:pStyle w:val="Rationale"/>
      </w:pPr>
      <w:r>
        <w:rPr>
          <w:b/>
          <w:color w:val="A02D2D"/>
        </w:rPr>
        <w:t xml:space="preserve">B. </w:t>
      </w:r>
      <w:r>
        <w:t>Incorrect. This may feel dismissive and does not acknowledge the experience.</w:t>
      </w:r>
    </w:p>
    <w:p>
      <w:pPr>
        <w:pStyle w:val="Rationale"/>
      </w:pPr>
      <w:r>
        <w:rPr>
          <w:b/>
          <w:color w:val="A02D2D"/>
        </w:rPr>
        <w:t xml:space="preserve">C. </w:t>
      </w:r>
      <w:r>
        <w:t>Incorrect. This bypasses the client's immediate experience and may weaken engagement.</w:t>
      </w:r>
    </w:p>
    <w:p>
      <w:pPr>
        <w:pStyle w:val="Rationale"/>
      </w:pPr>
      <w:r>
        <w:rPr>
          <w:b/>
          <w:color w:val="237852"/>
        </w:rPr>
        <w:t xml:space="preserve">D. </w:t>
      </w:r>
      <w:r>
        <w:t>Correct. The response acknowledges the emotional experience and invites exploration without automatically endorsing every conclusion.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Validate the experience without automatically validating every conclusion.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LCSW-WB04-QB-Q005</w:t>
            </w:r>
          </w:p>
        </w:tc>
        <w:tc>
          <w:tcPr>
            <w:tcW w:type="dxa" w:w="1728"/>
            <w:tcMar>
              <w:top w:w="90" w:type="dxa"/>
              <w:start w:w="100" w:type="dxa"/>
              <w:bottom w:w="90" w:type="dxa"/>
              <w:end w:w="100" w:type="dxa"/>
            </w:tcMar>
            <w:vAlign w:val="top"/>
          </w:tcPr>
          <w:p>
            <w:pPr>
              <w:keepNext/>
              <w:jc w:val="center"/>
            </w:pPr>
            <w:r>
              <w:rPr>
                <w:b/>
                <w:color w:val="1B2A41"/>
                <w:sz w:val="16"/>
              </w:rPr>
              <w:t>Easy</w:t>
            </w:r>
          </w:p>
        </w:tc>
        <w:tc>
          <w:tcPr>
            <w:tcW w:type="dxa" w:w="2520"/>
            <w:tcMar>
              <w:top w:w="90" w:type="dxa"/>
              <w:start w:w="100" w:type="dxa"/>
              <w:bottom w:w="90" w:type="dxa"/>
              <w:end w:w="100" w:type="dxa"/>
            </w:tcMar>
            <w:vAlign w:val="top"/>
          </w:tcPr>
          <w:p>
            <w:pPr>
              <w:keepNext/>
              <w:jc w:val="center"/>
            </w:pPr>
            <w:r>
              <w:rPr>
                <w:b/>
                <w:color w:val="1B2A41"/>
                <w:sz w:val="16"/>
              </w:rPr>
              <w:t>Knowledge &amp; Recall</w:t>
            </w:r>
          </w:p>
        </w:tc>
        <w:tc>
          <w:tcPr>
            <w:tcW w:type="dxa" w:w="3672"/>
            <w:tcMar>
              <w:top w:w="90" w:type="dxa"/>
              <w:start w:w="100" w:type="dxa"/>
              <w:bottom w:w="90" w:type="dxa"/>
              <w:end w:w="100" w:type="dxa"/>
            </w:tcMar>
            <w:vAlign w:val="top"/>
          </w:tcPr>
          <w:p>
            <w:pPr>
              <w:keepNext/>
              <w:jc w:val="center"/>
            </w:pPr>
            <w:r>
              <w:rPr>
                <w:b/>
                <w:color w:val="1B2A41"/>
                <w:sz w:val="16"/>
              </w:rPr>
              <w:t>Change from baseline</w:t>
            </w:r>
          </w:p>
        </w:tc>
      </w:tr>
    </w:tbl>
    <w:p>
      <w:pPr>
        <w:keepNext/>
      </w:pPr>
      <w:r>
        <w:rPr>
          <w:b/>
          <w:color w:val="1B2A41"/>
          <w:sz w:val="22"/>
        </w:rPr>
        <w:t>Question</w:t>
      </w:r>
    </w:p>
    <w:p>
      <w:pPr>
        <w:keepNext/>
      </w:pPr>
      <w:r>
        <w:rPr>
          <w:b/>
        </w:rPr>
        <w:t>Why is a change from the client's usual baseline especially important in mental-status assessment?</w:t>
      </w:r>
    </w:p>
    <w:p>
      <w:pPr>
        <w:pStyle w:val="Option"/>
        <w:keepNext/>
      </w:pPr>
      <w:r>
        <w:rPr>
          <w:b/>
        </w:rPr>
        <w:t xml:space="preserve">A. </w:t>
      </w:r>
      <w:r>
        <w:t>A new or fluctuating change may signal an acute medical, neurological, medication, substance-related, environmental, or psychiatric problem requiring further assessment.</w:t>
      </w:r>
    </w:p>
    <w:p>
      <w:pPr>
        <w:pStyle w:val="Option"/>
        <w:keepNext/>
      </w:pPr>
      <w:r>
        <w:rPr>
          <w:b/>
        </w:rPr>
        <w:t xml:space="preserve">B. </w:t>
      </w:r>
      <w:r>
        <w:t>A baseline change proves that the client lacks decision-making ability.</w:t>
      </w:r>
    </w:p>
    <w:p>
      <w:pPr>
        <w:pStyle w:val="Option"/>
        <w:keepNext/>
      </w:pPr>
      <w:r>
        <w:rPr>
          <w:b/>
        </w:rPr>
        <w:t xml:space="preserve">C. </w:t>
      </w:r>
      <w:r>
        <w:t>Baseline matters only when a family member reports it.</w:t>
      </w:r>
    </w:p>
    <w:p>
      <w:r>
        <w:rPr>
          <w:b/>
          <w:color w:val="237852"/>
        </w:rPr>
        <w:t>Correct Answer: A</w:t>
      </w:r>
    </w:p>
    <w:p>
      <w:pPr>
        <w:keepNext/>
      </w:pPr>
      <w:r>
        <w:rPr>
          <w:b/>
          <w:color w:val="1B2A41"/>
          <w:sz w:val="22"/>
        </w:rPr>
        <w:t>Rationales</w:t>
      </w:r>
    </w:p>
    <w:p>
      <w:pPr>
        <w:pStyle w:val="Rationale"/>
      </w:pPr>
      <w:r>
        <w:rPr>
          <w:b/>
          <w:color w:val="237852"/>
        </w:rPr>
        <w:t xml:space="preserve">A. </w:t>
      </w:r>
      <w:r>
        <w:t>Correct. Baseline comparison helps distinguish longstanding patterns from potentially urgent change.</w:t>
      </w:r>
    </w:p>
    <w:p>
      <w:pPr>
        <w:pStyle w:val="Rationale"/>
      </w:pPr>
      <w:r>
        <w:rPr>
          <w:b/>
          <w:color w:val="A02D2D"/>
        </w:rPr>
        <w:t xml:space="preserve">B. </w:t>
      </w:r>
      <w:r>
        <w:t>Incorrect. Capacity requires a decision-specific assessment.</w:t>
      </w:r>
    </w:p>
    <w:p>
      <w:pPr>
        <w:pStyle w:val="Rationale"/>
      </w:pPr>
      <w:r>
        <w:rPr>
          <w:b/>
          <w:color w:val="A02D2D"/>
        </w:rPr>
        <w:t xml:space="preserve">C. </w:t>
      </w:r>
      <w:r>
        <w:t>Incorrect. The client, records, observation, and appropriate collateral sources may all inform baseline.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Newness and fluctuation often determine whether medical or urgent assessment comes before routine formulation.</w:t>
            </w:r>
          </w:p>
        </w:tc>
      </w:tr>
    </w:tbl>
    <w:p/>
    <w:p>
      <w:r>
        <w:br w:type="page"/>
      </w:r>
    </w:p>
    <w:p>
      <w:pPr>
        <w:pStyle w:val="Heading1"/>
      </w:pPr>
      <w:r>
        <w:t>Moderate Questions</w:t>
      </w:r>
    </w:p>
    <w:p>
      <w:r>
        <w:rPr>
          <w:i/>
          <w:color w:val="696969"/>
        </w:rPr>
        <w:t>7 questions | Applied sequencing and realistic clinical decision-making.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LCSW-WB04-QB-Q006</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Mandated role clarity</w:t>
            </w:r>
          </w:p>
        </w:tc>
      </w:tr>
    </w:tbl>
    <w:p>
      <w:pPr>
        <w:keepNext/>
      </w:pPr>
      <w:r>
        <w:rPr>
          <w:b/>
          <w:color w:val="1B2A41"/>
          <w:sz w:val="22"/>
        </w:rPr>
        <w:t>Question</w:t>
      </w:r>
    </w:p>
    <w:p>
      <w:pPr>
        <w:keepNext/>
      </w:pPr>
      <w:r>
        <w:rPr>
          <w:b/>
        </w:rPr>
        <w:t>A probation-referred client says, 'I was told to show up, but nobody explained what you report.' What should the social worker do FIRST?</w:t>
      </w:r>
    </w:p>
    <w:p>
      <w:pPr>
        <w:pStyle w:val="Option"/>
        <w:keepNext/>
      </w:pPr>
      <w:r>
        <w:rPr>
          <w:b/>
        </w:rPr>
        <w:t xml:space="preserve">A. </w:t>
      </w:r>
      <w:r>
        <w:t>Begin a full psychosocial history before discussing the mandate.</w:t>
      </w:r>
    </w:p>
    <w:p>
      <w:pPr>
        <w:pStyle w:val="Option"/>
        <w:keepNext/>
      </w:pPr>
      <w:r>
        <w:rPr>
          <w:b/>
        </w:rPr>
        <w:t xml:space="preserve">B. </w:t>
      </w:r>
      <w:r>
        <w:t>Clarify the social worker's role, the referral requirements, reporting expectations and limits, available choices, and the client's questions and priorities.</w:t>
      </w:r>
    </w:p>
    <w:p>
      <w:pPr>
        <w:pStyle w:val="Option"/>
        <w:keepNext/>
      </w:pPr>
      <w:r>
        <w:rPr>
          <w:b/>
        </w:rPr>
        <w:t xml:space="preserve">C. </w:t>
      </w:r>
      <w:r>
        <w:t>Promise that nothing will be shared with probation.</w:t>
      </w:r>
    </w:p>
    <w:p>
      <w:r>
        <w:rPr>
          <w:b/>
          <w:color w:val="237852"/>
        </w:rPr>
        <w:t>Correct Answer: B</w:t>
      </w:r>
    </w:p>
    <w:p>
      <w:pPr>
        <w:keepNext/>
      </w:pPr>
      <w:r>
        <w:rPr>
          <w:b/>
          <w:color w:val="1B2A41"/>
          <w:sz w:val="22"/>
        </w:rPr>
        <w:t>Rationales</w:t>
      </w:r>
    </w:p>
    <w:p>
      <w:pPr>
        <w:pStyle w:val="Rationale"/>
      </w:pPr>
      <w:r>
        <w:rPr>
          <w:b/>
          <w:color w:val="A02D2D"/>
        </w:rPr>
        <w:t xml:space="preserve">A. </w:t>
      </w:r>
      <w:r>
        <w:t>Incorrect. Role ambiguity can undermine engagement and informed participation.</w:t>
      </w:r>
    </w:p>
    <w:p>
      <w:pPr>
        <w:pStyle w:val="Rationale"/>
      </w:pPr>
      <w:r>
        <w:rPr>
          <w:b/>
          <w:color w:val="237852"/>
        </w:rPr>
        <w:t xml:space="preserve">B. </w:t>
      </w:r>
      <w:r>
        <w:t>Correct. Mandated involvement changes the frame but does not eliminate transparency, dignity, or participation.</w:t>
      </w:r>
    </w:p>
    <w:p>
      <w:pPr>
        <w:pStyle w:val="Rationale"/>
      </w:pPr>
      <w:r>
        <w:rPr>
          <w:b/>
          <w:color w:val="A02D2D"/>
        </w:rPr>
        <w:t xml:space="preserve">C. </w:t>
      </w:r>
      <w:r>
        <w:t>Incorrect. An absolute promise may be inaccurate.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frame before expecting meaningful participation in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LCSW-WB04-QB-Q007</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Qualified language access</w:t>
            </w:r>
          </w:p>
        </w:tc>
      </w:tr>
    </w:tbl>
    <w:p>
      <w:pPr>
        <w:keepNext/>
      </w:pPr>
      <w:r>
        <w:rPr>
          <w:b/>
          <w:color w:val="1B2A41"/>
          <w:sz w:val="22"/>
        </w:rPr>
        <w:t>Question</w:t>
      </w:r>
    </w:p>
    <w:p>
      <w:pPr>
        <w:keepNext/>
      </w:pPr>
      <w:r>
        <w:rPr>
          <w:b/>
        </w:rPr>
        <w:t>A parent with limited English proficiency brings a 12-year-old child to interpret during a behavioral-health intake. What should the social worker do?</w:t>
      </w:r>
    </w:p>
    <w:p>
      <w:pPr>
        <w:pStyle w:val="Option"/>
        <w:keepNext/>
      </w:pPr>
      <w:r>
        <w:rPr>
          <w:b/>
        </w:rPr>
        <w:t xml:space="preserve">A. </w:t>
      </w:r>
      <w:r>
        <w:t>Use the child because family members understand cultural meanings best.</w:t>
      </w:r>
    </w:p>
    <w:p>
      <w:pPr>
        <w:pStyle w:val="Option"/>
        <w:keepNext/>
      </w:pPr>
      <w:r>
        <w:rPr>
          <w:b/>
        </w:rPr>
        <w:t xml:space="preserve">B. </w:t>
      </w:r>
      <w:r>
        <w:t>Proceed only with yes-or-no questions so interpretation is unnecessary.</w:t>
      </w:r>
    </w:p>
    <w:p>
      <w:pPr>
        <w:pStyle w:val="Option"/>
        <w:keepNext/>
      </w:pPr>
      <w:r>
        <w:rPr>
          <w:b/>
        </w:rPr>
        <w:t xml:space="preserve">C. </w:t>
      </w:r>
      <w:r>
        <w:t>Arrange qualified language assistance, explain the child's role, and conduct the assessment in a way that protects accuracy, confidentiality, and family boundaries.</w:t>
      </w:r>
    </w:p>
    <w:p>
      <w:pPr>
        <w:pStyle w:val="Option"/>
        <w:keepNext/>
      </w:pPr>
      <w:r>
        <w:rPr>
          <w:b/>
        </w:rPr>
        <w:t xml:space="preserve">D. </w:t>
      </w:r>
      <w:r>
        <w:t>Ask the child to interpret only the sensitive questions.</w:t>
      </w:r>
    </w:p>
    <w:p>
      <w:r>
        <w:rPr>
          <w:b/>
          <w:color w:val="237852"/>
        </w:rPr>
        <w:t>Correct Answer: C</w:t>
      </w:r>
    </w:p>
    <w:p>
      <w:pPr>
        <w:keepNext/>
      </w:pPr>
      <w:r>
        <w:rPr>
          <w:b/>
          <w:color w:val="1B2A41"/>
          <w:sz w:val="22"/>
        </w:rPr>
        <w:t>Rationales</w:t>
      </w:r>
    </w:p>
    <w:p>
      <w:pPr>
        <w:pStyle w:val="Rationale"/>
      </w:pPr>
      <w:r>
        <w:rPr>
          <w:b/>
          <w:color w:val="A02D2D"/>
        </w:rPr>
        <w:t xml:space="preserve">A. </w:t>
      </w:r>
      <w:r>
        <w:t>Incorrect. Cultural familiarity does not eliminate accuracy and boundary concerns.</w:t>
      </w:r>
    </w:p>
    <w:p>
      <w:pPr>
        <w:pStyle w:val="Rationale"/>
      </w:pPr>
      <w:r>
        <w:rPr>
          <w:b/>
          <w:color w:val="A02D2D"/>
        </w:rPr>
        <w:t xml:space="preserve">B. </w:t>
      </w:r>
      <w:r>
        <w:t>Incorrect. This would restrict assessment and may not solve the communication barrier.</w:t>
      </w:r>
    </w:p>
    <w:p>
      <w:pPr>
        <w:pStyle w:val="Rationale"/>
      </w:pPr>
      <w:r>
        <w:rPr>
          <w:b/>
          <w:color w:val="237852"/>
        </w:rPr>
        <w:t xml:space="preserve">C. </w:t>
      </w:r>
      <w:r>
        <w:t>Correct. Using a child as interpreter can create burden, role reversal, omissions, and privacy concerns.</w:t>
      </w:r>
    </w:p>
    <w:p>
      <w:pPr>
        <w:pStyle w:val="Rationale"/>
      </w:pPr>
      <w:r>
        <w:rPr>
          <w:b/>
          <w:color w:val="A02D2D"/>
        </w:rPr>
        <w:t xml:space="preserve">D. </w:t>
      </w:r>
      <w:r>
        <w:t>Incorrect. Sensitive content increases rather than reduces the concern.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language access as an assessment-validity and participation issue, not a convenience.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LCSW-WB04-QB-Q008</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Current assessment versus prior records</w:t>
            </w:r>
          </w:p>
        </w:tc>
      </w:tr>
    </w:tbl>
    <w:p>
      <w:pPr>
        <w:keepNext/>
      </w:pPr>
      <w:r>
        <w:rPr>
          <w:b/>
          <w:color w:val="1B2A41"/>
          <w:sz w:val="22"/>
        </w:rPr>
        <w:t>Question</w:t>
      </w:r>
    </w:p>
    <w:p>
      <w:pPr>
        <w:keepNext/>
      </w:pPr>
      <w:r>
        <w:rPr>
          <w:b/>
        </w:rPr>
        <w:t>A five-year-old record lists a diagnosis that does not match the client's current presentation. What should the social worker do NEXT?</w:t>
      </w:r>
    </w:p>
    <w:p>
      <w:pPr>
        <w:pStyle w:val="Option"/>
        <w:keepNext/>
      </w:pPr>
      <w:r>
        <w:rPr>
          <w:b/>
        </w:rPr>
        <w:t xml:space="preserve">A. </w:t>
      </w:r>
      <w:r>
        <w:t>Use the prior diagnosis because written records are more objective than current client report.</w:t>
      </w:r>
    </w:p>
    <w:p>
      <w:pPr>
        <w:pStyle w:val="Option"/>
        <w:keepNext/>
      </w:pPr>
      <w:r>
        <w:rPr>
          <w:b/>
        </w:rPr>
        <w:t xml:space="preserve">B. </w:t>
      </w:r>
      <w:r>
        <w:t>Delete the diagnosis from the record because it appears inconsistent.</w:t>
      </w:r>
    </w:p>
    <w:p>
      <w:pPr>
        <w:pStyle w:val="Option"/>
        <w:keepNext/>
      </w:pPr>
      <w:r>
        <w:rPr>
          <w:b/>
        </w:rPr>
        <w:t xml:space="preserve">C. </w:t>
      </w:r>
      <w:r>
        <w:t>Ignore the record entirely because it is old.</w:t>
      </w:r>
    </w:p>
    <w:p>
      <w:pPr>
        <w:pStyle w:val="Option"/>
        <w:keepNext/>
      </w:pPr>
      <w:r>
        <w:rPr>
          <w:b/>
        </w:rPr>
        <w:t xml:space="preserve">D. </w:t>
      </w:r>
      <w:r>
        <w:t>Clarify the prior record's context and basis, complete a current assessment, compare functioning and symptoms over time, and treat the old diagnosis as one source rather than a conclusion.</w:t>
      </w:r>
    </w:p>
    <w:p>
      <w:r>
        <w:rPr>
          <w:b/>
          <w:color w:val="237852"/>
        </w:rPr>
        <w:t>Correct Answer: D</w:t>
      </w:r>
    </w:p>
    <w:p>
      <w:pPr>
        <w:keepNext/>
      </w:pPr>
      <w:r>
        <w:rPr>
          <w:b/>
          <w:color w:val="1B2A41"/>
          <w:sz w:val="22"/>
        </w:rPr>
        <w:t>Rationales</w:t>
      </w:r>
    </w:p>
    <w:p>
      <w:pPr>
        <w:pStyle w:val="Rationale"/>
      </w:pPr>
      <w:r>
        <w:rPr>
          <w:b/>
          <w:color w:val="A02D2D"/>
        </w:rPr>
        <w:t xml:space="preserve">A. </w:t>
      </w:r>
      <w:r>
        <w:t>Incorrect. Records may be outdated, context-bound, or incomplete.</w:t>
      </w:r>
    </w:p>
    <w:p>
      <w:pPr>
        <w:pStyle w:val="Rationale"/>
      </w:pPr>
      <w:r>
        <w:rPr>
          <w:b/>
          <w:color w:val="A02D2D"/>
        </w:rPr>
        <w:t xml:space="preserve">B. </w:t>
      </w:r>
      <w:r>
        <w:t>Incorrect. The social worker should not alter historical records; the discrepancy should be assessed and documented.</w:t>
      </w:r>
    </w:p>
    <w:p>
      <w:pPr>
        <w:pStyle w:val="Rationale"/>
      </w:pPr>
      <w:r>
        <w:rPr>
          <w:b/>
          <w:color w:val="A02D2D"/>
        </w:rPr>
        <w:t xml:space="preserve">C. </w:t>
      </w:r>
      <w:r>
        <w:t>Incorrect. The record may still contain useful history when interpreted in context.</w:t>
      </w:r>
    </w:p>
    <w:p>
      <w:pPr>
        <w:pStyle w:val="Rationale"/>
      </w:pPr>
      <w:r>
        <w:rPr>
          <w:b/>
          <w:color w:val="237852"/>
        </w:rPr>
        <w:t xml:space="preserve">D. </w:t>
      </w:r>
      <w:r>
        <w:t>Correct. Records supplement but do not replace current, decision-relevant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prior record is data, not destiny; compare it with current presentation, baseline, and context.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LCSW-WB04-QB-Q009</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Acute cognitive change</w:t>
            </w:r>
          </w:p>
        </w:tc>
      </w:tr>
    </w:tbl>
    <w:p>
      <w:pPr>
        <w:keepNext/>
      </w:pPr>
      <w:r>
        <w:rPr>
          <w:b/>
          <w:color w:val="1B2A41"/>
          <w:sz w:val="22"/>
        </w:rPr>
        <w:t>Question</w:t>
      </w:r>
    </w:p>
    <w:p>
      <w:pPr>
        <w:keepNext/>
      </w:pPr>
      <w:r>
        <w:rPr>
          <w:b/>
        </w:rPr>
        <w:t>A client with no psychiatric history develops fluctuating confusion and visual misperceptions during treatment for an infection. What should the social worker do FIRST?</w:t>
      </w:r>
    </w:p>
    <w:p>
      <w:pPr>
        <w:pStyle w:val="Option"/>
        <w:keepNext/>
      </w:pPr>
      <w:r>
        <w:rPr>
          <w:b/>
        </w:rPr>
        <w:t xml:space="preserve">A. </w:t>
      </w:r>
      <w:r>
        <w:t>Coordinate urgent medical evaluation while assessing immediate safety and communicating the observed change to the treatment team.</w:t>
      </w:r>
    </w:p>
    <w:p>
      <w:pPr>
        <w:pStyle w:val="Option"/>
        <w:keepNext/>
      </w:pPr>
      <w:r>
        <w:rPr>
          <w:b/>
        </w:rPr>
        <w:t xml:space="preserve">B. </w:t>
      </w:r>
      <w:r>
        <w:t>Begin insight-oriented therapy to explore the symbolic meaning of the visions.</w:t>
      </w:r>
    </w:p>
    <w:p>
      <w:pPr>
        <w:pStyle w:val="Option"/>
        <w:keepNext/>
      </w:pPr>
      <w:r>
        <w:rPr>
          <w:b/>
        </w:rPr>
        <w:t xml:space="preserve">C. </w:t>
      </w:r>
      <w:r>
        <w:t>Assume a chronic psychotic disorder and arrange long-term placement.</w:t>
      </w:r>
    </w:p>
    <w:p>
      <w:r>
        <w:rPr>
          <w:b/>
          <w:color w:val="237852"/>
        </w:rPr>
        <w:t>Correct Answer: A</w:t>
      </w:r>
    </w:p>
    <w:p>
      <w:pPr>
        <w:keepNext/>
      </w:pPr>
      <w:r>
        <w:rPr>
          <w:b/>
          <w:color w:val="1B2A41"/>
          <w:sz w:val="22"/>
        </w:rPr>
        <w:t>Rationales</w:t>
      </w:r>
    </w:p>
    <w:p>
      <w:pPr>
        <w:pStyle w:val="Rationale"/>
      </w:pPr>
      <w:r>
        <w:rPr>
          <w:b/>
          <w:color w:val="237852"/>
        </w:rPr>
        <w:t xml:space="preserve">A. </w:t>
      </w:r>
      <w:r>
        <w:t>Correct. Acute fluctuating cognition during medical illness raises concern for a medical condition and should not be treated first as a primary psychiatric disorder.</w:t>
      </w:r>
    </w:p>
    <w:p>
      <w:pPr>
        <w:pStyle w:val="Rationale"/>
      </w:pPr>
      <w:r>
        <w:rPr>
          <w:b/>
          <w:color w:val="A02D2D"/>
        </w:rPr>
        <w:t xml:space="preserve">B. </w:t>
      </w:r>
      <w:r>
        <w:t>Incorrect. Medical urgency and safety come first.</w:t>
      </w:r>
    </w:p>
    <w:p>
      <w:pPr>
        <w:pStyle w:val="Rationale"/>
      </w:pPr>
      <w:r>
        <w:rPr>
          <w:b/>
          <w:color w:val="A02D2D"/>
        </w:rPr>
        <w:t xml:space="preserve">C. </w:t>
      </w:r>
      <w:r>
        <w:t>Incorrect. The abrupt, fluctuating, medically associated onset argues for urgent medical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fluctuation plus medical illness shifts the sequence toward urgent medical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LCSW-WB04-QB-Q010</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Medication access and side-effect barriers</w:t>
            </w:r>
          </w:p>
        </w:tc>
      </w:tr>
    </w:tbl>
    <w:p>
      <w:pPr>
        <w:keepNext/>
      </w:pPr>
      <w:r>
        <w:rPr>
          <w:b/>
          <w:color w:val="1B2A41"/>
          <w:sz w:val="22"/>
        </w:rPr>
        <w:t>Question</w:t>
      </w:r>
    </w:p>
    <w:p>
      <w:pPr>
        <w:keepNext/>
      </w:pPr>
      <w:r>
        <w:rPr>
          <w:b/>
        </w:rPr>
        <w:t>A client says a prescribed medication is taken inconsistently because the label is confusing, the pharmacy is two bus transfers away, and the medication causes dizziness. What should the social worker do FIRST?</w:t>
      </w:r>
    </w:p>
    <w:p>
      <w:pPr>
        <w:pStyle w:val="Option"/>
        <w:keepNext/>
      </w:pPr>
      <w:r>
        <w:rPr>
          <w:b/>
        </w:rPr>
        <w:t xml:space="preserve">A. </w:t>
      </w:r>
      <w:r>
        <w:t>Tell the client to take the medication exactly as prescribed without further discussion.</w:t>
      </w:r>
    </w:p>
    <w:p>
      <w:pPr>
        <w:pStyle w:val="Option"/>
        <w:keepNext/>
      </w:pPr>
      <w:r>
        <w:rPr>
          <w:b/>
        </w:rPr>
        <w:t xml:space="preserve">B. </w:t>
      </w:r>
      <w:r>
        <w:t>Assess current symptoms and safety, clarify understanding and preferences, and coordinate with the prescriber and service system regarding side effects, instructions, pharmacy access, and transportation.</w:t>
      </w:r>
    </w:p>
    <w:p>
      <w:pPr>
        <w:pStyle w:val="Option"/>
        <w:keepNext/>
      </w:pPr>
      <w:r>
        <w:rPr>
          <w:b/>
        </w:rPr>
        <w:t xml:space="preserve">C. </w:t>
      </w:r>
      <w:r>
        <w:t>Advise the client to reduce the dose until dizziness stops.</w:t>
      </w:r>
    </w:p>
    <w:p>
      <w:r>
        <w:rPr>
          <w:b/>
          <w:color w:val="237852"/>
        </w:rPr>
        <w:t>Correct Answer: B</w:t>
      </w:r>
    </w:p>
    <w:p>
      <w:pPr>
        <w:keepNext/>
      </w:pPr>
      <w:r>
        <w:rPr>
          <w:b/>
          <w:color w:val="1B2A41"/>
          <w:sz w:val="22"/>
        </w:rPr>
        <w:t>Rationales</w:t>
      </w:r>
    </w:p>
    <w:p>
      <w:pPr>
        <w:pStyle w:val="Rationale"/>
      </w:pPr>
      <w:r>
        <w:rPr>
          <w:b/>
          <w:color w:val="A02D2D"/>
        </w:rPr>
        <w:t xml:space="preserve">A. </w:t>
      </w:r>
      <w:r>
        <w:t>Incorrect. This does not address side effects, understanding, or access.</w:t>
      </w:r>
    </w:p>
    <w:p>
      <w:pPr>
        <w:pStyle w:val="Rationale"/>
      </w:pPr>
      <w:r>
        <w:rPr>
          <w:b/>
          <w:color w:val="237852"/>
        </w:rPr>
        <w:t xml:space="preserve">B. </w:t>
      </w:r>
      <w:r>
        <w:t>Correct. The problem includes health, communication, and access barriers and requires collaborative coordination rather than a noncompliance label.</w:t>
      </w:r>
    </w:p>
    <w:p>
      <w:pPr>
        <w:pStyle w:val="Rationale"/>
      </w:pPr>
      <w:r>
        <w:rPr>
          <w:b/>
          <w:color w:val="A02D2D"/>
        </w:rPr>
        <w:t xml:space="preserve">C. </w:t>
      </w:r>
      <w:r>
        <w:t>Incorrect. Directing medication changes is outside the social worker's role and may be unsafe.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labeling behavior, ask whether the plan is understandable, tolerable, affordable, and possible.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LCSW-WB04-QB-Q011</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Application</w:t>
            </w:r>
          </w:p>
        </w:tc>
        <w:tc>
          <w:tcPr>
            <w:tcW w:type="dxa" w:w="3672"/>
            <w:tcMar>
              <w:top w:w="90" w:type="dxa"/>
              <w:start w:w="100" w:type="dxa"/>
              <w:bottom w:w="90" w:type="dxa"/>
              <w:end w:w="100" w:type="dxa"/>
            </w:tcMar>
            <w:vAlign w:val="top"/>
          </w:tcPr>
          <w:p>
            <w:pPr>
              <w:keepNext/>
              <w:jc w:val="center"/>
            </w:pPr>
            <w:r>
              <w:rPr>
                <w:b/>
                <w:color w:val="1B2A41"/>
                <w:sz w:val="16"/>
              </w:rPr>
              <w:t>Harm reduction and readiness</w:t>
            </w:r>
          </w:p>
        </w:tc>
      </w:tr>
    </w:tbl>
    <w:p>
      <w:pPr>
        <w:keepNext/>
      </w:pPr>
      <w:r>
        <w:rPr>
          <w:b/>
          <w:color w:val="1B2A41"/>
          <w:sz w:val="22"/>
        </w:rPr>
        <w:t>Question</w:t>
      </w:r>
    </w:p>
    <w:p>
      <w:pPr>
        <w:keepNext/>
      </w:pPr>
      <w:r>
        <w:rPr>
          <w:b/>
        </w:rPr>
        <w:t>A client wants to reduce heavy alcohol use but is not ready to pursue abstinence. Which response is BEST?</w:t>
      </w:r>
    </w:p>
    <w:p>
      <w:pPr>
        <w:pStyle w:val="Option"/>
        <w:keepNext/>
      </w:pPr>
      <w:r>
        <w:rPr>
          <w:b/>
        </w:rPr>
        <w:t xml:space="preserve">A. </w:t>
      </w:r>
      <w:r>
        <w:t>Refuse services until the client commits to abstinence.</w:t>
      </w:r>
    </w:p>
    <w:p>
      <w:pPr>
        <w:pStyle w:val="Option"/>
        <w:keepNext/>
      </w:pPr>
      <w:r>
        <w:rPr>
          <w:b/>
        </w:rPr>
        <w:t xml:space="preserve">B. </w:t>
      </w:r>
      <w:r>
        <w:t>Accept the reduction goal without asking about withdrawal or other danger.</w:t>
      </w:r>
    </w:p>
    <w:p>
      <w:pPr>
        <w:pStyle w:val="Option"/>
        <w:keepNext/>
      </w:pPr>
      <w:r>
        <w:rPr>
          <w:b/>
        </w:rPr>
        <w:t xml:space="preserve">C. </w:t>
      </w:r>
      <w:r>
        <w:t>Assess amount, pattern, withdrawal risk, safety, consequences, prior change attempts, supports, and goals, then collaborate on harm-reduction and treatment options consistent with readiness.</w:t>
      </w:r>
    </w:p>
    <w:p>
      <w:r>
        <w:rPr>
          <w:b/>
          <w:color w:val="237852"/>
        </w:rPr>
        <w:t>Correct Answer: C</w:t>
      </w:r>
    </w:p>
    <w:p>
      <w:pPr>
        <w:keepNext/>
      </w:pPr>
      <w:r>
        <w:rPr>
          <w:b/>
          <w:color w:val="1B2A41"/>
          <w:sz w:val="22"/>
        </w:rPr>
        <w:t>Rationales</w:t>
      </w:r>
    </w:p>
    <w:p>
      <w:pPr>
        <w:pStyle w:val="Rationale"/>
      </w:pPr>
      <w:r>
        <w:rPr>
          <w:b/>
          <w:color w:val="A02D2D"/>
        </w:rPr>
        <w:t xml:space="preserve">A. </w:t>
      </w:r>
      <w:r>
        <w:t>Incorrect. This may reduce engagement and does not address current risk.</w:t>
      </w:r>
    </w:p>
    <w:p>
      <w:pPr>
        <w:pStyle w:val="Rationale"/>
      </w:pPr>
      <w:r>
        <w:rPr>
          <w:b/>
          <w:color w:val="A02D2D"/>
        </w:rPr>
        <w:t xml:space="preserve">B. </w:t>
      </w:r>
      <w:r>
        <w:t>Incorrect. Readiness does not eliminate the need for risk assessment.</w:t>
      </w:r>
    </w:p>
    <w:p>
      <w:pPr>
        <w:pStyle w:val="Rationale"/>
      </w:pPr>
      <w:r>
        <w:rPr>
          <w:b/>
          <w:color w:val="237852"/>
        </w:rPr>
        <w:t xml:space="preserve">C. </w:t>
      </w:r>
      <w:r>
        <w:t>Correct. Self-determination and harm reduction can be combined with clear assessment of medical and safety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Meet the client at the current stage while still assessing urgent risk and usable supports.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LCSW-WB04-QB-Q012</w:t>
            </w:r>
          </w:p>
        </w:tc>
        <w:tc>
          <w:tcPr>
            <w:tcW w:type="dxa" w:w="1728"/>
            <w:tcMar>
              <w:top w:w="90" w:type="dxa"/>
              <w:start w:w="100" w:type="dxa"/>
              <w:bottom w:w="90" w:type="dxa"/>
              <w:end w:w="100" w:type="dxa"/>
            </w:tcMar>
            <w:vAlign w:val="top"/>
          </w:tcPr>
          <w:p>
            <w:pPr>
              <w:keepNext/>
              <w:jc w:val="center"/>
            </w:pPr>
            <w:r>
              <w:rPr>
                <w:b/>
                <w:color w:val="1B2A41"/>
                <w:sz w:val="16"/>
              </w:rPr>
              <w:t>Moderate</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Clarifying ambiguous symptoms</w:t>
            </w:r>
          </w:p>
        </w:tc>
      </w:tr>
    </w:tbl>
    <w:p>
      <w:pPr>
        <w:keepNext/>
      </w:pPr>
      <w:r>
        <w:rPr>
          <w:b/>
          <w:color w:val="1B2A41"/>
          <w:sz w:val="22"/>
        </w:rPr>
        <w:t>Question</w:t>
      </w:r>
    </w:p>
    <w:p>
      <w:pPr>
        <w:keepNext/>
      </w:pPr>
      <w:r>
        <w:rPr>
          <w:b/>
        </w:rPr>
        <w:t>A client repeatedly says, 'I blank out when my supervisor talks to me.' What should the social worker do NEXT?</w:t>
      </w:r>
    </w:p>
    <w:p>
      <w:pPr>
        <w:pStyle w:val="Option"/>
        <w:keepNext/>
      </w:pPr>
      <w:r>
        <w:rPr>
          <w:b/>
        </w:rPr>
        <w:t xml:space="preserve">A. </w:t>
      </w:r>
      <w:r>
        <w:t>Interpret the phrase as resistance to authority.</w:t>
      </w:r>
    </w:p>
    <w:p>
      <w:pPr>
        <w:pStyle w:val="Option"/>
        <w:keepNext/>
      </w:pPr>
      <w:r>
        <w:rPr>
          <w:b/>
        </w:rPr>
        <w:t xml:space="preserve">B. </w:t>
      </w:r>
      <w:r>
        <w:t>Reassure the client that the experience is normal.</w:t>
      </w:r>
    </w:p>
    <w:p>
      <w:pPr>
        <w:pStyle w:val="Option"/>
        <w:keepNext/>
      </w:pPr>
      <w:r>
        <w:rPr>
          <w:b/>
        </w:rPr>
        <w:t xml:space="preserve">C. </w:t>
      </w:r>
      <w:r>
        <w:t>Recommend resignation from the job before assessment.</w:t>
      </w:r>
    </w:p>
    <w:p>
      <w:pPr>
        <w:pStyle w:val="Option"/>
        <w:keepNext/>
      </w:pPr>
      <w:r>
        <w:rPr>
          <w:b/>
        </w:rPr>
        <w:t xml:space="preserve">D. </w:t>
      </w:r>
      <w:r>
        <w:t>Clarify what 'blank out' means by asking about the sequence, awareness, memory, physical sensations, triggers, duration, consequences, and safety.</w:t>
      </w:r>
    </w:p>
    <w:p>
      <w:r>
        <w:rPr>
          <w:b/>
          <w:color w:val="237852"/>
        </w:rPr>
        <w:t>Correct Answer: D</w:t>
      </w:r>
    </w:p>
    <w:p>
      <w:pPr>
        <w:keepNext/>
      </w:pPr>
      <w:r>
        <w:rPr>
          <w:b/>
          <w:color w:val="1B2A41"/>
          <w:sz w:val="22"/>
        </w:rPr>
        <w:t>Rationales</w:t>
      </w:r>
    </w:p>
    <w:p>
      <w:pPr>
        <w:pStyle w:val="Rationale"/>
      </w:pPr>
      <w:r>
        <w:rPr>
          <w:b/>
          <w:color w:val="A02D2D"/>
        </w:rPr>
        <w:t xml:space="preserve">A. </w:t>
      </w:r>
      <w:r>
        <w:t>Incorrect. The meaning has not been established.</w:t>
      </w:r>
    </w:p>
    <w:p>
      <w:pPr>
        <w:pStyle w:val="Rationale"/>
      </w:pPr>
      <w:r>
        <w:rPr>
          <w:b/>
          <w:color w:val="A02D2D"/>
        </w:rPr>
        <w:t xml:space="preserve">B. </w:t>
      </w:r>
      <w:r>
        <w:t>Incorrect. The experience and risk are still unclear.</w:t>
      </w:r>
    </w:p>
    <w:p>
      <w:pPr>
        <w:pStyle w:val="Rationale"/>
      </w:pPr>
      <w:r>
        <w:rPr>
          <w:b/>
          <w:color w:val="A02D2D"/>
        </w:rPr>
        <w:t xml:space="preserve">C. </w:t>
      </w:r>
      <w:r>
        <w:t>Incorrect. A major action is premature.</w:t>
      </w:r>
    </w:p>
    <w:p>
      <w:pPr>
        <w:pStyle w:val="Rationale"/>
      </w:pPr>
      <w:r>
        <w:rPr>
          <w:b/>
          <w:color w:val="237852"/>
        </w:rPr>
        <w:t xml:space="preserve">D. </w:t>
      </w:r>
      <w:r>
        <w:t>Correct. The phrase could refer to anxiety, dissociation, cognitive difficulty, a medical event, or another experience; interpretation is premature.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Define vague language behaviorally before diagnosing, interpreting, or planning.</w:t>
            </w:r>
          </w:p>
        </w:tc>
      </w:tr>
    </w:tbl>
    <w:p/>
    <w:p>
      <w:r>
        <w:br w:type="page"/>
      </w:r>
    </w:p>
    <w:p>
      <w:pPr>
        <w:pStyle w:val="Heading1"/>
      </w:pPr>
      <w:r>
        <w:t>Difficult Questions</w:t>
      </w:r>
    </w:p>
    <w:p>
      <w:r>
        <w:rPr>
          <w:i/>
          <w:color w:val="696969"/>
        </w:rPr>
        <w:t>5 questions | Complex scenarios requiring prioritization and integrated professional reasoning.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LCSW-WB04-QB-Q013</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Accessible discharge planning</w:t>
            </w:r>
          </w:p>
        </w:tc>
      </w:tr>
    </w:tbl>
    <w:p>
      <w:pPr>
        <w:keepNext/>
      </w:pPr>
      <w:r>
        <w:rPr>
          <w:b/>
          <w:color w:val="1B2A41"/>
          <w:sz w:val="22"/>
        </w:rPr>
        <w:t>Question</w:t>
      </w:r>
    </w:p>
    <w:p>
      <w:pPr>
        <w:keepNext/>
      </w:pPr>
      <w:r>
        <w:rPr>
          <w:b/>
        </w:rPr>
        <w:t>A young adult with a recent spinal-cord injury wants to return to an apartment, but the building has stairs, the client has limited home support, and rehabilitation staff disagree about readiness. What should the social worker do FIRST?</w:t>
      </w:r>
    </w:p>
    <w:p>
      <w:pPr>
        <w:pStyle w:val="Option"/>
        <w:keepNext/>
      </w:pPr>
      <w:r>
        <w:rPr>
          <w:b/>
        </w:rPr>
        <w:t xml:space="preserve">A. </w:t>
      </w:r>
      <w:r>
        <w:t>Involve the client in assessing functional abilities, home accessibility, equipment and personal-care needs, supports, benefits, transportation, risks, and feasible least restrictive alternatives with the interdisciplinary team.</w:t>
      </w:r>
    </w:p>
    <w:p>
      <w:pPr>
        <w:pStyle w:val="Option"/>
        <w:keepNext/>
      </w:pPr>
      <w:r>
        <w:rPr>
          <w:b/>
        </w:rPr>
        <w:t xml:space="preserve">B. </w:t>
      </w:r>
      <w:r>
        <w:t>Arrange residential placement because staff disagreement proves home discharge is unsafe.</w:t>
      </w:r>
    </w:p>
    <w:p>
      <w:pPr>
        <w:pStyle w:val="Option"/>
        <w:keepNext/>
      </w:pPr>
      <w:r>
        <w:rPr>
          <w:b/>
        </w:rPr>
        <w:t xml:space="preserve">C. </w:t>
      </w:r>
      <w:r>
        <w:t>Discharge home immediately because self-determination overrides all safety assessment.</w:t>
      </w:r>
    </w:p>
    <w:p>
      <w:r>
        <w:rPr>
          <w:b/>
          <w:color w:val="237852"/>
        </w:rPr>
        <w:t>Correct Answer: A</w:t>
      </w:r>
    </w:p>
    <w:p>
      <w:pPr>
        <w:keepNext/>
      </w:pPr>
      <w:r>
        <w:rPr>
          <w:b/>
          <w:color w:val="1B2A41"/>
          <w:sz w:val="22"/>
        </w:rPr>
        <w:t>Rationales</w:t>
      </w:r>
    </w:p>
    <w:p>
      <w:pPr>
        <w:pStyle w:val="Rationale"/>
      </w:pPr>
      <w:r>
        <w:rPr>
          <w:b/>
          <w:color w:val="237852"/>
        </w:rPr>
        <w:t xml:space="preserve">A. </w:t>
      </w:r>
      <w:r>
        <w:t>Correct. Discharge planning requires client participation and integration of health, environment, resources, and safety rather than a binary home-versus-placement decision.</w:t>
      </w:r>
    </w:p>
    <w:p>
      <w:pPr>
        <w:pStyle w:val="Rationale"/>
      </w:pPr>
      <w:r>
        <w:rPr>
          <w:b/>
          <w:color w:val="A02D2D"/>
        </w:rPr>
        <w:t xml:space="preserve">B. </w:t>
      </w:r>
      <w:r>
        <w:t>Incorrect. The facts require assessment rather than automatic restriction.</w:t>
      </w:r>
    </w:p>
    <w:p>
      <w:pPr>
        <w:pStyle w:val="Rationale"/>
      </w:pPr>
      <w:r>
        <w:rPr>
          <w:b/>
          <w:color w:val="A02D2D"/>
        </w:rPr>
        <w:t xml:space="preserve">C. </w:t>
      </w:r>
      <w:r>
        <w:t>Incorrect. Self-determination includes informed, collaborative evaluation of risks and supports.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Integrate person, environment, function, resources, risk, and client choice before selecting the level of support.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LCSW-WB04-QB-Q014</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Cultural context and perception</w:t>
            </w:r>
          </w:p>
        </w:tc>
      </w:tr>
    </w:tbl>
    <w:p>
      <w:pPr>
        <w:keepNext/>
      </w:pPr>
      <w:r>
        <w:rPr>
          <w:b/>
          <w:color w:val="1B2A41"/>
          <w:sz w:val="22"/>
        </w:rPr>
        <w:t>Question</w:t>
      </w:r>
    </w:p>
    <w:p>
      <w:pPr>
        <w:keepNext/>
      </w:pPr>
      <w:r>
        <w:rPr>
          <w:b/>
        </w:rPr>
        <w:t>A client describes communicating with ancestors during a spiritual ceremony. Family members insist this proves psychosis, but the client is organized, functioning, and not distressed. What should the social worker do NEXT?</w:t>
      </w:r>
    </w:p>
    <w:p>
      <w:pPr>
        <w:pStyle w:val="Option"/>
        <w:keepNext/>
      </w:pPr>
      <w:r>
        <w:rPr>
          <w:b/>
        </w:rPr>
        <w:t xml:space="preserve">A. </w:t>
      </w:r>
      <w:r>
        <w:t>Confirm psychosis because the experience involves hearing or sensing others.</w:t>
      </w:r>
    </w:p>
    <w:p>
      <w:pPr>
        <w:pStyle w:val="Option"/>
        <w:keepNext/>
      </w:pPr>
      <w:r>
        <w:rPr>
          <w:b/>
        </w:rPr>
        <w:t xml:space="preserve">B. </w:t>
      </w:r>
      <w:r>
        <w:t>Explore the experience's cultural and spiritual meaning, context, voluntariness, frequency, functional impact, associated symptoms, and safety before drawing a diagnostic conclusion.</w:t>
      </w:r>
    </w:p>
    <w:p>
      <w:pPr>
        <w:pStyle w:val="Option"/>
        <w:keepNext/>
      </w:pPr>
      <w:r>
        <w:rPr>
          <w:b/>
        </w:rPr>
        <w:t xml:space="preserve">C. </w:t>
      </w:r>
      <w:r>
        <w:t>Dismiss the family's concern because spiritual experiences can never be clinically significant.</w:t>
      </w:r>
    </w:p>
    <w:p>
      <w:r>
        <w:rPr>
          <w:b/>
          <w:color w:val="237852"/>
        </w:rPr>
        <w:t>Correct Answer: B</w:t>
      </w:r>
    </w:p>
    <w:p>
      <w:pPr>
        <w:keepNext/>
      </w:pPr>
      <w:r>
        <w:rPr>
          <w:b/>
          <w:color w:val="1B2A41"/>
          <w:sz w:val="22"/>
        </w:rPr>
        <w:t>Rationales</w:t>
      </w:r>
    </w:p>
    <w:p>
      <w:pPr>
        <w:pStyle w:val="Rationale"/>
      </w:pPr>
      <w:r>
        <w:rPr>
          <w:b/>
          <w:color w:val="A02D2D"/>
        </w:rPr>
        <w:t xml:space="preserve">A. </w:t>
      </w:r>
      <w:r>
        <w:t>Incorrect. Perceptual language alone does not establish pathology outside cultural and functional context.</w:t>
      </w:r>
    </w:p>
    <w:p>
      <w:pPr>
        <w:pStyle w:val="Rationale"/>
      </w:pPr>
      <w:r>
        <w:rPr>
          <w:b/>
          <w:color w:val="237852"/>
        </w:rPr>
        <w:t xml:space="preserve">B. </w:t>
      </w:r>
      <w:r>
        <w:t>Correct. Culturally sanctioned experiences must be assessed within context while still evaluating function, distress, and other mental-status findings.</w:t>
      </w:r>
    </w:p>
    <w:p>
      <w:pPr>
        <w:pStyle w:val="Rationale"/>
      </w:pPr>
      <w:r>
        <w:rPr>
          <w:b/>
          <w:color w:val="A02D2D"/>
        </w:rPr>
        <w:t xml:space="preserve">C. </w:t>
      </w:r>
      <w:r>
        <w:t>Incorrect. The concern should be explored without automatic pathologizing or automatic normalization.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meaning, context, control, distress, function, and associated findings before labeling a culturally framed experience.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LCSW-WB04-QB-Q015</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Communication access versus behavior label</w:t>
            </w:r>
          </w:p>
        </w:tc>
      </w:tr>
    </w:tbl>
    <w:p>
      <w:pPr>
        <w:keepNext/>
      </w:pPr>
      <w:r>
        <w:rPr>
          <w:b/>
          <w:color w:val="1B2A41"/>
          <w:sz w:val="22"/>
        </w:rPr>
        <w:t>Question</w:t>
      </w:r>
    </w:p>
    <w:p>
      <w:pPr>
        <w:keepNext/>
      </w:pPr>
      <w:r>
        <w:rPr>
          <w:b/>
        </w:rPr>
        <w:t>A school record labels a student 'defiant.' During the interview, the student frequently misses spoken questions and responds accurately when information is written. What should the social worker do FIRST?</w:t>
      </w:r>
    </w:p>
    <w:p>
      <w:pPr>
        <w:pStyle w:val="Option"/>
        <w:keepNext/>
      </w:pPr>
      <w:r>
        <w:rPr>
          <w:b/>
        </w:rPr>
        <w:t xml:space="preserve">A. </w:t>
      </w:r>
      <w:r>
        <w:t>Confront the student about ignoring adults.</w:t>
      </w:r>
    </w:p>
    <w:p>
      <w:pPr>
        <w:pStyle w:val="Option"/>
        <w:keepNext/>
      </w:pPr>
      <w:r>
        <w:rPr>
          <w:b/>
        </w:rPr>
        <w:t xml:space="preserve">B. </w:t>
      </w:r>
      <w:r>
        <w:t>Accept the school label because it appears in an official record.</w:t>
      </w:r>
    </w:p>
    <w:p>
      <w:pPr>
        <w:pStyle w:val="Option"/>
        <w:keepNext/>
      </w:pPr>
      <w:r>
        <w:rPr>
          <w:b/>
        </w:rPr>
        <w:t xml:space="preserve">C. </w:t>
      </w:r>
      <w:r>
        <w:t>Assess hearing and communication access, clarify the student's baseline and school context, obtain appropriate evaluation or accommodations, and reassess the behavior after access barriers are addressed.</w:t>
      </w:r>
    </w:p>
    <w:p>
      <w:pPr>
        <w:pStyle w:val="Option"/>
        <w:keepNext/>
      </w:pPr>
      <w:r>
        <w:rPr>
          <w:b/>
        </w:rPr>
        <w:t xml:space="preserve">D. </w:t>
      </w:r>
      <w:r>
        <w:t>Recommend disciplinary consequences to increase compliance.</w:t>
      </w:r>
    </w:p>
    <w:p>
      <w:r>
        <w:rPr>
          <w:b/>
          <w:color w:val="237852"/>
        </w:rPr>
        <w:t>Correct Answer: C</w:t>
      </w:r>
    </w:p>
    <w:p>
      <w:pPr>
        <w:keepNext/>
      </w:pPr>
      <w:r>
        <w:rPr>
          <w:b/>
          <w:color w:val="1B2A41"/>
          <w:sz w:val="22"/>
        </w:rPr>
        <w:t>Rationales</w:t>
      </w:r>
    </w:p>
    <w:p>
      <w:pPr>
        <w:pStyle w:val="Rationale"/>
      </w:pPr>
      <w:r>
        <w:rPr>
          <w:b/>
          <w:color w:val="A02D2D"/>
        </w:rPr>
        <w:t xml:space="preserve">A. </w:t>
      </w:r>
      <w:r>
        <w:t>Incorrect. The observed pattern suggests a possible access issue rather than established defiance.</w:t>
      </w:r>
    </w:p>
    <w:p>
      <w:pPr>
        <w:pStyle w:val="Rationale"/>
      </w:pPr>
      <w:r>
        <w:rPr>
          <w:b/>
          <w:color w:val="A02D2D"/>
        </w:rPr>
        <w:t xml:space="preserve">B. </w:t>
      </w:r>
      <w:r>
        <w:t>Incorrect. The label must be tested against current assessment and context.</w:t>
      </w:r>
    </w:p>
    <w:p>
      <w:pPr>
        <w:pStyle w:val="Rationale"/>
      </w:pPr>
      <w:r>
        <w:rPr>
          <w:b/>
          <w:color w:val="237852"/>
        </w:rPr>
        <w:t xml:space="preserve">C. </w:t>
      </w:r>
      <w:r>
        <w:t>Correct. An apparent behavior problem may reflect an unrecognized sensory or communication barrier.</w:t>
      </w:r>
    </w:p>
    <w:p>
      <w:pPr>
        <w:pStyle w:val="Rationale"/>
      </w:pPr>
      <w:r>
        <w:rPr>
          <w:b/>
          <w:color w:val="A02D2D"/>
        </w:rPr>
        <w:t xml:space="preserve">D. </w:t>
      </w:r>
      <w:r>
        <w:t>Incorrect. Punitive action is premature and may worsen inequity.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behavior changes with an accessible communication method, assess the barrier before attributing intent.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LCSW-WB04-QB-Q016</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Scenario-Based</w:t>
            </w:r>
          </w:p>
        </w:tc>
        <w:tc>
          <w:tcPr>
            <w:tcW w:type="dxa" w:w="3672"/>
            <w:tcMar>
              <w:top w:w="90" w:type="dxa"/>
              <w:start w:w="100" w:type="dxa"/>
              <w:bottom w:w="90" w:type="dxa"/>
              <w:end w:w="100" w:type="dxa"/>
            </w:tcMar>
            <w:vAlign w:val="top"/>
          </w:tcPr>
          <w:p>
            <w:pPr>
              <w:keepNext/>
              <w:jc w:val="center"/>
            </w:pPr>
            <w:r>
              <w:rPr>
                <w:b/>
                <w:color w:val="1B2A41"/>
                <w:sz w:val="16"/>
              </w:rPr>
              <w:t>Potentially dangerous withdrawal</w:t>
            </w:r>
          </w:p>
        </w:tc>
      </w:tr>
    </w:tbl>
    <w:p>
      <w:pPr>
        <w:keepNext/>
      </w:pPr>
      <w:r>
        <w:rPr>
          <w:b/>
          <w:color w:val="1B2A41"/>
          <w:sz w:val="22"/>
        </w:rPr>
        <w:t>Question</w:t>
      </w:r>
    </w:p>
    <w:p>
      <w:pPr>
        <w:keepNext/>
      </w:pPr>
      <w:r>
        <w:rPr>
          <w:b/>
        </w:rPr>
        <w:t>A client who abruptly stopped daily sedative use reports tremors, sweating, agitation, and increasing confusion. What should the social worker do FIRST?</w:t>
      </w:r>
    </w:p>
    <w:p>
      <w:pPr>
        <w:pStyle w:val="Option"/>
        <w:keepNext/>
      </w:pPr>
      <w:r>
        <w:rPr>
          <w:b/>
        </w:rPr>
        <w:t xml:space="preserve">A. </w:t>
      </w:r>
      <w:r>
        <w:t>Complete a detailed motivational interview before contacting medical services.</w:t>
      </w:r>
    </w:p>
    <w:p>
      <w:pPr>
        <w:pStyle w:val="Option"/>
        <w:keepNext/>
      </w:pPr>
      <w:r>
        <w:rPr>
          <w:b/>
        </w:rPr>
        <w:t xml:space="preserve">B. </w:t>
      </w:r>
      <w:r>
        <w:t>Ask the client to rest in the waiting room until symptoms improve.</w:t>
      </w:r>
    </w:p>
    <w:p>
      <w:pPr>
        <w:pStyle w:val="Option"/>
        <w:keepNext/>
      </w:pPr>
      <w:r>
        <w:rPr>
          <w:b/>
        </w:rPr>
        <w:t xml:space="preserve">C. </w:t>
      </w:r>
      <w:r>
        <w:t>Recommend resuming the prior dose without medical consultation.</w:t>
      </w:r>
    </w:p>
    <w:p>
      <w:pPr>
        <w:pStyle w:val="Option"/>
        <w:keepNext/>
      </w:pPr>
      <w:r>
        <w:rPr>
          <w:b/>
        </w:rPr>
        <w:t xml:space="preserve">D. </w:t>
      </w:r>
      <w:r>
        <w:t>Activate urgent medical assessment or emergency procedures appropriate to the setting while gathering only the information needed for immediate safety.</w:t>
      </w:r>
    </w:p>
    <w:p>
      <w:r>
        <w:rPr>
          <w:b/>
          <w:color w:val="237852"/>
        </w:rPr>
        <w:t>Correct Answer: D</w:t>
      </w:r>
    </w:p>
    <w:p>
      <w:pPr>
        <w:keepNext/>
      </w:pPr>
      <w:r>
        <w:rPr>
          <w:b/>
          <w:color w:val="1B2A41"/>
          <w:sz w:val="22"/>
        </w:rPr>
        <w:t>Rationales</w:t>
      </w:r>
    </w:p>
    <w:p>
      <w:pPr>
        <w:pStyle w:val="Rationale"/>
      </w:pPr>
      <w:r>
        <w:rPr>
          <w:b/>
          <w:color w:val="A02D2D"/>
        </w:rPr>
        <w:t xml:space="preserve">A. </w:t>
      </w:r>
      <w:r>
        <w:t>Incorrect. Engagement is important but cannot delay urgent care.</w:t>
      </w:r>
    </w:p>
    <w:p>
      <w:pPr>
        <w:pStyle w:val="Rationale"/>
      </w:pPr>
      <w:r>
        <w:rPr>
          <w:b/>
          <w:color w:val="A02D2D"/>
        </w:rPr>
        <w:t xml:space="preserve">B. </w:t>
      </w:r>
      <w:r>
        <w:t>Incorrect. This may be unsafe.</w:t>
      </w:r>
    </w:p>
    <w:p>
      <w:pPr>
        <w:pStyle w:val="Rationale"/>
      </w:pPr>
      <w:r>
        <w:rPr>
          <w:b/>
          <w:color w:val="A02D2D"/>
        </w:rPr>
        <w:t xml:space="preserve">C. </w:t>
      </w:r>
      <w:r>
        <w:t>Incorrect. Directing medication or substance dosing is unsafe and outside the role.</w:t>
      </w:r>
    </w:p>
    <w:p>
      <w:pPr>
        <w:pStyle w:val="Rationale"/>
      </w:pPr>
      <w:r>
        <w:rPr>
          <w:b/>
          <w:color w:val="237852"/>
        </w:rPr>
        <w:t xml:space="preserve">D. </w:t>
      </w:r>
      <w:r>
        <w:t>Correct. The symptom cluster may indicate dangerous withdrawal and routine psychosocial assessment should not delay medical care.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consciousness, confusion, autonomic signs, or severe withdrawal are present, emergency medical response precedes routine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2556"/>
        <w:gridCol w:w="2556"/>
        <w:gridCol w:w="2556"/>
        <w:gridCol w:w="2556"/>
      </w:tblGrid>
      <w:tr>
        <w:trPr>
          <w:tblHeader w:val="true"/>
        </w:trPr>
        <w:tc>
          <w:tcPr>
            <w:tcW w:type="dxa" w:w="2376"/>
            <w:shd w:fill="DCEDEA"/>
            <w:tcMar>
              <w:top w:w="90" w:type="dxa"/>
              <w:start w:w="100" w:type="dxa"/>
              <w:bottom w:w="90" w:type="dxa"/>
              <w:end w:w="100" w:type="dxa"/>
            </w:tcMar>
            <w:vAlign w:val="center"/>
          </w:tcPr>
          <w:p>
            <w:pPr>
              <w:keepNext/>
              <w:jc w:val="center"/>
            </w:pPr>
            <w:r>
              <w:rPr>
                <w:b/>
                <w:color w:val="1B2A41"/>
                <w:sz w:val="16"/>
              </w:rPr>
              <w:t>Question ID</w:t>
            </w:r>
          </w:p>
        </w:tc>
        <w:tc>
          <w:tcPr>
            <w:tcW w:type="dxa" w:w="1728"/>
            <w:shd w:fill="DCEDEA"/>
            <w:tcMar>
              <w:top w:w="90" w:type="dxa"/>
              <w:start w:w="100" w:type="dxa"/>
              <w:bottom w:w="90" w:type="dxa"/>
              <w:end w:w="100" w:type="dxa"/>
            </w:tcMar>
            <w:vAlign w:val="center"/>
          </w:tcPr>
          <w:p>
            <w:pPr>
              <w:keepNext/>
              <w:jc w:val="center"/>
            </w:pPr>
            <w:r>
              <w:rPr>
                <w:b/>
                <w:color w:val="1B2A41"/>
                <w:sz w:val="16"/>
              </w:rPr>
              <w:t>Difficulty</w:t>
            </w:r>
          </w:p>
        </w:tc>
        <w:tc>
          <w:tcPr>
            <w:tcW w:type="dxa" w:w="2520"/>
            <w:shd w:fill="DCEDEA"/>
            <w:tcMar>
              <w:top w:w="90" w:type="dxa"/>
              <w:start w:w="100" w:type="dxa"/>
              <w:bottom w:w="90" w:type="dxa"/>
              <w:end w:w="100" w:type="dxa"/>
            </w:tcMar>
            <w:vAlign w:val="center"/>
          </w:tcPr>
          <w:p>
            <w:pPr>
              <w:keepNext/>
              <w:jc w:val="center"/>
            </w:pPr>
            <w:r>
              <w:rPr>
                <w:b/>
                <w:color w:val="1B2A41"/>
                <w:sz w:val="16"/>
              </w:rPr>
              <w:t>Question Type</w:t>
            </w:r>
          </w:p>
        </w:tc>
        <w:tc>
          <w:tcPr>
            <w:tcW w:type="dxa" w:w="3672"/>
            <w:shd w:fill="DCEDEA"/>
            <w:tcMar>
              <w:top w:w="90" w:type="dxa"/>
              <w:start w:w="100" w:type="dxa"/>
              <w:bottom w:w="90" w:type="dxa"/>
              <w:end w:w="100" w:type="dxa"/>
            </w:tcMar>
            <w:vAlign w:val="center"/>
          </w:tcPr>
          <w:p>
            <w:pPr>
              <w:keepNext/>
              <w:jc w:val="center"/>
            </w:pPr>
            <w:r>
              <w:rPr>
                <w:b/>
                <w:color w:val="1B2A41"/>
                <w:sz w:val="16"/>
              </w:rPr>
              <w:t>Primary Concept</w:t>
            </w:r>
          </w:p>
        </w:tc>
      </w:tr>
      <w:tr>
        <w:trPr>
          <w:cantSplit w:val="true"/>
        </w:trPr>
        <w:tc>
          <w:tcPr>
            <w:tcW w:type="dxa" w:w="2376"/>
            <w:tcMar>
              <w:top w:w="90" w:type="dxa"/>
              <w:start w:w="100" w:type="dxa"/>
              <w:bottom w:w="90" w:type="dxa"/>
              <w:end w:w="100" w:type="dxa"/>
            </w:tcMar>
            <w:vAlign w:val="top"/>
          </w:tcPr>
          <w:p>
            <w:pPr>
              <w:keepNext/>
              <w:jc w:val="center"/>
            </w:pPr>
            <w:r>
              <w:rPr>
                <w:b/>
                <w:color w:val="1B2A41"/>
                <w:sz w:val="16"/>
              </w:rPr>
              <w:t>LCSW-WB04-QB-Q017</w:t>
            </w:r>
          </w:p>
        </w:tc>
        <w:tc>
          <w:tcPr>
            <w:tcW w:type="dxa" w:w="1728"/>
            <w:tcMar>
              <w:top w:w="90" w:type="dxa"/>
              <w:start w:w="100" w:type="dxa"/>
              <w:bottom w:w="90" w:type="dxa"/>
              <w:end w:w="100" w:type="dxa"/>
            </w:tcMar>
            <w:vAlign w:val="top"/>
          </w:tcPr>
          <w:p>
            <w:pPr>
              <w:keepNext/>
              <w:jc w:val="center"/>
            </w:pPr>
            <w:r>
              <w:rPr>
                <w:b/>
                <w:color w:val="1B2A41"/>
                <w:sz w:val="16"/>
              </w:rPr>
              <w:t>Difficult</w:t>
            </w:r>
          </w:p>
        </w:tc>
        <w:tc>
          <w:tcPr>
            <w:tcW w:type="dxa" w:w="2520"/>
            <w:tcMar>
              <w:top w:w="90" w:type="dxa"/>
              <w:start w:w="100" w:type="dxa"/>
              <w:bottom w:w="90" w:type="dxa"/>
              <w:end w:w="100" w:type="dxa"/>
            </w:tcMar>
            <w:vAlign w:val="top"/>
          </w:tcPr>
          <w:p>
            <w:pPr>
              <w:keepNext/>
              <w:jc w:val="center"/>
            </w:pPr>
            <w:r>
              <w:rPr>
                <w:b/>
                <w:color w:val="1B2A41"/>
                <w:sz w:val="16"/>
              </w:rPr>
              <w:t>Integrated Clinical Reasoning</w:t>
            </w:r>
          </w:p>
        </w:tc>
        <w:tc>
          <w:tcPr>
            <w:tcW w:type="dxa" w:w="3672"/>
            <w:tcMar>
              <w:top w:w="90" w:type="dxa"/>
              <w:start w:w="100" w:type="dxa"/>
              <w:bottom w:w="90" w:type="dxa"/>
              <w:end w:w="100" w:type="dxa"/>
            </w:tcMar>
            <w:vAlign w:val="top"/>
          </w:tcPr>
          <w:p>
            <w:pPr>
              <w:keepNext/>
              <w:jc w:val="center"/>
            </w:pPr>
            <w:r>
              <w:rPr>
                <w:b/>
                <w:color w:val="1B2A41"/>
                <w:sz w:val="16"/>
              </w:rPr>
              <w:t>Integrated person-in-environment priority setting</w:t>
            </w:r>
          </w:p>
        </w:tc>
      </w:tr>
    </w:tbl>
    <w:p>
      <w:pPr>
        <w:keepNext/>
      </w:pPr>
      <w:r>
        <w:rPr>
          <w:b/>
          <w:color w:val="1B2A41"/>
          <w:sz w:val="22"/>
        </w:rPr>
        <w:t>Question</w:t>
      </w:r>
    </w:p>
    <w:p>
      <w:pPr>
        <w:keepNext/>
      </w:pPr>
      <w:r>
        <w:rPr>
          <w:b/>
        </w:rPr>
        <w:t>A veteran seeks help for panic, insomnia, missed diabetes care, escalating alcohol use, and an eviction notice. The client distrusts agencies and asks only for housing help. What is the BEST initial plan?</w:t>
      </w:r>
    </w:p>
    <w:p>
      <w:pPr>
        <w:pStyle w:val="Option"/>
        <w:keepNext/>
      </w:pPr>
      <w:r>
        <w:rPr>
          <w:b/>
        </w:rPr>
        <w:t xml:space="preserve">A. </w:t>
      </w:r>
      <w:r>
        <w:t>Acknowledge the housing priority, assess immediate safety and medical or withdrawal urgency, clarify symptoms and functioning, identify strengths and supports, and collaborate on an accessible housing and health-care coordination plan while respecting readiness for behavioral-health treatment.</w:t>
      </w:r>
    </w:p>
    <w:p>
      <w:pPr>
        <w:pStyle w:val="Option"/>
        <w:keepNext/>
      </w:pPr>
      <w:r>
        <w:rPr>
          <w:b/>
        </w:rPr>
        <w:t xml:space="preserve">B. </w:t>
      </w:r>
      <w:r>
        <w:t>Require trauma treatment before providing housing assistance.</w:t>
      </w:r>
    </w:p>
    <w:p>
      <w:pPr>
        <w:pStyle w:val="Option"/>
        <w:keepNext/>
      </w:pPr>
      <w:r>
        <w:rPr>
          <w:b/>
        </w:rPr>
        <w:t xml:space="preserve">C. </w:t>
      </w:r>
      <w:r>
        <w:t>Provide a housing list and defer all health and safety assessment.</w:t>
      </w:r>
    </w:p>
    <w:p>
      <w:r>
        <w:rPr>
          <w:b/>
          <w:color w:val="237852"/>
        </w:rPr>
        <w:t>Correct Answer: A</w:t>
      </w:r>
    </w:p>
    <w:p>
      <w:pPr>
        <w:keepNext/>
      </w:pPr>
      <w:r>
        <w:rPr>
          <w:b/>
          <w:color w:val="1B2A41"/>
          <w:sz w:val="22"/>
        </w:rPr>
        <w:t>Rationales</w:t>
      </w:r>
    </w:p>
    <w:p>
      <w:pPr>
        <w:pStyle w:val="Rationale"/>
      </w:pPr>
      <w:r>
        <w:rPr>
          <w:b/>
          <w:color w:val="237852"/>
        </w:rPr>
        <w:t xml:space="preserve">A. </w:t>
      </w:r>
      <w:r>
        <w:t>Correct. The response integrates the client-defined priority with health, substance, mental-health, and system barriers without forcing a single-service agenda.</w:t>
      </w:r>
    </w:p>
    <w:p>
      <w:pPr>
        <w:pStyle w:val="Rationale"/>
      </w:pPr>
      <w:r>
        <w:rPr>
          <w:b/>
          <w:color w:val="A02D2D"/>
        </w:rPr>
        <w:t xml:space="preserve">B. </w:t>
      </w:r>
      <w:r>
        <w:t>Incorrect. This ignores the immediate client-defined need and may undermine engagement.</w:t>
      </w:r>
    </w:p>
    <w:p>
      <w:pPr>
        <w:pStyle w:val="Rationale"/>
      </w:pPr>
      <w:r>
        <w:rPr>
          <w:b/>
          <w:color w:val="A02D2D"/>
        </w:rPr>
        <w:t xml:space="preserve">C. </w:t>
      </w:r>
      <w:r>
        <w:t>Incorrect. A list alone may not be usable, and urgent health or substance risks cannot be ignored.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Start with the client's stated priority while screening for urgent risk and building a coordinated, usable plan.</w:t>
            </w:r>
          </w:p>
        </w:tc>
      </w:tr>
    </w:tbl>
    <w:p/>
    <w:p>
      <w:r>
        <w:br w:type="page"/>
      </w:r>
    </w:p>
    <w:p>
      <w:pPr>
        <w:pStyle w:val="Heading1"/>
      </w:pPr>
      <w:r>
        <w:t>Final Quality-Control Summary</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240"/>
            <w:shd w:fill="DCEDEA"/>
            <w:tcMar>
              <w:top w:w="90" w:type="dxa"/>
              <w:start w:w="100" w:type="dxa"/>
              <w:bottom w:w="90" w:type="dxa"/>
              <w:end w:w="100" w:type="dxa"/>
            </w:tcMar>
            <w:vAlign w:val="center"/>
          </w:tcPr>
          <w:p>
            <w:pPr>
              <w:jc w:val="center"/>
            </w:pPr>
            <w:r>
              <w:rPr>
                <w:b/>
                <w:color w:val="1B2A41"/>
                <w:sz w:val="17"/>
              </w:rPr>
              <w:t>Quality-Control Area</w:t>
            </w:r>
          </w:p>
        </w:tc>
        <w:tc>
          <w:tcPr>
            <w:tcW w:type="dxa" w:w="6984"/>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240"/>
            <w:tcMar>
              <w:top w:w="90" w:type="dxa"/>
              <w:start w:w="100" w:type="dxa"/>
              <w:bottom w:w="90" w:type="dxa"/>
              <w:end w:w="100" w:type="dxa"/>
            </w:tcMar>
            <w:vAlign w:val="top"/>
          </w:tcPr>
          <w:p>
            <w:r>
              <w:rPr>
                <w:sz w:val="17"/>
              </w:rPr>
              <w:t>Question count</w:t>
            </w:r>
          </w:p>
        </w:tc>
        <w:tc>
          <w:tcPr>
            <w:tcW w:type="dxa" w:w="6984"/>
            <w:tcMar>
              <w:top w:w="90" w:type="dxa"/>
              <w:start w:w="100" w:type="dxa"/>
              <w:bottom w:w="90" w:type="dxa"/>
              <w:end w:w="100" w:type="dxa"/>
            </w:tcMar>
            <w:vAlign w:val="top"/>
          </w:tcPr>
          <w:p>
            <w:r>
              <w:rPr>
                <w:sz w:val="17"/>
              </w:rPr>
              <w:t>17 unique questions</w:t>
            </w:r>
          </w:p>
        </w:tc>
      </w:tr>
      <w:tr>
        <w:trPr>
          <w:cantSplit w:val="true"/>
        </w:trPr>
        <w:tc>
          <w:tcPr>
            <w:tcW w:type="dxa" w:w="3240"/>
            <w:tcMar>
              <w:top w:w="90" w:type="dxa"/>
              <w:start w:w="100" w:type="dxa"/>
              <w:bottom w:w="90" w:type="dxa"/>
              <w:end w:w="100" w:type="dxa"/>
            </w:tcMar>
            <w:vAlign w:val="top"/>
          </w:tcPr>
          <w:p>
            <w:r>
              <w:rPr>
                <w:sz w:val="17"/>
              </w:rPr>
              <w:t>Difficulty balance</w:t>
            </w:r>
          </w:p>
        </w:tc>
        <w:tc>
          <w:tcPr>
            <w:tcW w:type="dxa" w:w="6984"/>
            <w:tcMar>
              <w:top w:w="90" w:type="dxa"/>
              <w:start w:w="100" w:type="dxa"/>
              <w:bottom w:w="90" w:type="dxa"/>
              <w:end w:w="100" w:type="dxa"/>
            </w:tcMar>
            <w:vAlign w:val="top"/>
          </w:tcPr>
          <w:p>
            <w:r>
              <w:rPr>
                <w:sz w:val="17"/>
              </w:rPr>
              <w:t>5 Easy | 7 Moderate | 5 Difficult</w:t>
            </w:r>
          </w:p>
        </w:tc>
      </w:tr>
      <w:tr>
        <w:trPr>
          <w:cantSplit w:val="true"/>
        </w:trPr>
        <w:tc>
          <w:tcPr>
            <w:tcW w:type="dxa" w:w="3240"/>
            <w:tcMar>
              <w:top w:w="90" w:type="dxa"/>
              <w:start w:w="100" w:type="dxa"/>
              <w:bottom w:w="90" w:type="dxa"/>
              <w:end w:w="100" w:type="dxa"/>
            </w:tcMar>
            <w:vAlign w:val="top"/>
          </w:tcPr>
          <w:p>
            <w:r>
              <w:rPr>
                <w:sz w:val="17"/>
              </w:rPr>
              <w:t>Answer balance</w:t>
            </w:r>
          </w:p>
        </w:tc>
        <w:tc>
          <w:tcPr>
            <w:tcW w:type="dxa" w:w="6984"/>
            <w:tcMar>
              <w:top w:w="90" w:type="dxa"/>
              <w:start w:w="100" w:type="dxa"/>
              <w:bottom w:w="90" w:type="dxa"/>
              <w:end w:w="100" w:type="dxa"/>
            </w:tcMar>
            <w:vAlign w:val="top"/>
          </w:tcPr>
          <w:p>
            <w:r>
              <w:rPr>
                <w:sz w:val="17"/>
              </w:rPr>
              <w:t>A=5 | B=4 | C=4 | D=4</w:t>
            </w:r>
          </w:p>
        </w:tc>
      </w:tr>
      <w:tr>
        <w:trPr>
          <w:cantSplit w:val="true"/>
        </w:trPr>
        <w:tc>
          <w:tcPr>
            <w:tcW w:type="dxa" w:w="3240"/>
            <w:tcMar>
              <w:top w:w="90" w:type="dxa"/>
              <w:start w:w="100" w:type="dxa"/>
              <w:bottom w:w="90" w:type="dxa"/>
              <w:end w:w="100" w:type="dxa"/>
            </w:tcMar>
            <w:vAlign w:val="top"/>
          </w:tcPr>
          <w:p>
            <w:r>
              <w:rPr>
                <w:sz w:val="17"/>
              </w:rPr>
              <w:t>Rationales</w:t>
            </w:r>
          </w:p>
        </w:tc>
        <w:tc>
          <w:tcPr>
            <w:tcW w:type="dxa" w:w="6984"/>
            <w:tcMar>
              <w:top w:w="90" w:type="dxa"/>
              <w:start w:w="100" w:type="dxa"/>
              <w:bottom w:w="90" w:type="dxa"/>
              <w:end w:w="100" w:type="dxa"/>
            </w:tcMar>
            <w:vAlign w:val="top"/>
          </w:tcPr>
          <w:p>
            <w:r>
              <w:rPr>
                <w:sz w:val="17"/>
              </w:rPr>
              <w:t>Complete rationale for every presented option</w:t>
            </w:r>
          </w:p>
        </w:tc>
      </w:tr>
      <w:tr>
        <w:trPr>
          <w:cantSplit w:val="true"/>
        </w:trPr>
        <w:tc>
          <w:tcPr>
            <w:tcW w:type="dxa" w:w="3240"/>
            <w:tcMar>
              <w:top w:w="90" w:type="dxa"/>
              <w:start w:w="100" w:type="dxa"/>
              <w:bottom w:w="90" w:type="dxa"/>
              <w:end w:w="100" w:type="dxa"/>
            </w:tcMar>
            <w:vAlign w:val="top"/>
          </w:tcPr>
          <w:p>
            <w:r>
              <w:rPr>
                <w:sz w:val="17"/>
              </w:rPr>
              <w:t>Exam strategy</w:t>
            </w:r>
          </w:p>
        </w:tc>
        <w:tc>
          <w:tcPr>
            <w:tcW w:type="dxa" w:w="6984"/>
            <w:tcMar>
              <w:top w:w="90" w:type="dxa"/>
              <w:start w:w="100" w:type="dxa"/>
              <w:bottom w:w="90" w:type="dxa"/>
              <w:end w:w="100" w:type="dxa"/>
            </w:tcMar>
            <w:vAlign w:val="top"/>
          </w:tcPr>
          <w:p>
            <w:r>
              <w:rPr>
                <w:sz w:val="17"/>
              </w:rPr>
              <w:t>Included for every question</w:t>
            </w:r>
          </w:p>
        </w:tc>
      </w:tr>
      <w:tr>
        <w:trPr>
          <w:cantSplit w:val="true"/>
        </w:trPr>
        <w:tc>
          <w:tcPr>
            <w:tcW w:type="dxa" w:w="3240"/>
            <w:tcMar>
              <w:top w:w="90" w:type="dxa"/>
              <w:start w:w="100" w:type="dxa"/>
              <w:bottom w:w="90" w:type="dxa"/>
              <w:end w:w="100" w:type="dxa"/>
            </w:tcMar>
            <w:vAlign w:val="top"/>
          </w:tcPr>
          <w:p>
            <w:r>
              <w:rPr>
                <w:sz w:val="17"/>
              </w:rPr>
              <w:t>Originality</w:t>
            </w:r>
          </w:p>
        </w:tc>
        <w:tc>
          <w:tcPr>
            <w:tcW w:type="dxa" w:w="6984"/>
            <w:tcMar>
              <w:top w:w="90" w:type="dxa"/>
              <w:start w:w="100" w:type="dxa"/>
              <w:bottom w:w="90" w:type="dxa"/>
              <w:end w:w="100" w:type="dxa"/>
            </w:tcMar>
            <w:vAlign w:val="top"/>
          </w:tcPr>
          <w:p>
            <w:r>
              <w:rPr>
                <w:sz w:val="17"/>
              </w:rPr>
              <w:t>Original CTA items; no official or third-party sample question is reproduced</w:t>
            </w:r>
          </w:p>
        </w:tc>
      </w:tr>
      <w:tr>
        <w:trPr>
          <w:cantSplit w:val="true"/>
        </w:trPr>
        <w:tc>
          <w:tcPr>
            <w:tcW w:type="dxa" w:w="3240"/>
            <w:tcMar>
              <w:top w:w="90" w:type="dxa"/>
              <w:start w:w="100" w:type="dxa"/>
              <w:bottom w:w="90" w:type="dxa"/>
              <w:end w:w="100" w:type="dxa"/>
            </w:tcMar>
            <w:vAlign w:val="top"/>
          </w:tcPr>
          <w:p>
            <w:r>
              <w:rPr>
                <w:sz w:val="17"/>
              </w:rPr>
              <w:t>Workbook alignment</w:t>
            </w:r>
          </w:p>
        </w:tc>
        <w:tc>
          <w:tcPr>
            <w:tcW w:type="dxa" w:w="6984"/>
            <w:tcMar>
              <w:top w:w="90" w:type="dxa"/>
              <w:start w:w="100" w:type="dxa"/>
              <w:bottom w:w="90" w:type="dxa"/>
              <w:end w:w="100" w:type="dxa"/>
            </w:tcMar>
            <w:vAlign w:val="top"/>
          </w:tcPr>
          <w:p>
            <w:r>
              <w:rPr>
                <w:sz w:val="17"/>
              </w:rPr>
              <w:t>All items assess the concepts and reasoning taught in LCSW Workbook 4</w:t>
            </w:r>
          </w:p>
        </w:tc>
      </w:tr>
      <w:tr>
        <w:trPr>
          <w:cantSplit w:val="true"/>
        </w:trPr>
        <w:tc>
          <w:tcPr>
            <w:tcW w:type="dxa" w:w="3240"/>
            <w:tcMar>
              <w:top w:w="90" w:type="dxa"/>
              <w:start w:w="100" w:type="dxa"/>
              <w:bottom w:w="90" w:type="dxa"/>
              <w:end w:w="100" w:type="dxa"/>
            </w:tcMar>
            <w:vAlign w:val="top"/>
          </w:tcPr>
          <w:p>
            <w:r>
              <w:rPr>
                <w:sz w:val="17"/>
              </w:rPr>
              <w:t>Comprehensive exams</w:t>
            </w:r>
          </w:p>
        </w:tc>
        <w:tc>
          <w:tcPr>
            <w:tcW w:type="dxa" w:w="6984"/>
            <w:tcMar>
              <w:top w:w="90" w:type="dxa"/>
              <w:start w:w="100" w:type="dxa"/>
              <w:bottom w:w="90" w:type="dxa"/>
              <w:end w:w="100" w:type="dxa"/>
            </w:tcMar>
            <w:vAlign w:val="top"/>
          </w:tcPr>
          <w:p>
            <w:r>
              <w:rPr>
                <w:sz w:val="17"/>
              </w:rPr>
              <w:t>Larger comprehensive simulations will be developed separately from the official examination blueprint and will not merely combine workbook banks</w:t>
            </w:r>
          </w:p>
        </w:tc>
      </w:tr>
    </w:tbl>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EAF4F2"/>
            <w:tcMar>
              <w:top w:w="130" w:type="dxa"/>
              <w:start w:w="150" w:type="dxa"/>
              <w:bottom w:w="130" w:type="dxa"/>
              <w:end w:w="150" w:type="dxa"/>
            </w:tcMar>
          </w:tcPr>
          <w:p>
            <w:r>
              <w:rPr>
                <w:b/>
                <w:color w:val="1B2A41"/>
                <w:sz w:val="21"/>
              </w:rPr>
              <w:t>Currency Note</w:t>
              <w:br/>
            </w:r>
            <w:r>
              <w:rPr>
                <w:sz w:val="19"/>
              </w:rPr>
              <w:t>Examination outlines, laws, standards, and professional guidance may change. Re-audit against current official sources before future publication or use after a material change.</w:t>
            </w:r>
          </w:p>
        </w:tc>
      </w:tr>
    </w:tbl>
    <w:p/>
    <w:sectPr w:rsidR="00FC693F" w:rsidRPr="0006063C" w:rsidSect="00034616">
      <w:headerReference w:type="default" r:id="rId9"/>
      <w:footerReference w:type="default" r:id="rId10"/>
      <w:headerReference w:type="first" r:id="rId11"/>
      <w:footerReference w:type="first" r:id="rId12"/>
      <w:pgSz w:w="12240" w:h="15840"/>
      <w:pgMar w:top="907" w:right="1008" w:bottom="835" w:left="1008"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CTA LCSW Workbook 4 Question Bank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Workbook 4 Question Bank</dc:title>
  <dc:subject>LCSW Workbook 4 seventeen-question clinical examination question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