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87552" cy="713848"/>
            <wp:docPr id="1" name="Picture 1" descr="Clinical Training Academy logo" title="Clinical Training Academy logo"/>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987552" cy="713848"/>
                    </a:xfrm>
                    <a:prstGeom prst="rect"/>
                  </pic:spPr>
                </pic:pic>
              </a:graphicData>
            </a:graphic>
          </wp:inline>
        </w:drawing>
      </w:r>
    </w:p>
    <w:p>
      <w:pPr>
        <w:jc w:val="center"/>
      </w:pPr>
      <w:r>
        <w:rPr>
          <w:b/>
          <w:color w:val="2A9D8F"/>
          <w:sz w:val="22"/>
        </w:rPr>
        <w:t>LCSW CLINICAL EXAM PREPARATION PROGRAM</w:t>
      </w:r>
    </w:p>
    <w:p>
      <w:pPr>
        <w:pStyle w:val="Title"/>
        <w:jc w:val="center"/>
      </w:pPr>
      <w:r>
        <w:t>LCSW Clinical Question Bank</w:t>
      </w:r>
    </w:p>
    <w:p>
      <w:pPr>
        <w:pStyle w:val="Subtitle"/>
        <w:jc w:val="center"/>
      </w:pPr>
      <w:r>
        <w:t>Workbook 6: Crisis, Abuse, and Risk Assessment</w:t>
      </w:r>
    </w:p>
    <w:p>
      <w:pPr>
        <w:jc w:val="center"/>
      </w:pPr>
      <w:r>
        <w:rPr>
          <w:b/>
          <w:color w:val="1B2A41"/>
          <w:sz w:val="22"/>
        </w:rPr>
        <w:t>17 QUESTIONS WITH COMPLETE RATIONALES AND EXAM STRATEGIES</w:t>
      </w:r>
    </w:p>
    <w:p/>
    <w:p>
      <w:pPr>
        <w:jc w:val="center"/>
      </w:pPr>
      <w:r>
        <w:rPr>
          <w:color w:val="696969"/>
          <w:sz w:val="20"/>
        </w:rPr>
        <w:t>Version 1.0 • July 2026</w:t>
      </w:r>
    </w:p>
    <w:p>
      <w:pPr>
        <w:jc w:val="center"/>
      </w:pPr>
      <w:r>
        <w:rPr>
          <w:b/>
          <w:color w:val="1B2A41"/>
          <w:sz w:val="24"/>
        </w:rPr>
        <w:t>Clinical Training Academy</w:t>
      </w:r>
    </w:p>
    <w:p>
      <w:r>
        <w:br w:type="page"/>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EAF4F2"/>
            <w:tcMar>
              <w:top w:w="130" w:type="dxa"/>
              <w:start w:w="150" w:type="dxa"/>
              <w:bottom w:w="130" w:type="dxa"/>
              <w:end w:w="150" w:type="dxa"/>
            </w:tcMar>
          </w:tcPr>
          <w:p>
            <w:r>
              <w:rPr>
                <w:b/>
                <w:color w:val="1B2A41"/>
                <w:sz w:val="21"/>
              </w:rPr>
              <w:t>Publication and Use Notice</w:t>
              <w:br/>
            </w:r>
            <w:r>
              <w:rPr>
                <w:sz w:val="19"/>
              </w:rPr>
              <w:t>This original Clinical Training Academy resource is designed for licensing-examination preparation and professional education. It is not an official licensing examination, is not affiliated with or endorsed by a licensing or testing organization, and does not replace emergency services, current law, professional standards, qualified consultation, supervision, or case-specific clinical and legal judgment.</w:t>
            </w:r>
          </w:p>
        </w:tc>
      </w:tr>
    </w:tbl>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EAF4F2"/>
            <w:tcMar>
              <w:top w:w="130" w:type="dxa"/>
              <w:start w:w="150" w:type="dxa"/>
              <w:bottom w:w="130" w:type="dxa"/>
              <w:end w:w="150" w:type="dxa"/>
            </w:tcMar>
          </w:tcPr>
          <w:p>
            <w:r>
              <w:rPr>
                <w:b/>
                <w:color w:val="1B2A41"/>
                <w:sz w:val="21"/>
              </w:rPr>
              <w:t>National Examination Notice</w:t>
              <w:br/>
            </w:r>
            <w:r>
              <w:rPr>
                <w:sz w:val="19"/>
              </w:rPr>
              <w:t>The ASWB examination is national. Unless an item supplies a jurisdiction or legal rule, do not import California-specific reporting, duty-to-protect, or involuntary-treatment procedures. Use the law stated in the item and jurisdiction-neutral ethical clinical sequencing.</w:t>
            </w:r>
          </w:p>
        </w:tc>
      </w:tr>
    </w:tbl>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EAF4F2"/>
            <w:tcMar>
              <w:top w:w="130" w:type="dxa"/>
              <w:start w:w="150" w:type="dxa"/>
              <w:bottom w:w="130" w:type="dxa"/>
              <w:end w:w="150" w:type="dxa"/>
            </w:tcMar>
          </w:tcPr>
          <w:p>
            <w:r>
              <w:rPr>
                <w:b/>
                <w:color w:val="1B2A41"/>
                <w:sz w:val="21"/>
              </w:rPr>
              <w:t>Question Bank Structure</w:t>
              <w:br/>
            </w:r>
            <w:r>
              <w:rPr>
                <w:sz w:val="19"/>
              </w:rPr>
              <w:t>This workbook question bank contains 17 questions: 5 Easy, 7 Moderate, and 5 Difficult. Question type and difficulty are separate classifications. Every item includes one best answer, complete option-by-option rationales, and a CTA exam strategy.</w:t>
            </w:r>
          </w:p>
        </w:tc>
      </w:tr>
    </w:tbl>
    <w:p/>
    <w:p>
      <w:pPr>
        <w:pStyle w:val="Heading1"/>
      </w:pPr>
      <w:r>
        <w:t>Question Bank Blueprint</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3240"/>
            <w:shd w:fill="DCEDEA"/>
            <w:tcMar>
              <w:top w:w="90" w:type="dxa"/>
              <w:start w:w="100" w:type="dxa"/>
              <w:bottom w:w="90" w:type="dxa"/>
              <w:end w:w="100" w:type="dxa"/>
            </w:tcMar>
            <w:vAlign w:val="center"/>
          </w:tcPr>
          <w:p>
            <w:pPr>
              <w:jc w:val="center"/>
            </w:pPr>
            <w:r>
              <w:rPr>
                <w:b/>
                <w:color w:val="1B2A41"/>
                <w:sz w:val="17"/>
              </w:rPr>
              <w:t>Control</w:t>
            </w:r>
          </w:p>
        </w:tc>
        <w:tc>
          <w:tcPr>
            <w:tcW w:type="dxa" w:w="6984"/>
            <w:shd w:fill="DCEDEA"/>
            <w:tcMar>
              <w:top w:w="90" w:type="dxa"/>
              <w:start w:w="100" w:type="dxa"/>
              <w:bottom w:w="90" w:type="dxa"/>
              <w:end w:w="100" w:type="dxa"/>
            </w:tcMar>
            <w:vAlign w:val="center"/>
          </w:tcPr>
          <w:p>
            <w:pPr>
              <w:jc w:val="center"/>
            </w:pPr>
            <w:r>
              <w:rPr>
                <w:b/>
                <w:color w:val="1B2A41"/>
                <w:sz w:val="17"/>
              </w:rPr>
              <w:t>Final Design</w:t>
            </w:r>
          </w:p>
        </w:tc>
      </w:tr>
      <w:tr>
        <w:trPr>
          <w:cantSplit w:val="true"/>
        </w:trPr>
        <w:tc>
          <w:tcPr>
            <w:tcW w:type="dxa" w:w="3240"/>
            <w:tcMar>
              <w:top w:w="90" w:type="dxa"/>
              <w:start w:w="100" w:type="dxa"/>
              <w:bottom w:w="90" w:type="dxa"/>
              <w:end w:w="100" w:type="dxa"/>
            </w:tcMar>
            <w:vAlign w:val="top"/>
          </w:tcPr>
          <w:p>
            <w:r>
              <w:rPr>
                <w:sz w:val="17"/>
              </w:rPr>
              <w:t>Total questions</w:t>
            </w:r>
          </w:p>
        </w:tc>
        <w:tc>
          <w:tcPr>
            <w:tcW w:type="dxa" w:w="6984"/>
            <w:tcMar>
              <w:top w:w="90" w:type="dxa"/>
              <w:start w:w="100" w:type="dxa"/>
              <w:bottom w:w="90" w:type="dxa"/>
              <w:end w:w="100" w:type="dxa"/>
            </w:tcMar>
            <w:vAlign w:val="top"/>
          </w:tcPr>
          <w:p>
            <w:r>
              <w:rPr>
                <w:sz w:val="17"/>
              </w:rPr>
              <w:t>17</w:t>
            </w:r>
          </w:p>
        </w:tc>
      </w:tr>
      <w:tr>
        <w:trPr>
          <w:cantSplit w:val="true"/>
        </w:trPr>
        <w:tc>
          <w:tcPr>
            <w:tcW w:type="dxa" w:w="3240"/>
            <w:tcMar>
              <w:top w:w="90" w:type="dxa"/>
              <w:start w:w="100" w:type="dxa"/>
              <w:bottom w:w="90" w:type="dxa"/>
              <w:end w:w="100" w:type="dxa"/>
            </w:tcMar>
            <w:vAlign w:val="top"/>
          </w:tcPr>
          <w:p>
            <w:r>
              <w:rPr>
                <w:sz w:val="17"/>
              </w:rPr>
              <w:t>Difficulty distribution</w:t>
            </w:r>
          </w:p>
        </w:tc>
        <w:tc>
          <w:tcPr>
            <w:tcW w:type="dxa" w:w="6984"/>
            <w:tcMar>
              <w:top w:w="90" w:type="dxa"/>
              <w:start w:w="100" w:type="dxa"/>
              <w:bottom w:w="90" w:type="dxa"/>
              <w:end w:w="100" w:type="dxa"/>
            </w:tcMar>
            <w:vAlign w:val="top"/>
          </w:tcPr>
          <w:p>
            <w:r>
              <w:rPr>
                <w:sz w:val="17"/>
              </w:rPr>
              <w:t>Easy: 5 | Moderate: 7 | Difficult: 5</w:t>
            </w:r>
          </w:p>
        </w:tc>
      </w:tr>
      <w:tr>
        <w:trPr>
          <w:cantSplit w:val="true"/>
        </w:trPr>
        <w:tc>
          <w:tcPr>
            <w:tcW w:type="dxa" w:w="3240"/>
            <w:tcMar>
              <w:top w:w="90" w:type="dxa"/>
              <w:start w:w="100" w:type="dxa"/>
              <w:bottom w:w="90" w:type="dxa"/>
              <w:end w:w="100" w:type="dxa"/>
            </w:tcMar>
            <w:vAlign w:val="top"/>
          </w:tcPr>
          <w:p>
            <w:r>
              <w:rPr>
                <w:sz w:val="17"/>
              </w:rPr>
              <w:t>Question-type distribution</w:t>
            </w:r>
          </w:p>
        </w:tc>
        <w:tc>
          <w:tcPr>
            <w:tcW w:type="dxa" w:w="6984"/>
            <w:tcMar>
              <w:top w:w="90" w:type="dxa"/>
              <w:start w:w="100" w:type="dxa"/>
              <w:bottom w:w="90" w:type="dxa"/>
              <w:end w:w="100" w:type="dxa"/>
            </w:tcMar>
            <w:vAlign w:val="top"/>
          </w:tcPr>
          <w:p>
            <w:r>
              <w:rPr>
                <w:sz w:val="17"/>
              </w:rPr>
              <w:t>Application: 4 | Integrated Clinical Reasoning: 5 | Knowledge &amp; Recall: 3 | Scenario-Based: 5</w:t>
            </w:r>
          </w:p>
        </w:tc>
      </w:tr>
      <w:tr>
        <w:trPr>
          <w:cantSplit w:val="true"/>
        </w:trPr>
        <w:tc>
          <w:tcPr>
            <w:tcW w:type="dxa" w:w="3240"/>
            <w:tcMar>
              <w:top w:w="90" w:type="dxa"/>
              <w:start w:w="100" w:type="dxa"/>
              <w:bottom w:w="90" w:type="dxa"/>
              <w:end w:w="100" w:type="dxa"/>
            </w:tcMar>
            <w:vAlign w:val="top"/>
          </w:tcPr>
          <w:p>
            <w:r>
              <w:rPr>
                <w:sz w:val="17"/>
              </w:rPr>
              <w:t>Answer distribution</w:t>
            </w:r>
          </w:p>
        </w:tc>
        <w:tc>
          <w:tcPr>
            <w:tcW w:type="dxa" w:w="6984"/>
            <w:tcMar>
              <w:top w:w="90" w:type="dxa"/>
              <w:start w:w="100" w:type="dxa"/>
              <w:bottom w:w="90" w:type="dxa"/>
              <w:end w:w="100" w:type="dxa"/>
            </w:tcMar>
            <w:vAlign w:val="top"/>
          </w:tcPr>
          <w:p>
            <w:r>
              <w:rPr>
                <w:sz w:val="17"/>
              </w:rPr>
              <w:t>A: 5 | B: 4 | C: 4 | D: 4</w:t>
            </w:r>
          </w:p>
        </w:tc>
      </w:tr>
      <w:tr>
        <w:trPr>
          <w:cantSplit w:val="true"/>
        </w:trPr>
        <w:tc>
          <w:tcPr>
            <w:tcW w:type="dxa" w:w="3240"/>
            <w:tcMar>
              <w:top w:w="90" w:type="dxa"/>
              <w:start w:w="100" w:type="dxa"/>
              <w:bottom w:w="90" w:type="dxa"/>
              <w:end w:w="100" w:type="dxa"/>
            </w:tcMar>
            <w:vAlign w:val="top"/>
          </w:tcPr>
          <w:p>
            <w:r>
              <w:rPr>
                <w:sz w:val="17"/>
              </w:rPr>
              <w:t>Option format</w:t>
            </w:r>
          </w:p>
        </w:tc>
        <w:tc>
          <w:tcPr>
            <w:tcW w:type="dxa" w:w="6984"/>
            <w:tcMar>
              <w:top w:w="90" w:type="dxa"/>
              <w:start w:w="100" w:type="dxa"/>
              <w:bottom w:w="90" w:type="dxa"/>
              <w:end w:w="100" w:type="dxa"/>
            </w:tcMar>
            <w:vAlign w:val="top"/>
          </w:tcPr>
          <w:p>
            <w:r>
              <w:rPr>
                <w:sz w:val="17"/>
              </w:rPr>
              <w:t>10 three-option questions | 7 four-option questions</w:t>
            </w:r>
          </w:p>
        </w:tc>
      </w:tr>
      <w:tr>
        <w:trPr>
          <w:cantSplit w:val="true"/>
        </w:trPr>
        <w:tc>
          <w:tcPr>
            <w:tcW w:type="dxa" w:w="3240"/>
            <w:tcMar>
              <w:top w:w="90" w:type="dxa"/>
              <w:start w:w="100" w:type="dxa"/>
              <w:bottom w:w="90" w:type="dxa"/>
              <w:end w:w="100" w:type="dxa"/>
            </w:tcMar>
            <w:vAlign w:val="top"/>
          </w:tcPr>
          <w:p>
            <w:r>
              <w:rPr>
                <w:sz w:val="17"/>
              </w:rPr>
              <w:t>Production scope</w:t>
            </w:r>
          </w:p>
        </w:tc>
        <w:tc>
          <w:tcPr>
            <w:tcW w:type="dxa" w:w="6984"/>
            <w:tcMar>
              <w:top w:w="90" w:type="dxa"/>
              <w:start w:w="100" w:type="dxa"/>
              <w:bottom w:w="90" w:type="dxa"/>
              <w:end w:w="100" w:type="dxa"/>
            </w:tcMar>
            <w:vAlign w:val="top"/>
          </w:tcPr>
          <w:p>
            <w:r>
              <w:rPr>
                <w:sz w:val="17"/>
              </w:rPr>
              <w:t>Exactly 17 workbook-aligned questions; no additional student-facing workbook exam created</w:t>
            </w:r>
          </w:p>
        </w:tc>
      </w:tr>
    </w:tbl>
    <w:p>
      <w:pPr>
        <w:pStyle w:val="Heading1"/>
      </w:pPr>
      <w:r>
        <w:t>How to Use This Question Bank</w:t>
      </w:r>
    </w:p>
    <w:p>
      <w:pPr>
        <w:pStyle w:val="ListBullet"/>
      </w:pPr>
      <w:r>
        <w:t>Work through one difficulty section at a time or complete all 17 questions as a mixed review.</w:t>
      </w:r>
    </w:p>
    <w:p>
      <w:pPr>
        <w:pStyle w:val="ListBullet"/>
      </w:pPr>
      <w:r>
        <w:t>Cover the answer and rationale area before choosing your response.</w:t>
      </w:r>
    </w:p>
    <w:p>
      <w:pPr>
        <w:pStyle w:val="ListBullet"/>
      </w:pPr>
      <w:r>
        <w:t>After answering, study whether the item required more assessment or whether the facts already required immediate action.</w:t>
      </w:r>
    </w:p>
    <w:p>
      <w:pPr>
        <w:pStyle w:val="ListBullet"/>
      </w:pPr>
      <w:r>
        <w:t>Record both incorrect answers and low-confidence correct answers in your study notes.</w:t>
      </w:r>
    </w:p>
    <w:p>
      <w:r>
        <w:br w:type="page"/>
      </w:r>
    </w:p>
    <w:p>
      <w:pPr>
        <w:pStyle w:val="Heading1"/>
      </w:pPr>
      <w:r>
        <w:t>Easy Questions</w:t>
      </w:r>
    </w:p>
    <w:p>
      <w:r>
        <w:rPr>
          <w:i/>
          <w:color w:val="696969"/>
        </w:rPr>
        <w:t>5 questions | Foundational distinctions and direct applications.</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LCSW-WB06-QB-Q001</w:t>
            </w:r>
          </w:p>
        </w:tc>
        <w:tc>
          <w:tcPr>
            <w:tcW w:type="dxa" w:w="1728"/>
            <w:tcMar>
              <w:top w:w="90" w:type="dxa"/>
              <w:start w:w="100" w:type="dxa"/>
              <w:bottom w:w="90" w:type="dxa"/>
              <w:end w:w="100" w:type="dxa"/>
            </w:tcMar>
            <w:vAlign w:val="top"/>
          </w:tcPr>
          <w:p>
            <w:pPr>
              <w:keepNext/>
              <w:jc w:val="center"/>
            </w:pPr>
            <w:r>
              <w:rPr>
                <w:b/>
                <w:color w:val="1B2A41"/>
                <w:sz w:val="16"/>
              </w:rPr>
              <w:t>Easy</w:t>
            </w:r>
          </w:p>
        </w:tc>
        <w:tc>
          <w:tcPr>
            <w:tcW w:type="dxa" w:w="2520"/>
            <w:tcMar>
              <w:top w:w="90" w:type="dxa"/>
              <w:start w:w="100" w:type="dxa"/>
              <w:bottom w:w="90" w:type="dxa"/>
              <w:end w:w="100" w:type="dxa"/>
            </w:tcMar>
            <w:vAlign w:val="top"/>
          </w:tcPr>
          <w:p>
            <w:pPr>
              <w:keepNext/>
              <w:jc w:val="center"/>
            </w:pPr>
            <w:r>
              <w:rPr>
                <w:b/>
                <w:color w:val="1B2A41"/>
                <w:sz w:val="16"/>
              </w:rPr>
              <w:t>Knowledge &amp; Recall</w:t>
            </w:r>
          </w:p>
        </w:tc>
        <w:tc>
          <w:tcPr>
            <w:tcW w:type="dxa" w:w="3672"/>
            <w:tcMar>
              <w:top w:w="90" w:type="dxa"/>
              <w:start w:w="100" w:type="dxa"/>
              <w:bottom w:w="90" w:type="dxa"/>
              <w:end w:w="100" w:type="dxa"/>
            </w:tcMar>
            <w:vAlign w:val="top"/>
          </w:tcPr>
          <w:p>
            <w:pPr>
              <w:keepNext/>
              <w:jc w:val="center"/>
            </w:pPr>
            <w:r>
              <w:rPr>
                <w:b/>
                <w:color w:val="1B2A41"/>
                <w:sz w:val="16"/>
              </w:rPr>
              <w:t>National jurisdiction discipline</w:t>
            </w:r>
          </w:p>
        </w:tc>
      </w:tr>
    </w:tbl>
    <w:p>
      <w:pPr>
        <w:keepNext/>
      </w:pPr>
      <w:r>
        <w:rPr>
          <w:b/>
          <w:color w:val="1B2A41"/>
          <w:sz w:val="22"/>
        </w:rPr>
        <w:t>Question</w:t>
      </w:r>
    </w:p>
    <w:p>
      <w:pPr>
        <w:keepNext/>
      </w:pPr>
      <w:r>
        <w:rPr>
          <w:b/>
        </w:rPr>
        <w:t>On a national ASWB-style item, a client discloses possible abuse but the question does not identify a jurisdiction or provide a reporting rule. Which approach is MOST appropriate?</w:t>
      </w:r>
    </w:p>
    <w:p>
      <w:pPr>
        <w:pStyle w:val="Option"/>
        <w:keepNext/>
      </w:pPr>
      <w:r>
        <w:rPr>
          <w:b/>
        </w:rPr>
        <w:t xml:space="preserve">A. </w:t>
      </w:r>
      <w:r>
        <w:t>Apply California reporting timelines because the candidate lives in California.</w:t>
      </w:r>
    </w:p>
    <w:p>
      <w:pPr>
        <w:pStyle w:val="Option"/>
        <w:keepNext/>
      </w:pPr>
      <w:r>
        <w:rPr>
          <w:b/>
        </w:rPr>
        <w:t xml:space="preserve">B. </w:t>
      </w:r>
      <w:r>
        <w:t>Protect immediate safety, clarify the social worker’s role and applicable law, and avoid assuming a California-specific procedure.</w:t>
      </w:r>
    </w:p>
    <w:p>
      <w:pPr>
        <w:pStyle w:val="Option"/>
        <w:keepNext/>
      </w:pPr>
      <w:r>
        <w:rPr>
          <w:b/>
        </w:rPr>
        <w:t xml:space="preserve">C. </w:t>
      </w:r>
      <w:r>
        <w:t>Ignore the disclosure because no law is supplied.</w:t>
      </w:r>
    </w:p>
    <w:p>
      <w:r>
        <w:rPr>
          <w:b/>
          <w:color w:val="237852"/>
        </w:rPr>
        <w:t>Correct Answer: B</w:t>
      </w:r>
    </w:p>
    <w:p>
      <w:pPr>
        <w:keepNext/>
      </w:pPr>
      <w:r>
        <w:rPr>
          <w:b/>
          <w:color w:val="1B2A41"/>
          <w:sz w:val="22"/>
        </w:rPr>
        <w:t>Rationales</w:t>
      </w:r>
    </w:p>
    <w:p>
      <w:pPr>
        <w:pStyle w:val="Rationale"/>
      </w:pPr>
      <w:r>
        <w:rPr>
          <w:b/>
          <w:color w:val="A02D2D"/>
        </w:rPr>
        <w:t xml:space="preserve">A. </w:t>
      </w:r>
      <w:r>
        <w:t>Incorrect. A national item should not be answered by importing an unstated jurisdiction.</w:t>
      </w:r>
    </w:p>
    <w:p>
      <w:pPr>
        <w:pStyle w:val="Rationale"/>
      </w:pPr>
      <w:r>
        <w:rPr>
          <w:b/>
          <w:color w:val="237852"/>
        </w:rPr>
        <w:t xml:space="preserve">B. </w:t>
      </w:r>
      <w:r>
        <w:t>Correct. The workbook directs candidates to use supplied law or jurisdiction-neutral ethical sequencing rather than importing one state’s rules.</w:t>
      </w:r>
    </w:p>
    <w:p>
      <w:pPr>
        <w:pStyle w:val="Rationale"/>
      </w:pPr>
      <w:r>
        <w:rPr>
          <w:b/>
          <w:color w:val="A02D2D"/>
        </w:rPr>
        <w:t xml:space="preserve">C. </w:t>
      </w:r>
      <w:r>
        <w:t>Incorrect. Immediate safety and role clarification remain clinically necessary.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Use the law in the item; when none is supplied, protect safety and clarify rather than inventing a state rule.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LCSW-WB06-QB-Q002</w:t>
            </w:r>
          </w:p>
        </w:tc>
        <w:tc>
          <w:tcPr>
            <w:tcW w:type="dxa" w:w="1728"/>
            <w:tcMar>
              <w:top w:w="90" w:type="dxa"/>
              <w:start w:w="100" w:type="dxa"/>
              <w:bottom w:w="90" w:type="dxa"/>
              <w:end w:w="100" w:type="dxa"/>
            </w:tcMar>
            <w:vAlign w:val="top"/>
          </w:tcPr>
          <w:p>
            <w:pPr>
              <w:keepNext/>
              <w:jc w:val="center"/>
            </w:pPr>
            <w:r>
              <w:rPr>
                <w:b/>
                <w:color w:val="1B2A41"/>
                <w:sz w:val="16"/>
              </w:rPr>
              <w:t>Easy</w:t>
            </w:r>
          </w:p>
        </w:tc>
        <w:tc>
          <w:tcPr>
            <w:tcW w:type="dxa" w:w="2520"/>
            <w:tcMar>
              <w:top w:w="90" w:type="dxa"/>
              <w:start w:w="100" w:type="dxa"/>
              <w:bottom w:w="90" w:type="dxa"/>
              <w:end w:w="100" w:type="dxa"/>
            </w:tcMar>
            <w:vAlign w:val="top"/>
          </w:tcPr>
          <w:p>
            <w:pPr>
              <w:keepNext/>
              <w:jc w:val="center"/>
            </w:pPr>
            <w:r>
              <w:rPr>
                <w:b/>
                <w:color w:val="1B2A41"/>
                <w:sz w:val="16"/>
              </w:rPr>
              <w:t>Application</w:t>
            </w:r>
          </w:p>
        </w:tc>
        <w:tc>
          <w:tcPr>
            <w:tcW w:type="dxa" w:w="3672"/>
            <w:tcMar>
              <w:top w:w="90" w:type="dxa"/>
              <w:start w:w="100" w:type="dxa"/>
              <w:bottom w:w="90" w:type="dxa"/>
              <w:end w:w="100" w:type="dxa"/>
            </w:tcMar>
            <w:vAlign w:val="top"/>
          </w:tcPr>
          <w:p>
            <w:pPr>
              <w:keepNext/>
              <w:jc w:val="center"/>
            </w:pPr>
            <w:r>
              <w:rPr>
                <w:b/>
                <w:color w:val="1B2A41"/>
                <w:sz w:val="16"/>
              </w:rPr>
              <w:t>Person-in-environment referral feasibility</w:t>
            </w:r>
          </w:p>
        </w:tc>
      </w:tr>
    </w:tbl>
    <w:p>
      <w:pPr>
        <w:keepNext/>
      </w:pPr>
      <w:r>
        <w:rPr>
          <w:b/>
          <w:color w:val="1B2A41"/>
          <w:sz w:val="22"/>
        </w:rPr>
        <w:t>Question</w:t>
      </w:r>
    </w:p>
    <w:p>
      <w:pPr>
        <w:keepNext/>
      </w:pPr>
      <w:r>
        <w:rPr>
          <w:b/>
        </w:rPr>
        <w:t>A social worker recommends a same-day crisis clinic, but the client has no bus fare and the clinic cannot provide interpretation in the client’s language. Which conclusion is MOST accurate?</w:t>
      </w:r>
    </w:p>
    <w:p>
      <w:pPr>
        <w:pStyle w:val="Option"/>
        <w:keepNext/>
      </w:pPr>
      <w:r>
        <w:rPr>
          <w:b/>
        </w:rPr>
        <w:t xml:space="preserve">A. </w:t>
      </w:r>
      <w:r>
        <w:t>Transportation and language access are part of the crisis formulation, so the plan must be adapted before the referral can be considered feasible and supported.</w:t>
      </w:r>
    </w:p>
    <w:p>
      <w:pPr>
        <w:pStyle w:val="Option"/>
        <w:keepNext/>
      </w:pPr>
      <w:r>
        <w:rPr>
          <w:b/>
        </w:rPr>
        <w:t xml:space="preserve">B. </w:t>
      </w:r>
      <w:r>
        <w:t>The referral is complete because the clinical service itself is appropriate.</w:t>
      </w:r>
    </w:p>
    <w:p>
      <w:pPr>
        <w:pStyle w:val="Option"/>
        <w:keepNext/>
      </w:pPr>
      <w:r>
        <w:rPr>
          <w:b/>
        </w:rPr>
        <w:t xml:space="preserve">C. </w:t>
      </w:r>
      <w:r>
        <w:t>The client’s diagnosis should be changed to explain the missed referral.</w:t>
      </w:r>
    </w:p>
    <w:p>
      <w:r>
        <w:rPr>
          <w:b/>
          <w:color w:val="237852"/>
        </w:rPr>
        <w:t>Correct Answer: A</w:t>
      </w:r>
    </w:p>
    <w:p>
      <w:pPr>
        <w:keepNext/>
      </w:pPr>
      <w:r>
        <w:rPr>
          <w:b/>
          <w:color w:val="1B2A41"/>
          <w:sz w:val="22"/>
        </w:rPr>
        <w:t>Rationales</w:t>
      </w:r>
    </w:p>
    <w:p>
      <w:pPr>
        <w:pStyle w:val="Rationale"/>
      </w:pPr>
      <w:r>
        <w:rPr>
          <w:b/>
          <w:color w:val="237852"/>
        </w:rPr>
        <w:t xml:space="preserve">A. </w:t>
      </w:r>
      <w:r>
        <w:t>Correct. Person-in-environment reasoning evaluates whether the recommended response can actually be reached, understood, and used.</w:t>
      </w:r>
    </w:p>
    <w:p>
      <w:pPr>
        <w:pStyle w:val="Rationale"/>
      </w:pPr>
      <w:r>
        <w:rPr>
          <w:b/>
          <w:color w:val="A02D2D"/>
        </w:rPr>
        <w:t xml:space="preserve">B. </w:t>
      </w:r>
      <w:r>
        <w:t>Incorrect. A clinically appropriate resource is not an adequate plan when access barriers prevent its use.</w:t>
      </w:r>
    </w:p>
    <w:p>
      <w:pPr>
        <w:pStyle w:val="Rationale"/>
      </w:pPr>
      <w:r>
        <w:rPr>
          <w:b/>
          <w:color w:val="A02D2D"/>
        </w:rPr>
        <w:t xml:space="preserve">C. </w:t>
      </w:r>
      <w:r>
        <w:t>Incorrect. Environmental barriers should not be mislabeled as symptoms or noncompliance.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 referral is not a completed intervention until the client can realistically reach, understand, and use it.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LCSW-WB06-QB-Q003</w:t>
            </w:r>
          </w:p>
        </w:tc>
        <w:tc>
          <w:tcPr>
            <w:tcW w:type="dxa" w:w="1728"/>
            <w:tcMar>
              <w:top w:w="90" w:type="dxa"/>
              <w:start w:w="100" w:type="dxa"/>
              <w:bottom w:w="90" w:type="dxa"/>
              <w:end w:w="100" w:type="dxa"/>
            </w:tcMar>
            <w:vAlign w:val="top"/>
          </w:tcPr>
          <w:p>
            <w:pPr>
              <w:keepNext/>
              <w:jc w:val="center"/>
            </w:pPr>
            <w:r>
              <w:rPr>
                <w:b/>
                <w:color w:val="1B2A41"/>
                <w:sz w:val="16"/>
              </w:rPr>
              <w:t>Easy</w:t>
            </w:r>
          </w:p>
        </w:tc>
        <w:tc>
          <w:tcPr>
            <w:tcW w:type="dxa" w:w="2520"/>
            <w:tcMar>
              <w:top w:w="90" w:type="dxa"/>
              <w:start w:w="100" w:type="dxa"/>
              <w:bottom w:w="90" w:type="dxa"/>
              <w:end w:w="100" w:type="dxa"/>
            </w:tcMar>
            <w:vAlign w:val="top"/>
          </w:tcPr>
          <w:p>
            <w:pPr>
              <w:keepNext/>
              <w:jc w:val="center"/>
            </w:pPr>
            <w:r>
              <w:rPr>
                <w:b/>
                <w:color w:val="1B2A41"/>
                <w:sz w:val="16"/>
              </w:rPr>
              <w:t>Knowledge &amp; Recall</w:t>
            </w:r>
          </w:p>
        </w:tc>
        <w:tc>
          <w:tcPr>
            <w:tcW w:type="dxa" w:w="3672"/>
            <w:tcMar>
              <w:top w:w="90" w:type="dxa"/>
              <w:start w:w="100" w:type="dxa"/>
              <w:bottom w:w="90" w:type="dxa"/>
              <w:end w:w="100" w:type="dxa"/>
            </w:tcMar>
            <w:vAlign w:val="top"/>
          </w:tcPr>
          <w:p>
            <w:pPr>
              <w:keepNext/>
              <w:jc w:val="center"/>
            </w:pPr>
            <w:r>
              <w:rPr>
                <w:b/>
                <w:color w:val="1B2A41"/>
                <w:sz w:val="16"/>
              </w:rPr>
              <w:t>Least restrictive safe response</w:t>
            </w:r>
          </w:p>
        </w:tc>
      </w:tr>
    </w:tbl>
    <w:p>
      <w:pPr>
        <w:keepNext/>
      </w:pPr>
      <w:r>
        <w:rPr>
          <w:b/>
          <w:color w:val="1B2A41"/>
          <w:sz w:val="22"/>
        </w:rPr>
        <w:t>Question</w:t>
      </w:r>
    </w:p>
    <w:p>
      <w:pPr>
        <w:keepNext/>
      </w:pPr>
      <w:r>
        <w:rPr>
          <w:b/>
        </w:rPr>
        <w:t>What does the phrase least restrictive safe response mean?</w:t>
      </w:r>
    </w:p>
    <w:p>
      <w:pPr>
        <w:pStyle w:val="Option"/>
        <w:keepNext/>
      </w:pPr>
      <w:r>
        <w:rPr>
          <w:b/>
        </w:rPr>
        <w:t xml:space="preserve">A. </w:t>
      </w:r>
      <w:r>
        <w:t>Always select outpatient care because it preserves autonomy.</w:t>
      </w:r>
    </w:p>
    <w:p>
      <w:pPr>
        <w:pStyle w:val="Option"/>
        <w:keepNext/>
      </w:pPr>
      <w:r>
        <w:rPr>
          <w:b/>
        </w:rPr>
        <w:t xml:space="preserve">B. </w:t>
      </w:r>
      <w:r>
        <w:t>Always select hospitalization whenever suicidal thoughts are mentioned.</w:t>
      </w:r>
    </w:p>
    <w:p>
      <w:pPr>
        <w:pStyle w:val="Option"/>
        <w:keepNext/>
      </w:pPr>
      <w:r>
        <w:rPr>
          <w:b/>
        </w:rPr>
        <w:t xml:space="preserve">C. </w:t>
      </w:r>
      <w:r>
        <w:t>Choose the lowest level of restriction that adequately addresses current danger, medical needs, capacity, supports, access, and follow-up.</w:t>
      </w:r>
    </w:p>
    <w:p>
      <w:pPr>
        <w:pStyle w:val="Option"/>
        <w:keepNext/>
      </w:pPr>
      <w:r>
        <w:rPr>
          <w:b/>
        </w:rPr>
        <w:t xml:space="preserve">D. </w:t>
      </w:r>
      <w:r>
        <w:t>Select whichever service is easiest for the agency to provide.</w:t>
      </w:r>
    </w:p>
    <w:p>
      <w:r>
        <w:rPr>
          <w:b/>
          <w:color w:val="237852"/>
        </w:rPr>
        <w:t>Correct Answer: C</w:t>
      </w:r>
    </w:p>
    <w:p>
      <w:pPr>
        <w:keepNext/>
      </w:pPr>
      <w:r>
        <w:rPr>
          <w:b/>
          <w:color w:val="1B2A41"/>
          <w:sz w:val="22"/>
        </w:rPr>
        <w:t>Rationales</w:t>
      </w:r>
    </w:p>
    <w:p>
      <w:pPr>
        <w:pStyle w:val="Rationale"/>
      </w:pPr>
      <w:r>
        <w:rPr>
          <w:b/>
          <w:color w:val="A02D2D"/>
        </w:rPr>
        <w:t xml:space="preserve">A. </w:t>
      </w:r>
      <w:r>
        <w:t>Incorrect. Outpatient care is not safe when acute danger or medical instability cannot be managed.</w:t>
      </w:r>
    </w:p>
    <w:p>
      <w:pPr>
        <w:pStyle w:val="Rationale"/>
      </w:pPr>
      <w:r>
        <w:rPr>
          <w:b/>
          <w:color w:val="A02D2D"/>
        </w:rPr>
        <w:t xml:space="preserve">B. </w:t>
      </w:r>
      <w:r>
        <w:t>Incorrect. Suicidal thoughts require assessment; hospitalization depends on acuity and support.</w:t>
      </w:r>
    </w:p>
    <w:p>
      <w:pPr>
        <w:pStyle w:val="Rationale"/>
      </w:pPr>
      <w:r>
        <w:rPr>
          <w:b/>
          <w:color w:val="237852"/>
        </w:rPr>
        <w:t xml:space="preserve">C. </w:t>
      </w:r>
      <w:r>
        <w:t>Correct. The level of care should match actual acuity and feasibility rather than defaulting automatically to either hospitalization or minimal intervention.</w:t>
      </w:r>
    </w:p>
    <w:p>
      <w:pPr>
        <w:pStyle w:val="Rationale"/>
      </w:pPr>
      <w:r>
        <w:rPr>
          <w:b/>
          <w:color w:val="A02D2D"/>
        </w:rPr>
        <w:t xml:space="preserve">D. </w:t>
      </w:r>
      <w:r>
        <w:t>Incorrect. Agency convenience does not determine the clinically appropriate level of care.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Neither maximum restriction nor minimum effort is the rule; choose the least restrictive option that is actually safe.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LCSW-WB06-QB-Q004</w:t>
            </w:r>
          </w:p>
        </w:tc>
        <w:tc>
          <w:tcPr>
            <w:tcW w:type="dxa" w:w="1728"/>
            <w:tcMar>
              <w:top w:w="90" w:type="dxa"/>
              <w:start w:w="100" w:type="dxa"/>
              <w:bottom w:w="90" w:type="dxa"/>
              <w:end w:w="100" w:type="dxa"/>
            </w:tcMar>
            <w:vAlign w:val="top"/>
          </w:tcPr>
          <w:p>
            <w:pPr>
              <w:keepNext/>
              <w:jc w:val="center"/>
            </w:pPr>
            <w:r>
              <w:rPr>
                <w:b/>
                <w:color w:val="1B2A41"/>
                <w:sz w:val="16"/>
              </w:rPr>
              <w:t>Easy</w:t>
            </w:r>
          </w:p>
        </w:tc>
        <w:tc>
          <w:tcPr>
            <w:tcW w:type="dxa" w:w="2520"/>
            <w:tcMar>
              <w:top w:w="90" w:type="dxa"/>
              <w:start w:w="100" w:type="dxa"/>
              <w:bottom w:w="90" w:type="dxa"/>
              <w:end w:w="100" w:type="dxa"/>
            </w:tcMar>
            <w:vAlign w:val="top"/>
          </w:tcPr>
          <w:p>
            <w:pPr>
              <w:keepNext/>
              <w:jc w:val="center"/>
            </w:pPr>
            <w:r>
              <w:rPr>
                <w:b/>
                <w:color w:val="1B2A41"/>
                <w:sz w:val="16"/>
              </w:rPr>
              <w:t>Application</w:t>
            </w:r>
          </w:p>
        </w:tc>
        <w:tc>
          <w:tcPr>
            <w:tcW w:type="dxa" w:w="3672"/>
            <w:tcMar>
              <w:top w:w="90" w:type="dxa"/>
              <w:start w:w="100" w:type="dxa"/>
              <w:bottom w:w="90" w:type="dxa"/>
              <w:end w:w="100" w:type="dxa"/>
            </w:tcMar>
            <w:vAlign w:val="top"/>
          </w:tcPr>
          <w:p>
            <w:pPr>
              <w:keepNext/>
              <w:jc w:val="center"/>
            </w:pPr>
            <w:r>
              <w:rPr>
                <w:b/>
                <w:color w:val="1B2A41"/>
                <w:sz w:val="16"/>
              </w:rPr>
              <w:t>Possible overdose</w:t>
            </w:r>
          </w:p>
        </w:tc>
      </w:tr>
    </w:tbl>
    <w:p>
      <w:pPr>
        <w:keepNext/>
      </w:pPr>
      <w:r>
        <w:rPr>
          <w:b/>
          <w:color w:val="1B2A41"/>
          <w:sz w:val="22"/>
        </w:rPr>
        <w:t>Question</w:t>
      </w:r>
    </w:p>
    <w:p>
      <w:pPr>
        <w:keepNext/>
      </w:pPr>
      <w:r>
        <w:rPr>
          <w:b/>
        </w:rPr>
        <w:t>A client in a community program becomes drowsy, has slurred speech, and says, “I took a handful of pills, but I am fine.” What should the social worker do FIRST?</w:t>
      </w:r>
    </w:p>
    <w:p>
      <w:pPr>
        <w:pStyle w:val="Option"/>
        <w:keepNext/>
      </w:pPr>
      <w:r>
        <w:rPr>
          <w:b/>
        </w:rPr>
        <w:t xml:space="preserve">A. </w:t>
      </w:r>
      <w:r>
        <w:t>Use motivational interviewing about medication adherence.</w:t>
      </w:r>
    </w:p>
    <w:p>
      <w:pPr>
        <w:pStyle w:val="Option"/>
        <w:keepNext/>
      </w:pPr>
      <w:r>
        <w:rPr>
          <w:b/>
        </w:rPr>
        <w:t xml:space="preserve">B. </w:t>
      </w:r>
      <w:r>
        <w:t>Call the client’s employer to arrange leave.</w:t>
      </w:r>
    </w:p>
    <w:p>
      <w:pPr>
        <w:pStyle w:val="Option"/>
        <w:keepNext/>
      </w:pPr>
      <w:r>
        <w:rPr>
          <w:b/>
        </w:rPr>
        <w:t xml:space="preserve">C. </w:t>
      </w:r>
      <w:r>
        <w:t>Schedule an outpatient substance-use evaluation for next week.</w:t>
      </w:r>
    </w:p>
    <w:p>
      <w:pPr>
        <w:pStyle w:val="Option"/>
        <w:keepNext/>
      </w:pPr>
      <w:r>
        <w:rPr>
          <w:b/>
        </w:rPr>
        <w:t xml:space="preserve">D. </w:t>
      </w:r>
      <w:r>
        <w:t>Activate immediate medical or emergency response and continue suicide and safety assessment as care is mobilized.</w:t>
      </w:r>
    </w:p>
    <w:p>
      <w:r>
        <w:rPr>
          <w:b/>
          <w:color w:val="237852"/>
        </w:rPr>
        <w:t>Correct Answer: D</w:t>
      </w:r>
    </w:p>
    <w:p>
      <w:pPr>
        <w:keepNext/>
      </w:pPr>
      <w:r>
        <w:rPr>
          <w:b/>
          <w:color w:val="1B2A41"/>
          <w:sz w:val="22"/>
        </w:rPr>
        <w:t>Rationales</w:t>
      </w:r>
    </w:p>
    <w:p>
      <w:pPr>
        <w:pStyle w:val="Rationale"/>
      </w:pPr>
      <w:r>
        <w:rPr>
          <w:b/>
          <w:color w:val="A02D2D"/>
        </w:rPr>
        <w:t xml:space="preserve">A. </w:t>
      </w:r>
      <w:r>
        <w:t>Incorrect. Routine counseling is not the priority during possible overdose.</w:t>
      </w:r>
    </w:p>
    <w:p>
      <w:pPr>
        <w:pStyle w:val="Rationale"/>
      </w:pPr>
      <w:r>
        <w:rPr>
          <w:b/>
          <w:color w:val="A02D2D"/>
        </w:rPr>
        <w:t xml:space="preserve">B. </w:t>
      </w:r>
      <w:r>
        <w:t>Incorrect. Employment coordination is not the immediate need and may violate confidentiality.</w:t>
      </w:r>
    </w:p>
    <w:p>
      <w:pPr>
        <w:pStyle w:val="Rationale"/>
      </w:pPr>
      <w:r>
        <w:rPr>
          <w:b/>
          <w:color w:val="A02D2D"/>
        </w:rPr>
        <w:t xml:space="preserve">C. </w:t>
      </w:r>
      <w:r>
        <w:t>Incorrect. A future referral is inadequate for current medical instability.</w:t>
      </w:r>
    </w:p>
    <w:p>
      <w:pPr>
        <w:pStyle w:val="Rationale"/>
      </w:pPr>
      <w:r>
        <w:rPr>
          <w:b/>
          <w:color w:val="237852"/>
        </w:rPr>
        <w:t xml:space="preserve">D. </w:t>
      </w:r>
      <w:r>
        <w:t>Correct. Possible overdose and altered consciousness are medical emergencies that precede routine counseling or referral.</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Medical instability can require action before the psychosocial assessment is complete.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LCSW-WB06-QB-Q005</w:t>
            </w:r>
          </w:p>
        </w:tc>
        <w:tc>
          <w:tcPr>
            <w:tcW w:type="dxa" w:w="1728"/>
            <w:tcMar>
              <w:top w:w="90" w:type="dxa"/>
              <w:start w:w="100" w:type="dxa"/>
              <w:bottom w:w="90" w:type="dxa"/>
              <w:end w:w="100" w:type="dxa"/>
            </w:tcMar>
            <w:vAlign w:val="top"/>
          </w:tcPr>
          <w:p>
            <w:pPr>
              <w:keepNext/>
              <w:jc w:val="center"/>
            </w:pPr>
            <w:r>
              <w:rPr>
                <w:b/>
                <w:color w:val="1B2A41"/>
                <w:sz w:val="16"/>
              </w:rPr>
              <w:t>Easy</w:t>
            </w:r>
          </w:p>
        </w:tc>
        <w:tc>
          <w:tcPr>
            <w:tcW w:type="dxa" w:w="2520"/>
            <w:tcMar>
              <w:top w:w="90" w:type="dxa"/>
              <w:start w:w="100" w:type="dxa"/>
              <w:bottom w:w="90" w:type="dxa"/>
              <w:end w:w="100" w:type="dxa"/>
            </w:tcMar>
            <w:vAlign w:val="top"/>
          </w:tcPr>
          <w:p>
            <w:pPr>
              <w:keepNext/>
              <w:jc w:val="center"/>
            </w:pPr>
            <w:r>
              <w:rPr>
                <w:b/>
                <w:color w:val="1B2A41"/>
                <w:sz w:val="16"/>
              </w:rPr>
              <w:t>Knowledge &amp; Recall</w:t>
            </w:r>
          </w:p>
        </w:tc>
        <w:tc>
          <w:tcPr>
            <w:tcW w:type="dxa" w:w="3672"/>
            <w:tcMar>
              <w:top w:w="90" w:type="dxa"/>
              <w:start w:w="100" w:type="dxa"/>
              <w:bottom w:w="90" w:type="dxa"/>
              <w:end w:w="100" w:type="dxa"/>
            </w:tcMar>
            <w:vAlign w:val="top"/>
          </w:tcPr>
          <w:p>
            <w:pPr>
              <w:keepNext/>
              <w:jc w:val="center"/>
            </w:pPr>
            <w:r>
              <w:rPr>
                <w:b/>
                <w:color w:val="1B2A41"/>
                <w:sz w:val="16"/>
              </w:rPr>
              <w:t>No-harm promise limitation</w:t>
            </w:r>
          </w:p>
        </w:tc>
      </w:tr>
    </w:tbl>
    <w:p>
      <w:pPr>
        <w:keepNext/>
      </w:pPr>
      <w:r>
        <w:rPr>
          <w:b/>
          <w:color w:val="1B2A41"/>
          <w:sz w:val="22"/>
        </w:rPr>
        <w:t>Question</w:t>
      </w:r>
    </w:p>
    <w:p>
      <w:pPr>
        <w:keepNext/>
      </w:pPr>
      <w:r>
        <w:rPr>
          <w:b/>
        </w:rPr>
        <w:t>Which response is NOT an adequate substitute for suicide-risk assessment and supported follow-up?</w:t>
      </w:r>
    </w:p>
    <w:p>
      <w:pPr>
        <w:pStyle w:val="Option"/>
        <w:keepNext/>
      </w:pPr>
      <w:r>
        <w:rPr>
          <w:b/>
        </w:rPr>
        <w:t xml:space="preserve">A. </w:t>
      </w:r>
      <w:r>
        <w:t>Obtaining a promise that the client will not attempt suicide.</w:t>
      </w:r>
    </w:p>
    <w:p>
      <w:pPr>
        <w:pStyle w:val="Option"/>
        <w:keepNext/>
      </w:pPr>
      <w:r>
        <w:rPr>
          <w:b/>
        </w:rPr>
        <w:t xml:space="preserve">B. </w:t>
      </w:r>
      <w:r>
        <w:t>Asking directly about intent, plan, means, preparations, and recent behavior.</w:t>
      </w:r>
    </w:p>
    <w:p>
      <w:pPr>
        <w:pStyle w:val="Option"/>
        <w:keepNext/>
      </w:pPr>
      <w:r>
        <w:rPr>
          <w:b/>
        </w:rPr>
        <w:t xml:space="preserve">C. </w:t>
      </w:r>
      <w:r>
        <w:t>Developing a collaborative safety plan with concrete means-safety and follow-up steps.</w:t>
      </w:r>
    </w:p>
    <w:p>
      <w:r>
        <w:rPr>
          <w:b/>
          <w:color w:val="237852"/>
        </w:rPr>
        <w:t>Correct Answer: A</w:t>
      </w:r>
    </w:p>
    <w:p>
      <w:pPr>
        <w:keepNext/>
      </w:pPr>
      <w:r>
        <w:rPr>
          <w:b/>
          <w:color w:val="1B2A41"/>
          <w:sz w:val="22"/>
        </w:rPr>
        <w:t>Rationales</w:t>
      </w:r>
    </w:p>
    <w:p>
      <w:pPr>
        <w:pStyle w:val="Rationale"/>
      </w:pPr>
      <w:r>
        <w:rPr>
          <w:b/>
          <w:color w:val="237852"/>
        </w:rPr>
        <w:t xml:space="preserve">A. </w:t>
      </w:r>
      <w:r>
        <w:t>Correct. A promise does not establish acuity, reduce access to means, confirm supports, or create a usable disposition.</w:t>
      </w:r>
    </w:p>
    <w:p>
      <w:pPr>
        <w:pStyle w:val="Rationale"/>
      </w:pPr>
      <w:r>
        <w:rPr>
          <w:b/>
          <w:color w:val="A02D2D"/>
        </w:rPr>
        <w:t xml:space="preserve">B. </w:t>
      </w:r>
      <w:r>
        <w:t>Incorrect. Direct assessment is a core part of determining acuity.</w:t>
      </w:r>
    </w:p>
    <w:p>
      <w:pPr>
        <w:pStyle w:val="Rationale"/>
      </w:pPr>
      <w:r>
        <w:rPr>
          <w:b/>
          <w:color w:val="A02D2D"/>
        </w:rPr>
        <w:t xml:space="preserve">C. </w:t>
      </w:r>
      <w:r>
        <w:t>Incorrect. A realistic plan can support a least restrictive safe response when clinically appropriate.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Eliminate answers that replace clinical assessment with a promise or form.</w:t>
            </w:r>
          </w:p>
        </w:tc>
      </w:tr>
    </w:tbl>
    <w:p/>
    <w:p>
      <w:r>
        <w:br w:type="page"/>
      </w:r>
    </w:p>
    <w:p>
      <w:pPr>
        <w:pStyle w:val="Heading1"/>
      </w:pPr>
      <w:r>
        <w:t>Moderate Questions</w:t>
      </w:r>
    </w:p>
    <w:p>
      <w:r>
        <w:rPr>
          <w:i/>
          <w:color w:val="696969"/>
        </w:rPr>
        <w:t>7 questions | Applied sequencing and realistic crisis decision-making.</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LCSW-WB06-QB-Q006</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Scenario-Based</w:t>
            </w:r>
          </w:p>
        </w:tc>
        <w:tc>
          <w:tcPr>
            <w:tcW w:type="dxa" w:w="3672"/>
            <w:tcMar>
              <w:top w:w="90" w:type="dxa"/>
              <w:start w:w="100" w:type="dxa"/>
              <w:bottom w:w="90" w:type="dxa"/>
              <w:end w:w="100" w:type="dxa"/>
            </w:tcMar>
            <w:vAlign w:val="top"/>
          </w:tcPr>
          <w:p>
            <w:pPr>
              <w:keepNext/>
              <w:jc w:val="center"/>
            </w:pPr>
            <w:r>
              <w:rPr>
                <w:b/>
                <w:color w:val="1B2A41"/>
                <w:sz w:val="16"/>
              </w:rPr>
              <w:t>Suicide risk and housing stress</w:t>
            </w:r>
          </w:p>
        </w:tc>
      </w:tr>
    </w:tbl>
    <w:p>
      <w:pPr>
        <w:keepNext/>
      </w:pPr>
      <w:r>
        <w:rPr>
          <w:b/>
          <w:color w:val="1B2A41"/>
          <w:sz w:val="22"/>
        </w:rPr>
        <w:t>Question</w:t>
      </w:r>
    </w:p>
    <w:p>
      <w:pPr>
        <w:keepNext/>
      </w:pPr>
      <w:r>
        <w:rPr>
          <w:b/>
        </w:rPr>
        <w:t>A client facing eviction says, “Sometimes I wish I would not wake up,” and immediately asks for housing help. What should the social worker do FIRST?</w:t>
      </w:r>
    </w:p>
    <w:p>
      <w:pPr>
        <w:pStyle w:val="Option"/>
        <w:keepNext/>
      </w:pPr>
      <w:r>
        <w:rPr>
          <w:b/>
        </w:rPr>
        <w:t xml:space="preserve">A. </w:t>
      </w:r>
      <w:r>
        <w:t>Complete the housing application before discussing suicide.</w:t>
      </w:r>
    </w:p>
    <w:p>
      <w:pPr>
        <w:pStyle w:val="Option"/>
        <w:keepNext/>
      </w:pPr>
      <w:r>
        <w:rPr>
          <w:b/>
        </w:rPr>
        <w:t xml:space="preserve">B. </w:t>
      </w:r>
      <w:r>
        <w:t>Ask directly about suicidal thoughts, intent, plan, means, recent behavior, and protective factors, then integrate housing needs into the safety and service plan.</w:t>
      </w:r>
    </w:p>
    <w:p>
      <w:pPr>
        <w:pStyle w:val="Option"/>
        <w:keepNext/>
      </w:pPr>
      <w:r>
        <w:rPr>
          <w:b/>
        </w:rPr>
        <w:t xml:space="preserve">C. </w:t>
      </w:r>
      <w:r>
        <w:t>Hospitalize the client without further assessment.</w:t>
      </w:r>
    </w:p>
    <w:p>
      <w:r>
        <w:rPr>
          <w:b/>
          <w:color w:val="237852"/>
        </w:rPr>
        <w:t>Correct Answer: B</w:t>
      </w:r>
    </w:p>
    <w:p>
      <w:pPr>
        <w:keepNext/>
      </w:pPr>
      <w:r>
        <w:rPr>
          <w:b/>
          <w:color w:val="1B2A41"/>
          <w:sz w:val="22"/>
        </w:rPr>
        <w:t>Rationales</w:t>
      </w:r>
    </w:p>
    <w:p>
      <w:pPr>
        <w:pStyle w:val="Rationale"/>
      </w:pPr>
      <w:r>
        <w:rPr>
          <w:b/>
          <w:color w:val="A02D2D"/>
        </w:rPr>
        <w:t xml:space="preserve">A. </w:t>
      </w:r>
      <w:r>
        <w:t>Incorrect. Housing is urgent, but immediate safety must first be clarified.</w:t>
      </w:r>
    </w:p>
    <w:p>
      <w:pPr>
        <w:pStyle w:val="Rationale"/>
      </w:pPr>
      <w:r>
        <w:rPr>
          <w:b/>
          <w:color w:val="237852"/>
        </w:rPr>
        <w:t xml:space="preserve">B. </w:t>
      </w:r>
      <w:r>
        <w:t>Correct. Possible suicide risk must be clarified first, while the eviction remains an important person-in-environment factor in the plan.</w:t>
      </w:r>
    </w:p>
    <w:p>
      <w:pPr>
        <w:pStyle w:val="Rationale"/>
      </w:pPr>
      <w:r>
        <w:rPr>
          <w:b/>
          <w:color w:val="A02D2D"/>
        </w:rPr>
        <w:t xml:space="preserve">C. </w:t>
      </w:r>
      <w:r>
        <w:t>Incorrect. The statement requires direct assessment but does not by itself establish inpatient acuity.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Assess immediate danger first, then address the environmental stressor as part of—not apart from—the plan.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LCSW-WB06-QB-Q007</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Scenario-Based</w:t>
            </w:r>
          </w:p>
        </w:tc>
        <w:tc>
          <w:tcPr>
            <w:tcW w:type="dxa" w:w="3672"/>
            <w:tcMar>
              <w:top w:w="90" w:type="dxa"/>
              <w:start w:w="100" w:type="dxa"/>
              <w:bottom w:w="90" w:type="dxa"/>
              <w:end w:w="100" w:type="dxa"/>
            </w:tcMar>
            <w:vAlign w:val="top"/>
          </w:tcPr>
          <w:p>
            <w:pPr>
              <w:keepNext/>
              <w:jc w:val="center"/>
            </w:pPr>
            <w:r>
              <w:rPr>
                <w:b/>
                <w:color w:val="1B2A41"/>
                <w:sz w:val="16"/>
              </w:rPr>
              <w:t>Capacity and medical danger</w:t>
            </w:r>
          </w:p>
        </w:tc>
      </w:tr>
    </w:tbl>
    <w:p>
      <w:pPr>
        <w:keepNext/>
      </w:pPr>
      <w:r>
        <w:rPr>
          <w:b/>
          <w:color w:val="1B2A41"/>
          <w:sz w:val="22"/>
        </w:rPr>
        <w:t>Question</w:t>
      </w:r>
    </w:p>
    <w:p>
      <w:pPr>
        <w:keepNext/>
      </w:pPr>
      <w:r>
        <w:rPr>
          <w:b/>
        </w:rPr>
        <w:t>An older adult is confused, appears dehydrated, has an empty refrigerator, and cannot explain several open medication bottles. The client refuses an ambulance and says, “I can manage.” What should the social worker do NEXT?</w:t>
      </w:r>
    </w:p>
    <w:p>
      <w:pPr>
        <w:pStyle w:val="Option"/>
        <w:keepNext/>
      </w:pPr>
      <w:r>
        <w:rPr>
          <w:b/>
        </w:rPr>
        <w:t xml:space="preserve">A. </w:t>
      </w:r>
      <w:r>
        <w:t>Respect the refusal and return the following week.</w:t>
      </w:r>
    </w:p>
    <w:p>
      <w:pPr>
        <w:pStyle w:val="Option"/>
        <w:keepNext/>
      </w:pPr>
      <w:r>
        <w:rPr>
          <w:b/>
        </w:rPr>
        <w:t xml:space="preserve">B. </w:t>
      </w:r>
      <w:r>
        <w:t>Begin discussing long-term assisted-living placement.</w:t>
      </w:r>
    </w:p>
    <w:p>
      <w:pPr>
        <w:pStyle w:val="Option"/>
        <w:keepNext/>
      </w:pPr>
      <w:r>
        <w:rPr>
          <w:b/>
        </w:rPr>
        <w:t xml:space="preserve">C. </w:t>
      </w:r>
      <w:r>
        <w:t>Assess decision-making capacity and immediate medical danger while activating urgent medical or emergency evaluation through the least restrictive safe pathway available.</w:t>
      </w:r>
    </w:p>
    <w:p>
      <w:pPr>
        <w:pStyle w:val="Option"/>
        <w:keepNext/>
      </w:pPr>
      <w:r>
        <w:rPr>
          <w:b/>
        </w:rPr>
        <w:t xml:space="preserve">D. </w:t>
      </w:r>
      <w:r>
        <w:t>Ask a neighbor to bring groceries and close the visit.</w:t>
      </w:r>
    </w:p>
    <w:p>
      <w:r>
        <w:rPr>
          <w:b/>
          <w:color w:val="237852"/>
        </w:rPr>
        <w:t>Correct Answer: C</w:t>
      </w:r>
    </w:p>
    <w:p>
      <w:pPr>
        <w:keepNext/>
      </w:pPr>
      <w:r>
        <w:rPr>
          <w:b/>
          <w:color w:val="1B2A41"/>
          <w:sz w:val="22"/>
        </w:rPr>
        <w:t>Rationales</w:t>
      </w:r>
    </w:p>
    <w:p>
      <w:pPr>
        <w:pStyle w:val="Rationale"/>
      </w:pPr>
      <w:r>
        <w:rPr>
          <w:b/>
          <w:color w:val="A02D2D"/>
        </w:rPr>
        <w:t xml:space="preserve">A. </w:t>
      </w:r>
      <w:r>
        <w:t>Incorrect. Self-determination requires attention to capacity and does not require ignoring an apparent emergency.</w:t>
      </w:r>
    </w:p>
    <w:p>
      <w:pPr>
        <w:pStyle w:val="Rationale"/>
      </w:pPr>
      <w:r>
        <w:rPr>
          <w:b/>
          <w:color w:val="A02D2D"/>
        </w:rPr>
        <w:t xml:space="preserve">B. </w:t>
      </w:r>
      <w:r>
        <w:t>Incorrect. Long-term placement planning follows immediate medical stabilization and assessment.</w:t>
      </w:r>
    </w:p>
    <w:p>
      <w:pPr>
        <w:pStyle w:val="Rationale"/>
      </w:pPr>
      <w:r>
        <w:rPr>
          <w:b/>
          <w:color w:val="237852"/>
        </w:rPr>
        <w:t xml:space="preserve">C. </w:t>
      </w:r>
      <w:r>
        <w:t>Correct. Confusion, dehydration, lack of food, and medication uncertainty create an urgent health and capacity concern that cannot be resolved by accepting the refusal at face value.</w:t>
      </w:r>
    </w:p>
    <w:p>
      <w:pPr>
        <w:pStyle w:val="Rationale"/>
      </w:pPr>
      <w:r>
        <w:rPr>
          <w:b/>
          <w:color w:val="A02D2D"/>
        </w:rPr>
        <w:t xml:space="preserve">D. </w:t>
      </w:r>
      <w:r>
        <w:t>Incorrect. Food alone does not address confusion, dehydration, medication risk, or capacity.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 refusal is not the end of analysis when the client may not be able to understand or appreciate the danger.</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LCSW-WB06-QB-Q008</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Application</w:t>
            </w:r>
          </w:p>
        </w:tc>
        <w:tc>
          <w:tcPr>
            <w:tcW w:type="dxa" w:w="3672"/>
            <w:tcMar>
              <w:top w:w="90" w:type="dxa"/>
              <w:start w:w="100" w:type="dxa"/>
              <w:bottom w:w="90" w:type="dxa"/>
              <w:end w:w="100" w:type="dxa"/>
            </w:tcMar>
            <w:vAlign w:val="top"/>
          </w:tcPr>
          <w:p>
            <w:pPr>
              <w:keepNext/>
              <w:jc w:val="center"/>
            </w:pPr>
            <w:r>
              <w:rPr>
                <w:b/>
                <w:color w:val="1B2A41"/>
                <w:sz w:val="16"/>
              </w:rPr>
              <w:t>IPV safety and self-determination</w:t>
            </w:r>
          </w:p>
        </w:tc>
      </w:tr>
    </w:tbl>
    <w:p>
      <w:pPr>
        <w:keepNext/>
      </w:pPr>
      <w:r>
        <w:rPr>
          <w:b/>
          <w:color w:val="1B2A41"/>
          <w:sz w:val="22"/>
        </w:rPr>
        <w:t>Question</w:t>
      </w:r>
    </w:p>
    <w:p>
      <w:pPr>
        <w:keepNext/>
      </w:pPr>
      <w:r>
        <w:rPr>
          <w:b/>
        </w:rPr>
        <w:t>An adult client experiencing intimate partner violence says the client is not ready to leave the relationship. What should the social worker do FIRST?</w:t>
      </w:r>
    </w:p>
    <w:p>
      <w:pPr>
        <w:pStyle w:val="Option"/>
        <w:keepNext/>
      </w:pPr>
      <w:r>
        <w:rPr>
          <w:b/>
        </w:rPr>
        <w:t xml:space="preserve">A. </w:t>
      </w:r>
      <w:r>
        <w:t>Tell the client that services will continue only after the client leaves.</w:t>
      </w:r>
    </w:p>
    <w:p>
      <w:pPr>
        <w:pStyle w:val="Option"/>
        <w:keepNext/>
      </w:pPr>
      <w:r>
        <w:rPr>
          <w:b/>
        </w:rPr>
        <w:t xml:space="preserve">B. </w:t>
      </w:r>
      <w:r>
        <w:t>Contact the partner to negotiate a no-violence agreement.</w:t>
      </w:r>
    </w:p>
    <w:p>
      <w:pPr>
        <w:pStyle w:val="Option"/>
        <w:keepNext/>
      </w:pPr>
      <w:r>
        <w:rPr>
          <w:b/>
        </w:rPr>
        <w:t xml:space="preserve">C. </w:t>
      </w:r>
      <w:r>
        <w:t>Require immediate police reporting in every jurisdiction.</w:t>
      </w:r>
    </w:p>
    <w:p>
      <w:pPr>
        <w:pStyle w:val="Option"/>
        <w:keepNext/>
      </w:pPr>
      <w:r>
        <w:rPr>
          <w:b/>
        </w:rPr>
        <w:t xml:space="preserve">D. </w:t>
      </w:r>
      <w:r>
        <w:t>Assess immediate danger and escalation, identify safe communication and supports, and develop a safety plan consistent with the client’s choices unless an overriding duty applies.</w:t>
      </w:r>
    </w:p>
    <w:p>
      <w:r>
        <w:rPr>
          <w:b/>
          <w:color w:val="237852"/>
        </w:rPr>
        <w:t>Correct Answer: D</w:t>
      </w:r>
    </w:p>
    <w:p>
      <w:pPr>
        <w:keepNext/>
      </w:pPr>
      <w:r>
        <w:rPr>
          <w:b/>
          <w:color w:val="1B2A41"/>
          <w:sz w:val="22"/>
        </w:rPr>
        <w:t>Rationales</w:t>
      </w:r>
    </w:p>
    <w:p>
      <w:pPr>
        <w:pStyle w:val="Rationale"/>
      </w:pPr>
      <w:r>
        <w:rPr>
          <w:b/>
          <w:color w:val="A02D2D"/>
        </w:rPr>
        <w:t xml:space="preserve">A. </w:t>
      </w:r>
      <w:r>
        <w:t>Incorrect. Coercing departure can end engagement and does not respect adult self-determination.</w:t>
      </w:r>
    </w:p>
    <w:p>
      <w:pPr>
        <w:pStyle w:val="Rationale"/>
      </w:pPr>
      <w:r>
        <w:rPr>
          <w:b/>
          <w:color w:val="A02D2D"/>
        </w:rPr>
        <w:t xml:space="preserve">B. </w:t>
      </w:r>
      <w:r>
        <w:t>Incorrect. Contacting the alleged perpetrator can increase danger and violate confidentiality.</w:t>
      </w:r>
    </w:p>
    <w:p>
      <w:pPr>
        <w:pStyle w:val="Rationale"/>
      </w:pPr>
      <w:r>
        <w:rPr>
          <w:b/>
          <w:color w:val="A02D2D"/>
        </w:rPr>
        <w:t xml:space="preserve">C. </w:t>
      </w:r>
      <w:r>
        <w:t>Incorrect. Adult reporting and protective duties vary, and the item supplies no universal requirement.</w:t>
      </w:r>
    </w:p>
    <w:p>
      <w:pPr>
        <w:pStyle w:val="Rationale"/>
      </w:pPr>
      <w:r>
        <w:rPr>
          <w:b/>
          <w:color w:val="237852"/>
        </w:rPr>
        <w:t xml:space="preserve">D. </w:t>
      </w:r>
      <w:r>
        <w:t>Correct. The response preserves self-determination while addressing current danger and practical safety needs.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Do not confuse supporting safety with taking control away from an adult survivor.</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LCSW-WB06-QB-Q009</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Application</w:t>
            </w:r>
          </w:p>
        </w:tc>
        <w:tc>
          <w:tcPr>
            <w:tcW w:type="dxa" w:w="3672"/>
            <w:tcMar>
              <w:top w:w="90" w:type="dxa"/>
              <w:start w:w="100" w:type="dxa"/>
              <w:bottom w:w="90" w:type="dxa"/>
              <w:end w:w="100" w:type="dxa"/>
            </w:tcMar>
            <w:vAlign w:val="top"/>
          </w:tcPr>
          <w:p>
            <w:pPr>
              <w:keepNext/>
              <w:jc w:val="center"/>
            </w:pPr>
            <w:r>
              <w:rPr>
                <w:b/>
                <w:color w:val="1B2A41"/>
                <w:sz w:val="16"/>
              </w:rPr>
              <w:t>Supplied child-reporting law</w:t>
            </w:r>
          </w:p>
        </w:tc>
      </w:tr>
    </w:tbl>
    <w:p>
      <w:pPr>
        <w:keepNext/>
      </w:pPr>
      <w:r>
        <w:rPr>
          <w:b/>
          <w:color w:val="1B2A41"/>
          <w:sz w:val="22"/>
        </w:rPr>
        <w:t>Question</w:t>
      </w:r>
    </w:p>
    <w:p>
      <w:pPr>
        <w:keepNext/>
      </w:pPr>
      <w:r>
        <w:rPr>
          <w:b/>
        </w:rPr>
        <w:t>A school social worker hears facts that meet the reporting threshold under a child-abuse law explicitly supplied in the question. What should the social worker do?</w:t>
      </w:r>
    </w:p>
    <w:p>
      <w:pPr>
        <w:pStyle w:val="Option"/>
        <w:keepNext/>
      </w:pPr>
      <w:r>
        <w:rPr>
          <w:b/>
        </w:rPr>
        <w:t xml:space="preserve">A. </w:t>
      </w:r>
      <w:r>
        <w:t>Address immediate safety and follow the mandated-reporting procedure without conducting an independent investigation for proof.</w:t>
      </w:r>
    </w:p>
    <w:p>
      <w:pPr>
        <w:pStyle w:val="Option"/>
        <w:keepNext/>
      </w:pPr>
      <w:r>
        <w:rPr>
          <w:b/>
        </w:rPr>
        <w:t xml:space="preserve">B. </w:t>
      </w:r>
      <w:r>
        <w:t>Interview every family member before deciding whether the allegation is true.</w:t>
      </w:r>
    </w:p>
    <w:p>
      <w:pPr>
        <w:pStyle w:val="Option"/>
        <w:keepNext/>
      </w:pPr>
      <w:r>
        <w:rPr>
          <w:b/>
        </w:rPr>
        <w:t xml:space="preserve">C. </w:t>
      </w:r>
      <w:r>
        <w:t>Ask the alleged perpetrator for permission to contact authorities.</w:t>
      </w:r>
    </w:p>
    <w:p>
      <w:r>
        <w:rPr>
          <w:b/>
          <w:color w:val="237852"/>
        </w:rPr>
        <w:t>Correct Answer: A</w:t>
      </w:r>
    </w:p>
    <w:p>
      <w:pPr>
        <w:keepNext/>
      </w:pPr>
      <w:r>
        <w:rPr>
          <w:b/>
          <w:color w:val="1B2A41"/>
          <w:sz w:val="22"/>
        </w:rPr>
        <w:t>Rationales</w:t>
      </w:r>
    </w:p>
    <w:p>
      <w:pPr>
        <w:pStyle w:val="Rationale"/>
      </w:pPr>
      <w:r>
        <w:rPr>
          <w:b/>
          <w:color w:val="237852"/>
        </w:rPr>
        <w:t xml:space="preserve">A. </w:t>
      </w:r>
      <w:r>
        <w:t>Correct. When the item supplies a controlling reporting rule and the threshold is met, reporting and safety take priority over verification.</w:t>
      </w:r>
    </w:p>
    <w:p>
      <w:pPr>
        <w:pStyle w:val="Rationale"/>
      </w:pPr>
      <w:r>
        <w:rPr>
          <w:b/>
          <w:color w:val="A02D2D"/>
        </w:rPr>
        <w:t xml:space="preserve">B. </w:t>
      </w:r>
      <w:r>
        <w:t>Incorrect. A mandated reporter should not delay the required report to investigate.</w:t>
      </w:r>
    </w:p>
    <w:p>
      <w:pPr>
        <w:pStyle w:val="Rationale"/>
      </w:pPr>
      <w:r>
        <w:rPr>
          <w:b/>
          <w:color w:val="A02D2D"/>
        </w:rPr>
        <w:t xml:space="preserve">C. </w:t>
      </w:r>
      <w:r>
        <w:t>Incorrect. Permission is not required for a mandated report and confrontation may increase risk.</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the law and facts are given, apply them—do not add a proof requirement.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LCSW-WB06-QB-Q010</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Scenario-Based</w:t>
            </w:r>
          </w:p>
        </w:tc>
        <w:tc>
          <w:tcPr>
            <w:tcW w:type="dxa" w:w="3672"/>
            <w:tcMar>
              <w:top w:w="90" w:type="dxa"/>
              <w:start w:w="100" w:type="dxa"/>
              <w:bottom w:w="90" w:type="dxa"/>
              <w:end w:w="100" w:type="dxa"/>
            </w:tcMar>
            <w:vAlign w:val="top"/>
          </w:tcPr>
          <w:p>
            <w:pPr>
              <w:keepNext/>
              <w:jc w:val="center"/>
            </w:pPr>
            <w:r>
              <w:rPr>
                <w:b/>
                <w:color w:val="1B2A41"/>
                <w:sz w:val="16"/>
              </w:rPr>
              <w:t>Psychosis, homelessness, and outreach</w:t>
            </w:r>
          </w:p>
        </w:tc>
      </w:tr>
    </w:tbl>
    <w:p>
      <w:pPr>
        <w:keepNext/>
      </w:pPr>
      <w:r>
        <w:rPr>
          <w:b/>
          <w:color w:val="1B2A41"/>
          <w:sz w:val="22"/>
        </w:rPr>
        <w:t>Question</w:t>
      </w:r>
    </w:p>
    <w:p>
      <w:pPr>
        <w:keepNext/>
      </w:pPr>
      <w:r>
        <w:rPr>
          <w:b/>
        </w:rPr>
        <w:t>An outreach social worker meets a client who is responding to voices, has not eaten since yesterday, sleeps beside a freeway, and refuses a shelter because of prior victimization there. The client accepts water and remains engaged. What should the social worker do NEXT?</w:t>
      </w:r>
    </w:p>
    <w:p>
      <w:pPr>
        <w:pStyle w:val="Option"/>
        <w:keepNext/>
      </w:pPr>
      <w:r>
        <w:rPr>
          <w:b/>
        </w:rPr>
        <w:t xml:space="preserve">A. </w:t>
      </w:r>
      <w:r>
        <w:t>End the contact because the client declined the offered shelter.</w:t>
      </w:r>
    </w:p>
    <w:p>
      <w:pPr>
        <w:pStyle w:val="Option"/>
        <w:keepNext/>
      </w:pPr>
      <w:r>
        <w:rPr>
          <w:b/>
        </w:rPr>
        <w:t xml:space="preserve">B. </w:t>
      </w:r>
      <w:r>
        <w:t>Assess current danger, medical needs, ability to care for basic needs, substance use, and willingness to accept crisis or medical evaluation while offering safer, least restrictive options.</w:t>
      </w:r>
    </w:p>
    <w:p>
      <w:pPr>
        <w:pStyle w:val="Option"/>
        <w:keepNext/>
      </w:pPr>
      <w:r>
        <w:rPr>
          <w:b/>
        </w:rPr>
        <w:t xml:space="preserve">C. </w:t>
      </w:r>
      <w:r>
        <w:t>Tell the client that shelter placement is mandatory.</w:t>
      </w:r>
    </w:p>
    <w:p>
      <w:r>
        <w:rPr>
          <w:b/>
          <w:color w:val="237852"/>
        </w:rPr>
        <w:t>Correct Answer: B</w:t>
      </w:r>
    </w:p>
    <w:p>
      <w:pPr>
        <w:keepNext/>
      </w:pPr>
      <w:r>
        <w:rPr>
          <w:b/>
          <w:color w:val="1B2A41"/>
          <w:sz w:val="22"/>
        </w:rPr>
        <w:t>Rationales</w:t>
      </w:r>
    </w:p>
    <w:p>
      <w:pPr>
        <w:pStyle w:val="Rationale"/>
      </w:pPr>
      <w:r>
        <w:rPr>
          <w:b/>
          <w:color w:val="A02D2D"/>
        </w:rPr>
        <w:t xml:space="preserve">A. </w:t>
      </w:r>
      <w:r>
        <w:t>Incorrect. Refusal of one resource is not abandonment of services or proof that no alternatives exist.</w:t>
      </w:r>
    </w:p>
    <w:p>
      <w:pPr>
        <w:pStyle w:val="Rationale"/>
      </w:pPr>
      <w:r>
        <w:rPr>
          <w:b/>
          <w:color w:val="237852"/>
        </w:rPr>
        <w:t xml:space="preserve">B. </w:t>
      </w:r>
      <w:r>
        <w:t>Correct. The response integrates psychosis, basic needs, trauma history, self-determination, and continued engagement rather than treating shelter refusal as refusal of all help.</w:t>
      </w:r>
    </w:p>
    <w:p>
      <w:pPr>
        <w:pStyle w:val="Rationale"/>
      </w:pPr>
      <w:r>
        <w:rPr>
          <w:b/>
          <w:color w:val="A02D2D"/>
        </w:rPr>
        <w:t xml:space="preserve">C. </w:t>
      </w:r>
      <w:r>
        <w:t>Incorrect. The social worker should assess capacity, danger, and alternatives rather than impose a service without authority.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 client can refuse one option and still accept help; keep assessing and expand the choices.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LCSW-WB06-QB-Q011</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Scenario-Based</w:t>
            </w:r>
          </w:p>
        </w:tc>
        <w:tc>
          <w:tcPr>
            <w:tcW w:type="dxa" w:w="3672"/>
            <w:tcMar>
              <w:top w:w="90" w:type="dxa"/>
              <w:start w:w="100" w:type="dxa"/>
              <w:bottom w:w="90" w:type="dxa"/>
              <w:end w:w="100" w:type="dxa"/>
            </w:tcMar>
            <w:vAlign w:val="top"/>
          </w:tcPr>
          <w:p>
            <w:pPr>
              <w:keepNext/>
              <w:jc w:val="center"/>
            </w:pPr>
            <w:r>
              <w:rPr>
                <w:b/>
                <w:color w:val="1B2A41"/>
                <w:sz w:val="16"/>
              </w:rPr>
              <w:t>Sexual violence, housing, and client choice</w:t>
            </w:r>
          </w:p>
        </w:tc>
      </w:tr>
    </w:tbl>
    <w:p>
      <w:pPr>
        <w:keepNext/>
      </w:pPr>
      <w:r>
        <w:rPr>
          <w:b/>
          <w:color w:val="1B2A41"/>
          <w:sz w:val="22"/>
        </w:rPr>
        <w:t>Question</w:t>
      </w:r>
    </w:p>
    <w:p>
      <w:pPr>
        <w:keepNext/>
      </w:pPr>
      <w:r>
        <w:rPr>
          <w:b/>
        </w:rPr>
        <w:t>A client at a community clinic says a roommate forced sexual contact and the client cannot safely return to the apartment where medication and identification remain. What should the social worker do FIRST?</w:t>
      </w:r>
    </w:p>
    <w:p>
      <w:pPr>
        <w:pStyle w:val="Option"/>
        <w:keepNext/>
      </w:pPr>
      <w:r>
        <w:rPr>
          <w:b/>
        </w:rPr>
        <w:t xml:space="preserve">A. </w:t>
      </w:r>
      <w:r>
        <w:t>Arrange a joint meeting with the roommate to negotiate household boundaries.</w:t>
      </w:r>
    </w:p>
    <w:p>
      <w:pPr>
        <w:pStyle w:val="Option"/>
        <w:keepNext/>
      </w:pPr>
      <w:r>
        <w:rPr>
          <w:b/>
        </w:rPr>
        <w:t xml:space="preserve">B. </w:t>
      </w:r>
      <w:r>
        <w:t>Ask the client to provide a complete trauma narrative before discussing practical needs.</w:t>
      </w:r>
    </w:p>
    <w:p>
      <w:pPr>
        <w:pStyle w:val="Option"/>
        <w:keepNext/>
      </w:pPr>
      <w:r>
        <w:rPr>
          <w:b/>
        </w:rPr>
        <w:t xml:space="preserve">C. </w:t>
      </w:r>
      <w:r>
        <w:t>Assess immediate danger and health needs, help identify safe lodging and a way to retrieve essential belongings safely, and offer advocacy, medical, forensic, and reporting resources according to the client’s preferences.</w:t>
      </w:r>
    </w:p>
    <w:p>
      <w:r>
        <w:rPr>
          <w:b/>
          <w:color w:val="237852"/>
        </w:rPr>
        <w:t>Correct Answer: C</w:t>
      </w:r>
    </w:p>
    <w:p>
      <w:pPr>
        <w:keepNext/>
      </w:pPr>
      <w:r>
        <w:rPr>
          <w:b/>
          <w:color w:val="1B2A41"/>
          <w:sz w:val="22"/>
        </w:rPr>
        <w:t>Rationales</w:t>
      </w:r>
    </w:p>
    <w:p>
      <w:pPr>
        <w:pStyle w:val="Rationale"/>
      </w:pPr>
      <w:r>
        <w:rPr>
          <w:b/>
          <w:color w:val="A02D2D"/>
        </w:rPr>
        <w:t xml:space="preserve">A. </w:t>
      </w:r>
      <w:r>
        <w:t>Incorrect. Confrontation can increase danger and is not an appropriate acute response.</w:t>
      </w:r>
    </w:p>
    <w:p>
      <w:pPr>
        <w:pStyle w:val="Rationale"/>
      </w:pPr>
      <w:r>
        <w:rPr>
          <w:b/>
          <w:color w:val="A02D2D"/>
        </w:rPr>
        <w:t xml:space="preserve">B. </w:t>
      </w:r>
      <w:r>
        <w:t>Incorrect. Detailed processing is premature while safety, medication, and housing remain unresolved.</w:t>
      </w:r>
    </w:p>
    <w:p>
      <w:pPr>
        <w:pStyle w:val="Rationale"/>
      </w:pPr>
      <w:r>
        <w:rPr>
          <w:b/>
          <w:color w:val="237852"/>
        </w:rPr>
        <w:t xml:space="preserve">C. </w:t>
      </w:r>
      <w:r>
        <w:t>Correct. The response addresses safety, health, housing, essential property, and client control without requiring confrontation or a particular report.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Restore safety and practical control first; do not force confrontation, detailed disclosure, or one reporting path.</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LCSW-WB06-QB-Q012</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Scenario-Based</w:t>
            </w:r>
          </w:p>
        </w:tc>
        <w:tc>
          <w:tcPr>
            <w:tcW w:type="dxa" w:w="3672"/>
            <w:tcMar>
              <w:top w:w="90" w:type="dxa"/>
              <w:start w:w="100" w:type="dxa"/>
              <w:bottom w:w="90" w:type="dxa"/>
              <w:end w:w="100" w:type="dxa"/>
            </w:tcMar>
            <w:vAlign w:val="top"/>
          </w:tcPr>
          <w:p>
            <w:pPr>
              <w:keepNext/>
              <w:jc w:val="center"/>
            </w:pPr>
            <w:r>
              <w:rPr>
                <w:b/>
                <w:color w:val="1B2A41"/>
                <w:sz w:val="16"/>
              </w:rPr>
              <w:t>Disaster response and basic needs</w:t>
            </w:r>
          </w:p>
        </w:tc>
      </w:tr>
    </w:tbl>
    <w:p>
      <w:pPr>
        <w:keepNext/>
      </w:pPr>
      <w:r>
        <w:rPr>
          <w:b/>
          <w:color w:val="1B2A41"/>
          <w:sz w:val="22"/>
        </w:rPr>
        <w:t>Question</w:t>
      </w:r>
    </w:p>
    <w:p>
      <w:pPr>
        <w:keepNext/>
      </w:pPr>
      <w:r>
        <w:rPr>
          <w:b/>
        </w:rPr>
        <w:t>After a major flood, a family has no safe shelter, a child has run out of insulin, and the parents cannot charge their phone to contact relatives. What should the social worker do FIRST?</w:t>
      </w:r>
    </w:p>
    <w:p>
      <w:pPr>
        <w:pStyle w:val="Option"/>
        <w:keepNext/>
      </w:pPr>
      <w:r>
        <w:rPr>
          <w:b/>
        </w:rPr>
        <w:t xml:space="preserve">A. </w:t>
      </w:r>
      <w:r>
        <w:t>Provide psychoeducation about posttraumatic stress.</w:t>
      </w:r>
    </w:p>
    <w:p>
      <w:pPr>
        <w:pStyle w:val="Option"/>
        <w:keepNext/>
      </w:pPr>
      <w:r>
        <w:rPr>
          <w:b/>
        </w:rPr>
        <w:t xml:space="preserve">B. </w:t>
      </w:r>
      <w:r>
        <w:t>Explore the family’s communication patterns before arranging resources.</w:t>
      </w:r>
    </w:p>
    <w:p>
      <w:pPr>
        <w:pStyle w:val="Option"/>
        <w:keepNext/>
      </w:pPr>
      <w:r>
        <w:rPr>
          <w:b/>
        </w:rPr>
        <w:t xml:space="preserve">C. </w:t>
      </w:r>
      <w:r>
        <w:t>Ask the family to complete a trauma-symptom inventory before providing assistance.</w:t>
      </w:r>
    </w:p>
    <w:p>
      <w:pPr>
        <w:pStyle w:val="Option"/>
        <w:keepNext/>
      </w:pPr>
      <w:r>
        <w:rPr>
          <w:b/>
        </w:rPr>
        <w:t xml:space="preserve">D. </w:t>
      </w:r>
      <w:r>
        <w:t>Secure urgent medication access and safe shelter, address communication and transportation needs, and assess immediate health and safety.</w:t>
      </w:r>
    </w:p>
    <w:p>
      <w:r>
        <w:rPr>
          <w:b/>
          <w:color w:val="237852"/>
        </w:rPr>
        <w:t>Correct Answer: D</w:t>
      </w:r>
    </w:p>
    <w:p>
      <w:pPr>
        <w:keepNext/>
      </w:pPr>
      <w:r>
        <w:rPr>
          <w:b/>
          <w:color w:val="1B2A41"/>
          <w:sz w:val="22"/>
        </w:rPr>
        <w:t>Rationales</w:t>
      </w:r>
    </w:p>
    <w:p>
      <w:pPr>
        <w:pStyle w:val="Rationale"/>
      </w:pPr>
      <w:r>
        <w:rPr>
          <w:b/>
          <w:color w:val="A02D2D"/>
        </w:rPr>
        <w:t xml:space="preserve">A. </w:t>
      </w:r>
      <w:r>
        <w:t>Incorrect. Education may help later but does not resolve the immediate medical and shelter crisis.</w:t>
      </w:r>
    </w:p>
    <w:p>
      <w:pPr>
        <w:pStyle w:val="Rationale"/>
      </w:pPr>
      <w:r>
        <w:rPr>
          <w:b/>
          <w:color w:val="A02D2D"/>
        </w:rPr>
        <w:t xml:space="preserve">B. </w:t>
      </w:r>
      <w:r>
        <w:t>Incorrect. Family assessment is not the first priority while basic needs are unmet.</w:t>
      </w:r>
    </w:p>
    <w:p>
      <w:pPr>
        <w:pStyle w:val="Rationale"/>
      </w:pPr>
      <w:r>
        <w:rPr>
          <w:b/>
          <w:color w:val="A02D2D"/>
        </w:rPr>
        <w:t xml:space="preserve">C. </w:t>
      </w:r>
      <w:r>
        <w:t>Incorrect. A checklist should not delay urgent medication, shelter, and communication support.</w:t>
      </w:r>
    </w:p>
    <w:p>
      <w:pPr>
        <w:pStyle w:val="Rationale"/>
      </w:pPr>
      <w:r>
        <w:rPr>
          <w:b/>
          <w:color w:val="237852"/>
        </w:rPr>
        <w:t xml:space="preserve">D. </w:t>
      </w:r>
      <w:r>
        <w:t>Correct. Survival, medical stability, and practical access take priority over education or long-term processing during acute displacement.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In disaster response, treat access barriers as crisis facts and stabilize basic needs before deeper clinical work.</w:t>
            </w:r>
          </w:p>
        </w:tc>
      </w:tr>
    </w:tbl>
    <w:p/>
    <w:p>
      <w:r>
        <w:br w:type="page"/>
      </w:r>
    </w:p>
    <w:p>
      <w:pPr>
        <w:pStyle w:val="Heading1"/>
      </w:pPr>
      <w:r>
        <w:t>Difficult Questions</w:t>
      </w:r>
    </w:p>
    <w:p>
      <w:r>
        <w:rPr>
          <w:i/>
          <w:color w:val="696969"/>
        </w:rPr>
        <w:t>5 questions | Complex scenarios requiring prioritization, scope analysis, and integrated safety planning.</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LCSW-WB06-QB-Q013</w:t>
            </w:r>
          </w:p>
        </w:tc>
        <w:tc>
          <w:tcPr>
            <w:tcW w:type="dxa" w:w="1728"/>
            <w:tcMar>
              <w:top w:w="90" w:type="dxa"/>
              <w:start w:w="100" w:type="dxa"/>
              <w:bottom w:w="90" w:type="dxa"/>
              <w:end w:w="100" w:type="dxa"/>
            </w:tcMar>
            <w:vAlign w:val="top"/>
          </w:tcPr>
          <w:p>
            <w:pPr>
              <w:keepNext/>
              <w:jc w:val="center"/>
            </w:pPr>
            <w:r>
              <w:rPr>
                <w:b/>
                <w:color w:val="1B2A41"/>
                <w:sz w:val="16"/>
              </w:rPr>
              <w:t>Difficult</w:t>
            </w:r>
          </w:p>
        </w:tc>
        <w:tc>
          <w:tcPr>
            <w:tcW w:type="dxa" w:w="2520"/>
            <w:tcMar>
              <w:top w:w="90" w:type="dxa"/>
              <w:start w:w="100" w:type="dxa"/>
              <w:bottom w:w="90" w:type="dxa"/>
              <w:end w:w="100" w:type="dxa"/>
            </w:tcMar>
            <w:vAlign w:val="top"/>
          </w:tcPr>
          <w:p>
            <w:pPr>
              <w:keepNext/>
              <w:jc w:val="center"/>
            </w:pPr>
            <w:r>
              <w:rPr>
                <w:b/>
                <w:color w:val="1B2A41"/>
                <w:sz w:val="16"/>
              </w:rPr>
              <w:t>Integrated Clinical Reasoning</w:t>
            </w:r>
          </w:p>
        </w:tc>
        <w:tc>
          <w:tcPr>
            <w:tcW w:type="dxa" w:w="3672"/>
            <w:tcMar>
              <w:top w:w="90" w:type="dxa"/>
              <w:start w:w="100" w:type="dxa"/>
              <w:bottom w:w="90" w:type="dxa"/>
              <w:end w:w="100" w:type="dxa"/>
            </w:tcMar>
            <w:vAlign w:val="top"/>
          </w:tcPr>
          <w:p>
            <w:pPr>
              <w:keepNext/>
              <w:jc w:val="center"/>
            </w:pPr>
            <w:r>
              <w:rPr>
                <w:b/>
                <w:color w:val="1B2A41"/>
                <w:sz w:val="16"/>
              </w:rPr>
              <w:t>Accessible refugee crisis planning</w:t>
            </w:r>
          </w:p>
        </w:tc>
      </w:tr>
    </w:tbl>
    <w:p>
      <w:pPr>
        <w:keepNext/>
      </w:pPr>
      <w:r>
        <w:rPr>
          <w:b/>
          <w:color w:val="1B2A41"/>
          <w:sz w:val="22"/>
        </w:rPr>
        <w:t>Question</w:t>
      </w:r>
    </w:p>
    <w:p>
      <w:pPr>
        <w:keepNext/>
      </w:pPr>
      <w:r>
        <w:rPr>
          <w:b/>
        </w:rPr>
        <w:t>A refugee client reports nightmares, recent job loss, fear related to immigration status, and thoughts of “giving up.” The client denies intent or a plan, identifies children as a reason to live, accepts help, speaks limited English, and has no transportation. What should the social worker do NEXT?</w:t>
      </w:r>
    </w:p>
    <w:p>
      <w:pPr>
        <w:pStyle w:val="Option"/>
        <w:keepNext/>
      </w:pPr>
      <w:r>
        <w:rPr>
          <w:b/>
        </w:rPr>
        <w:t xml:space="preserve">A. </w:t>
      </w:r>
      <w:r>
        <w:t>Develop a collaborative safety plan with qualified language access, reachable crisis contacts, transportation support, relevant legal and social-service resources, confirmed follow-up, and reassessment as conditions change.</w:t>
      </w:r>
    </w:p>
    <w:p>
      <w:pPr>
        <w:pStyle w:val="Option"/>
        <w:keepNext/>
      </w:pPr>
      <w:r>
        <w:rPr>
          <w:b/>
        </w:rPr>
        <w:t xml:space="preserve">B. </w:t>
      </w:r>
      <w:r>
        <w:t>Hospitalize the client solely because suicidal thoughts were mentioned.</w:t>
      </w:r>
    </w:p>
    <w:p>
      <w:pPr>
        <w:pStyle w:val="Option"/>
        <w:keepNext/>
      </w:pPr>
      <w:r>
        <w:rPr>
          <w:b/>
        </w:rPr>
        <w:t xml:space="preserve">C. </w:t>
      </w:r>
      <w:r>
        <w:t>Focus only on trauma processing because the symptoms began after migration.</w:t>
      </w:r>
    </w:p>
    <w:p>
      <w:r>
        <w:rPr>
          <w:b/>
          <w:color w:val="237852"/>
        </w:rPr>
        <w:t>Correct Answer: A</w:t>
      </w:r>
    </w:p>
    <w:p>
      <w:pPr>
        <w:keepNext/>
      </w:pPr>
      <w:r>
        <w:rPr>
          <w:b/>
          <w:color w:val="1B2A41"/>
          <w:sz w:val="22"/>
        </w:rPr>
        <w:t>Rationales</w:t>
      </w:r>
    </w:p>
    <w:p>
      <w:pPr>
        <w:pStyle w:val="Rationale"/>
      </w:pPr>
      <w:r>
        <w:rPr>
          <w:b/>
          <w:color w:val="237852"/>
        </w:rPr>
        <w:t xml:space="preserve">A. </w:t>
      </w:r>
      <w:r>
        <w:t>Correct. The response integrates current risk, protective factors, self-determination, trauma, and concrete access barriers into a supported least restrictive plan.</w:t>
      </w:r>
    </w:p>
    <w:p>
      <w:pPr>
        <w:pStyle w:val="Rationale"/>
      </w:pPr>
      <w:r>
        <w:rPr>
          <w:b/>
          <w:color w:val="A02D2D"/>
        </w:rPr>
        <w:t xml:space="preserve">B. </w:t>
      </w:r>
      <w:r>
        <w:t>Incorrect. The facts do not automatically require inpatient care and describe willingness and protective factors.</w:t>
      </w:r>
    </w:p>
    <w:p>
      <w:pPr>
        <w:pStyle w:val="Rationale"/>
      </w:pPr>
      <w:r>
        <w:rPr>
          <w:b/>
          <w:color w:val="A02D2D"/>
        </w:rPr>
        <w:t xml:space="preserve">C. </w:t>
      </w:r>
      <w:r>
        <w:t>Incorrect. Trauma work alone ignores current safety and environmental stressors.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 plan is only as strong as the client’s realistic ability to understand, reach, and use it.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LCSW-WB06-QB-Q014</w:t>
            </w:r>
          </w:p>
        </w:tc>
        <w:tc>
          <w:tcPr>
            <w:tcW w:type="dxa" w:w="1728"/>
            <w:tcMar>
              <w:top w:w="90" w:type="dxa"/>
              <w:start w:w="100" w:type="dxa"/>
              <w:bottom w:w="90" w:type="dxa"/>
              <w:end w:w="100" w:type="dxa"/>
            </w:tcMar>
            <w:vAlign w:val="top"/>
          </w:tcPr>
          <w:p>
            <w:pPr>
              <w:keepNext/>
              <w:jc w:val="center"/>
            </w:pPr>
            <w:r>
              <w:rPr>
                <w:b/>
                <w:color w:val="1B2A41"/>
                <w:sz w:val="16"/>
              </w:rPr>
              <w:t>Difficult</w:t>
            </w:r>
          </w:p>
        </w:tc>
        <w:tc>
          <w:tcPr>
            <w:tcW w:type="dxa" w:w="2520"/>
            <w:tcMar>
              <w:top w:w="90" w:type="dxa"/>
              <w:start w:w="100" w:type="dxa"/>
              <w:bottom w:w="90" w:type="dxa"/>
              <w:end w:w="100" w:type="dxa"/>
            </w:tcMar>
            <w:vAlign w:val="top"/>
          </w:tcPr>
          <w:p>
            <w:pPr>
              <w:keepNext/>
              <w:jc w:val="center"/>
            </w:pPr>
            <w:r>
              <w:rPr>
                <w:b/>
                <w:color w:val="1B2A41"/>
                <w:sz w:val="16"/>
              </w:rPr>
              <w:t>Integrated Clinical Reasoning</w:t>
            </w:r>
          </w:p>
        </w:tc>
        <w:tc>
          <w:tcPr>
            <w:tcW w:type="dxa" w:w="3672"/>
            <w:tcMar>
              <w:top w:w="90" w:type="dxa"/>
              <w:start w:w="100" w:type="dxa"/>
              <w:bottom w:w="90" w:type="dxa"/>
              <w:end w:w="100" w:type="dxa"/>
            </w:tcMar>
            <w:vAlign w:val="top"/>
          </w:tcPr>
          <w:p>
            <w:pPr>
              <w:keepNext/>
              <w:jc w:val="center"/>
            </w:pPr>
            <w:r>
              <w:rPr>
                <w:b/>
                <w:color w:val="1B2A41"/>
                <w:sz w:val="16"/>
              </w:rPr>
              <w:t>Medical emergency with suicidal statement</w:t>
            </w:r>
          </w:p>
        </w:tc>
      </w:tr>
    </w:tbl>
    <w:p>
      <w:pPr>
        <w:keepNext/>
      </w:pPr>
      <w:r>
        <w:rPr>
          <w:b/>
          <w:color w:val="1B2A41"/>
          <w:sz w:val="22"/>
        </w:rPr>
        <w:t>Question</w:t>
      </w:r>
    </w:p>
    <w:p>
      <w:pPr>
        <w:keepNext/>
      </w:pPr>
      <w:r>
        <w:rPr>
          <w:b/>
        </w:rPr>
        <w:t>A hospital social worker sees a patient who is increasingly difficult to awaken after saying, “I took extra pain pills because I wanted everything to stop.” The patient’s partner insists the patient was only trying to sleep. What should the social worker do FIRST?</w:t>
      </w:r>
    </w:p>
    <w:p>
      <w:pPr>
        <w:pStyle w:val="Option"/>
        <w:keepNext/>
      </w:pPr>
      <w:r>
        <w:rPr>
          <w:b/>
        </w:rPr>
        <w:t xml:space="preserve">A. </w:t>
      </w:r>
      <w:r>
        <w:t>Wait for the patient to become fully alert before notifying anyone.</w:t>
      </w:r>
    </w:p>
    <w:p>
      <w:pPr>
        <w:pStyle w:val="Option"/>
        <w:keepNext/>
      </w:pPr>
      <w:r>
        <w:rPr>
          <w:b/>
        </w:rPr>
        <w:t xml:space="preserve">B. </w:t>
      </w:r>
      <w:r>
        <w:t>Notify the medical team or emergency responders immediately while continuing suicide-risk and collateral assessment as medically possible.</w:t>
      </w:r>
    </w:p>
    <w:p>
      <w:pPr>
        <w:pStyle w:val="Option"/>
        <w:keepNext/>
      </w:pPr>
      <w:r>
        <w:rPr>
          <w:b/>
        </w:rPr>
        <w:t xml:space="preserve">C. </w:t>
      </w:r>
      <w:r>
        <w:t>Accept the partner’s explanation and document no suicide risk.</w:t>
      </w:r>
    </w:p>
    <w:p>
      <w:r>
        <w:rPr>
          <w:b/>
          <w:color w:val="237852"/>
        </w:rPr>
        <w:t>Correct Answer: B</w:t>
      </w:r>
    </w:p>
    <w:p>
      <w:pPr>
        <w:keepNext/>
      </w:pPr>
      <w:r>
        <w:rPr>
          <w:b/>
          <w:color w:val="1B2A41"/>
          <w:sz w:val="22"/>
        </w:rPr>
        <w:t>Rationales</w:t>
      </w:r>
    </w:p>
    <w:p>
      <w:pPr>
        <w:pStyle w:val="Rationale"/>
      </w:pPr>
      <w:r>
        <w:rPr>
          <w:b/>
          <w:color w:val="A02D2D"/>
        </w:rPr>
        <w:t xml:space="preserve">A. </w:t>
      </w:r>
      <w:r>
        <w:t>Incorrect. Delaying medical response could increase harm.</w:t>
      </w:r>
    </w:p>
    <w:p>
      <w:pPr>
        <w:pStyle w:val="Rationale"/>
      </w:pPr>
      <w:r>
        <w:rPr>
          <w:b/>
          <w:color w:val="237852"/>
        </w:rPr>
        <w:t xml:space="preserve">B. </w:t>
      </w:r>
      <w:r>
        <w:t>Correct. Reduced consciousness and possible overdose create a medical emergency; the partner’s interpretation does not reduce the need for immediate action.</w:t>
      </w:r>
    </w:p>
    <w:p>
      <w:pPr>
        <w:pStyle w:val="Rationale"/>
      </w:pPr>
      <w:r>
        <w:rPr>
          <w:b/>
          <w:color w:val="A02D2D"/>
        </w:rPr>
        <w:t xml:space="preserve">C. </w:t>
      </w:r>
      <w:r>
        <w:t>Incorrect. Collateral interpretation does not override objective signs and the patient’s statement.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Objective medical danger outranks reassuring explanations and incomplete psychosocial data.</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LCSW-WB06-QB-Q015</w:t>
            </w:r>
          </w:p>
        </w:tc>
        <w:tc>
          <w:tcPr>
            <w:tcW w:type="dxa" w:w="1728"/>
            <w:tcMar>
              <w:top w:w="90" w:type="dxa"/>
              <w:start w:w="100" w:type="dxa"/>
              <w:bottom w:w="90" w:type="dxa"/>
              <w:end w:w="100" w:type="dxa"/>
            </w:tcMar>
            <w:vAlign w:val="top"/>
          </w:tcPr>
          <w:p>
            <w:pPr>
              <w:keepNext/>
              <w:jc w:val="center"/>
            </w:pPr>
            <w:r>
              <w:rPr>
                <w:b/>
                <w:color w:val="1B2A41"/>
                <w:sz w:val="16"/>
              </w:rPr>
              <w:t>Difficult</w:t>
            </w:r>
          </w:p>
        </w:tc>
        <w:tc>
          <w:tcPr>
            <w:tcW w:type="dxa" w:w="2520"/>
            <w:tcMar>
              <w:top w:w="90" w:type="dxa"/>
              <w:start w:w="100" w:type="dxa"/>
              <w:bottom w:w="90" w:type="dxa"/>
              <w:end w:w="100" w:type="dxa"/>
            </w:tcMar>
            <w:vAlign w:val="top"/>
          </w:tcPr>
          <w:p>
            <w:pPr>
              <w:keepNext/>
              <w:jc w:val="center"/>
            </w:pPr>
            <w:r>
              <w:rPr>
                <w:b/>
                <w:color w:val="1B2A41"/>
                <w:sz w:val="16"/>
              </w:rPr>
              <w:t>Integrated Clinical Reasoning</w:t>
            </w:r>
          </w:p>
        </w:tc>
        <w:tc>
          <w:tcPr>
            <w:tcW w:type="dxa" w:w="3672"/>
            <w:tcMar>
              <w:top w:w="90" w:type="dxa"/>
              <w:start w:w="100" w:type="dxa"/>
              <w:bottom w:w="90" w:type="dxa"/>
              <w:end w:w="100" w:type="dxa"/>
            </w:tcMar>
            <w:vAlign w:val="top"/>
          </w:tcPr>
          <w:p>
            <w:pPr>
              <w:keepNext/>
              <w:jc w:val="center"/>
            </w:pPr>
            <w:r>
              <w:rPr>
                <w:b/>
                <w:color w:val="1B2A41"/>
                <w:sz w:val="16"/>
              </w:rPr>
              <w:t>Possible financial exploitation</w:t>
            </w:r>
          </w:p>
        </w:tc>
      </w:tr>
    </w:tbl>
    <w:p>
      <w:pPr>
        <w:keepNext/>
      </w:pPr>
      <w:r>
        <w:rPr>
          <w:b/>
          <w:color w:val="1B2A41"/>
          <w:sz w:val="22"/>
        </w:rPr>
        <w:t>Question</w:t>
      </w:r>
    </w:p>
    <w:p>
      <w:pPr>
        <w:keepNext/>
      </w:pPr>
      <w:r>
        <w:rPr>
          <w:b/>
        </w:rPr>
        <w:t>An older adult reports that a relative controls all bank accounts and threatens to withhold transportation to medical appointments. The client appears frightened and has difficulty explaining recent transactions. No jurisdiction is specified. What should the social worker do NEXT?</w:t>
      </w:r>
    </w:p>
    <w:p>
      <w:pPr>
        <w:pStyle w:val="Option"/>
        <w:keepNext/>
      </w:pPr>
      <w:r>
        <w:rPr>
          <w:b/>
        </w:rPr>
        <w:t xml:space="preserve">A. </w:t>
      </w:r>
      <w:r>
        <w:t>Contact law enforcement automatically because all financial concerns require a criminal report.</w:t>
      </w:r>
    </w:p>
    <w:p>
      <w:pPr>
        <w:pStyle w:val="Option"/>
        <w:keepNext/>
      </w:pPr>
      <w:r>
        <w:rPr>
          <w:b/>
        </w:rPr>
        <w:t xml:space="preserve">B. </w:t>
      </w:r>
      <w:r>
        <w:t>Ask the client to confront the relative during a joint meeting.</w:t>
      </w:r>
    </w:p>
    <w:p>
      <w:pPr>
        <w:pStyle w:val="Option"/>
        <w:keepNext/>
      </w:pPr>
      <w:r>
        <w:rPr>
          <w:b/>
        </w:rPr>
        <w:t xml:space="preserve">C. </w:t>
      </w:r>
      <w:r>
        <w:t>Assess immediate safety, basic needs, decision-making capacity, access to care, and the applicable reporting and protective framework while connecting appropriate financial and social-service resources.</w:t>
      </w:r>
    </w:p>
    <w:p>
      <w:pPr>
        <w:pStyle w:val="Option"/>
        <w:keepNext/>
      </w:pPr>
      <w:r>
        <w:rPr>
          <w:b/>
        </w:rPr>
        <w:t xml:space="preserve">D. </w:t>
      </w:r>
      <w:r>
        <w:t>Take no action until bank records conclusively prove theft.</w:t>
      </w:r>
    </w:p>
    <w:p>
      <w:r>
        <w:rPr>
          <w:b/>
          <w:color w:val="237852"/>
        </w:rPr>
        <w:t>Correct Answer: C</w:t>
      </w:r>
    </w:p>
    <w:p>
      <w:pPr>
        <w:keepNext/>
      </w:pPr>
      <w:r>
        <w:rPr>
          <w:b/>
          <w:color w:val="1B2A41"/>
          <w:sz w:val="22"/>
        </w:rPr>
        <w:t>Rationales</w:t>
      </w:r>
    </w:p>
    <w:p>
      <w:pPr>
        <w:pStyle w:val="Rationale"/>
      </w:pPr>
      <w:r>
        <w:rPr>
          <w:b/>
          <w:color w:val="A02D2D"/>
        </w:rPr>
        <w:t xml:space="preserve">A. </w:t>
      </w:r>
      <w:r>
        <w:t>Incorrect. The item does not supply a universal reporting rule, and the social worker must first clarify role and applicable law.</w:t>
      </w:r>
    </w:p>
    <w:p>
      <w:pPr>
        <w:pStyle w:val="Rationale"/>
      </w:pPr>
      <w:r>
        <w:rPr>
          <w:b/>
          <w:color w:val="A02D2D"/>
        </w:rPr>
        <w:t xml:space="preserve">B. </w:t>
      </w:r>
      <w:r>
        <w:t>Incorrect. Confrontation can increase danger and does not address capacity or basic needs.</w:t>
      </w:r>
    </w:p>
    <w:p>
      <w:pPr>
        <w:pStyle w:val="Rationale"/>
      </w:pPr>
      <w:r>
        <w:rPr>
          <w:b/>
          <w:color w:val="237852"/>
        </w:rPr>
        <w:t xml:space="preserve">C. </w:t>
      </w:r>
      <w:r>
        <w:t>Correct. The response addresses possible exploitation and coercion without inventing a jurisdiction-specific rule or waiting for proof.</w:t>
      </w:r>
    </w:p>
    <w:p>
      <w:pPr>
        <w:pStyle w:val="Rationale"/>
      </w:pPr>
      <w:r>
        <w:rPr>
          <w:b/>
          <w:color w:val="A02D2D"/>
        </w:rPr>
        <w:t xml:space="preserve">D. </w:t>
      </w:r>
      <w:r>
        <w:t>Incorrect. Safety and capacity assessment should not be delayed while evidence is gathered.</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In national items, assess and protect first, then apply the law that actually governs the case.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LCSW-WB06-QB-Q016</w:t>
            </w:r>
          </w:p>
        </w:tc>
        <w:tc>
          <w:tcPr>
            <w:tcW w:type="dxa" w:w="1728"/>
            <w:tcMar>
              <w:top w:w="90" w:type="dxa"/>
              <w:start w:w="100" w:type="dxa"/>
              <w:bottom w:w="90" w:type="dxa"/>
              <w:end w:w="100" w:type="dxa"/>
            </w:tcMar>
            <w:vAlign w:val="top"/>
          </w:tcPr>
          <w:p>
            <w:pPr>
              <w:keepNext/>
              <w:jc w:val="center"/>
            </w:pPr>
            <w:r>
              <w:rPr>
                <w:b/>
                <w:color w:val="1B2A41"/>
                <w:sz w:val="16"/>
              </w:rPr>
              <w:t>Difficult</w:t>
            </w:r>
          </w:p>
        </w:tc>
        <w:tc>
          <w:tcPr>
            <w:tcW w:type="dxa" w:w="2520"/>
            <w:tcMar>
              <w:top w:w="90" w:type="dxa"/>
              <w:start w:w="100" w:type="dxa"/>
              <w:bottom w:w="90" w:type="dxa"/>
              <w:end w:w="100" w:type="dxa"/>
            </w:tcMar>
            <w:vAlign w:val="top"/>
          </w:tcPr>
          <w:p>
            <w:pPr>
              <w:keepNext/>
              <w:jc w:val="center"/>
            </w:pPr>
            <w:r>
              <w:rPr>
                <w:b/>
                <w:color w:val="1B2A41"/>
                <w:sz w:val="16"/>
              </w:rPr>
              <w:t>Integrated Clinical Reasoning</w:t>
            </w:r>
          </w:p>
        </w:tc>
        <w:tc>
          <w:tcPr>
            <w:tcW w:type="dxa" w:w="3672"/>
            <w:tcMar>
              <w:top w:w="90" w:type="dxa"/>
              <w:start w:w="100" w:type="dxa"/>
              <w:bottom w:w="90" w:type="dxa"/>
              <w:end w:w="100" w:type="dxa"/>
            </w:tcMar>
            <w:vAlign w:val="top"/>
          </w:tcPr>
          <w:p>
            <w:pPr>
              <w:keepNext/>
              <w:jc w:val="center"/>
            </w:pPr>
            <w:r>
              <w:rPr>
                <w:b/>
                <w:color w:val="1B2A41"/>
                <w:sz w:val="16"/>
              </w:rPr>
              <w:t>Threat assessment without supplied jurisdiction</w:t>
            </w:r>
          </w:p>
        </w:tc>
      </w:tr>
    </w:tbl>
    <w:p>
      <w:pPr>
        <w:keepNext/>
      </w:pPr>
      <w:r>
        <w:rPr>
          <w:b/>
          <w:color w:val="1B2A41"/>
          <w:sz w:val="22"/>
        </w:rPr>
        <w:t>Question</w:t>
      </w:r>
    </w:p>
    <w:p>
      <w:pPr>
        <w:keepNext/>
      </w:pPr>
      <w:r>
        <w:rPr>
          <w:b/>
        </w:rPr>
        <w:t>A client says, “My supervisor deserves to disappear,” has a history of fights, and keeps a firearm at home, but gives no plan, time, location, or current intent. The jurisdiction is not identified. What should the social worker do FIRST?</w:t>
      </w:r>
    </w:p>
    <w:p>
      <w:pPr>
        <w:pStyle w:val="Option"/>
        <w:keepNext/>
      </w:pPr>
      <w:r>
        <w:rPr>
          <w:b/>
        </w:rPr>
        <w:t xml:space="preserve">A. </w:t>
      </w:r>
      <w:r>
        <w:t>Immediately warn the supervisor and disclose the client’s complete record.</w:t>
      </w:r>
    </w:p>
    <w:p>
      <w:pPr>
        <w:pStyle w:val="Option"/>
        <w:keepNext/>
      </w:pPr>
      <w:r>
        <w:rPr>
          <w:b/>
        </w:rPr>
        <w:t xml:space="preserve">B. </w:t>
      </w:r>
      <w:r>
        <w:t>Avoid asking additional questions because the client may become angry.</w:t>
      </w:r>
    </w:p>
    <w:p>
      <w:pPr>
        <w:pStyle w:val="Option"/>
        <w:keepNext/>
      </w:pPr>
      <w:r>
        <w:rPr>
          <w:b/>
        </w:rPr>
        <w:t xml:space="preserve">C. </w:t>
      </w:r>
      <w:r>
        <w:t>Begin conflict-resolution training before discussing firearm access.</w:t>
      </w:r>
    </w:p>
    <w:p>
      <w:pPr>
        <w:pStyle w:val="Option"/>
        <w:keepNext/>
      </w:pPr>
      <w:r>
        <w:rPr>
          <w:b/>
        </w:rPr>
        <w:t xml:space="preserve">D. </w:t>
      </w:r>
      <w:r>
        <w:t>Conduct a direct, specific threat assessment addressing the target, intent, plan, means, access, preparations, history, triggers, intoxication, and immediacy, then apply the relevant law and protective response.</w:t>
      </w:r>
    </w:p>
    <w:p>
      <w:r>
        <w:rPr>
          <w:b/>
          <w:color w:val="237852"/>
        </w:rPr>
        <w:t>Correct Answer: D</w:t>
      </w:r>
    </w:p>
    <w:p>
      <w:pPr>
        <w:keepNext/>
      </w:pPr>
      <w:r>
        <w:rPr>
          <w:b/>
          <w:color w:val="1B2A41"/>
          <w:sz w:val="22"/>
        </w:rPr>
        <w:t>Rationales</w:t>
      </w:r>
    </w:p>
    <w:p>
      <w:pPr>
        <w:pStyle w:val="Rationale"/>
      </w:pPr>
      <w:r>
        <w:rPr>
          <w:b/>
          <w:color w:val="A02D2D"/>
        </w:rPr>
        <w:t xml:space="preserve">A. </w:t>
      </w:r>
      <w:r>
        <w:t>Incorrect. The target, seriousness, and legal framework have not yet been sufficiently clarified, and any disclosure should be limited.</w:t>
      </w:r>
    </w:p>
    <w:p>
      <w:pPr>
        <w:pStyle w:val="Rationale"/>
      </w:pPr>
      <w:r>
        <w:rPr>
          <w:b/>
          <w:color w:val="A02D2D"/>
        </w:rPr>
        <w:t xml:space="preserve">B. </w:t>
      </w:r>
      <w:r>
        <w:t>Incorrect. Direct assessment is necessary to determine risk.</w:t>
      </w:r>
    </w:p>
    <w:p>
      <w:pPr>
        <w:pStyle w:val="Rationale"/>
      </w:pPr>
      <w:r>
        <w:rPr>
          <w:b/>
          <w:color w:val="A02D2D"/>
        </w:rPr>
        <w:t xml:space="preserve">C. </w:t>
      </w:r>
      <w:r>
        <w:t>Incorrect. Skills work is premature until threat acuity is assessed.</w:t>
      </w:r>
    </w:p>
    <w:p>
      <w:pPr>
        <w:pStyle w:val="Rationale"/>
      </w:pPr>
      <w:r>
        <w:rPr>
          <w:b/>
          <w:color w:val="237852"/>
        </w:rPr>
        <w:t xml:space="preserve">D. </w:t>
      </w:r>
      <w:r>
        <w:t>Correct. The facts are concerning but still require clarification before the social worker can determine the supported protective action under the applicable jurisdiction.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Do not underreact to warning signs or overreact by inventing facts; assess specifically, then act on supported law and acuity.</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LCSW-WB06-QB-Q017</w:t>
            </w:r>
          </w:p>
        </w:tc>
        <w:tc>
          <w:tcPr>
            <w:tcW w:type="dxa" w:w="1728"/>
            <w:tcMar>
              <w:top w:w="90" w:type="dxa"/>
              <w:start w:w="100" w:type="dxa"/>
              <w:bottom w:w="90" w:type="dxa"/>
              <w:end w:w="100" w:type="dxa"/>
            </w:tcMar>
            <w:vAlign w:val="top"/>
          </w:tcPr>
          <w:p>
            <w:pPr>
              <w:keepNext/>
              <w:jc w:val="center"/>
            </w:pPr>
            <w:r>
              <w:rPr>
                <w:b/>
                <w:color w:val="1B2A41"/>
                <w:sz w:val="16"/>
              </w:rPr>
              <w:t>Difficult</w:t>
            </w:r>
          </w:p>
        </w:tc>
        <w:tc>
          <w:tcPr>
            <w:tcW w:type="dxa" w:w="2520"/>
            <w:tcMar>
              <w:top w:w="90" w:type="dxa"/>
              <w:start w:w="100" w:type="dxa"/>
              <w:bottom w:w="90" w:type="dxa"/>
              <w:end w:w="100" w:type="dxa"/>
            </w:tcMar>
            <w:vAlign w:val="top"/>
          </w:tcPr>
          <w:p>
            <w:pPr>
              <w:keepNext/>
              <w:jc w:val="center"/>
            </w:pPr>
            <w:r>
              <w:rPr>
                <w:b/>
                <w:color w:val="1B2A41"/>
                <w:sz w:val="16"/>
              </w:rPr>
              <w:t>Integrated Clinical Reasoning</w:t>
            </w:r>
          </w:p>
        </w:tc>
        <w:tc>
          <w:tcPr>
            <w:tcW w:type="dxa" w:w="3672"/>
            <w:tcMar>
              <w:top w:w="90" w:type="dxa"/>
              <w:start w:w="100" w:type="dxa"/>
              <w:bottom w:w="90" w:type="dxa"/>
              <w:end w:w="100" w:type="dxa"/>
            </w:tcMar>
            <w:vAlign w:val="top"/>
          </w:tcPr>
          <w:p>
            <w:pPr>
              <w:keepNext/>
              <w:jc w:val="center"/>
            </w:pPr>
            <w:r>
              <w:rPr>
                <w:b/>
                <w:color w:val="1B2A41"/>
                <w:sz w:val="16"/>
              </w:rPr>
              <w:t>Caregiving and access in safety planning</w:t>
            </w:r>
          </w:p>
        </w:tc>
      </w:tr>
    </w:tbl>
    <w:p>
      <w:pPr>
        <w:keepNext/>
      </w:pPr>
      <w:r>
        <w:rPr>
          <w:b/>
          <w:color w:val="1B2A41"/>
          <w:sz w:val="22"/>
        </w:rPr>
        <w:t>Question</w:t>
      </w:r>
    </w:p>
    <w:p>
      <w:pPr>
        <w:keepNext/>
      </w:pPr>
      <w:r>
        <w:rPr>
          <w:b/>
        </w:rPr>
        <w:t>A single parent reports intermittent suicidal thoughts without intent or plan, is willing to use a safety plan, and identifies the children as a strong reason to live. The only crisis clinic is two bus transfers away, the client has no childcare, and the phone service may be disconnected. What is the BEST response?</w:t>
      </w:r>
    </w:p>
    <w:p>
      <w:pPr>
        <w:pStyle w:val="Option"/>
        <w:keepNext/>
      </w:pPr>
      <w:r>
        <w:rPr>
          <w:b/>
        </w:rPr>
        <w:t xml:space="preserve">A. </w:t>
      </w:r>
      <w:r>
        <w:t>Create a collaborative least restrictive plan that addresses means safety, childcare, transportation, phone access, reachable supports, confirmed clinical follow-up, and reassessment if risk increases.</w:t>
      </w:r>
    </w:p>
    <w:p>
      <w:pPr>
        <w:pStyle w:val="Option"/>
        <w:keepNext/>
      </w:pPr>
      <w:r>
        <w:rPr>
          <w:b/>
        </w:rPr>
        <w:t xml:space="preserve">B. </w:t>
      </w:r>
      <w:r>
        <w:t>Give the clinic address and tell the client to attend independently.</w:t>
      </w:r>
    </w:p>
    <w:p>
      <w:pPr>
        <w:pStyle w:val="Option"/>
        <w:keepNext/>
      </w:pPr>
      <w:r>
        <w:rPr>
          <w:b/>
        </w:rPr>
        <w:t xml:space="preserve">C. </w:t>
      </w:r>
      <w:r>
        <w:t>Hospitalize automatically because the client has children.</w:t>
      </w:r>
    </w:p>
    <w:p>
      <w:r>
        <w:rPr>
          <w:b/>
          <w:color w:val="237852"/>
        </w:rPr>
        <w:t>Correct Answer: A</w:t>
      </w:r>
    </w:p>
    <w:p>
      <w:pPr>
        <w:keepNext/>
      </w:pPr>
      <w:r>
        <w:rPr>
          <w:b/>
          <w:color w:val="1B2A41"/>
          <w:sz w:val="22"/>
        </w:rPr>
        <w:t>Rationales</w:t>
      </w:r>
    </w:p>
    <w:p>
      <w:pPr>
        <w:pStyle w:val="Rationale"/>
      </w:pPr>
      <w:r>
        <w:rPr>
          <w:b/>
          <w:color w:val="237852"/>
        </w:rPr>
        <w:t xml:space="preserve">A. </w:t>
      </w:r>
      <w:r>
        <w:t>Correct. The response integrates acuity with caregiving and access barriers so that the plan is both clinically appropriate and realistically usable.</w:t>
      </w:r>
    </w:p>
    <w:p>
      <w:pPr>
        <w:pStyle w:val="Rationale"/>
      </w:pPr>
      <w:r>
        <w:rPr>
          <w:b/>
          <w:color w:val="A02D2D"/>
        </w:rPr>
        <w:t xml:space="preserve">B. </w:t>
      </w:r>
      <w:r>
        <w:t>Incorrect. A referral without addressing transportation and childcare is unlikely to be usable.</w:t>
      </w:r>
    </w:p>
    <w:p>
      <w:pPr>
        <w:pStyle w:val="Rationale"/>
      </w:pPr>
      <w:r>
        <w:rPr>
          <w:b/>
          <w:color w:val="A02D2D"/>
        </w:rPr>
        <w:t xml:space="preserve">C. </w:t>
      </w:r>
      <w:r>
        <w:t>Incorrect. Parenting responsibilities do not by themselves establish inpatient acuity, and a supported less restrictive plan may be possible.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Person-in-environment reasoning asks not only what should happen, but whether the client can actually do it.</w:t>
            </w:r>
          </w:p>
        </w:tc>
      </w:tr>
    </w:tbl>
    <w:p/>
    <w:p>
      <w:r>
        <w:br w:type="page"/>
      </w:r>
    </w:p>
    <w:p>
      <w:pPr>
        <w:pStyle w:val="Heading1"/>
      </w:pPr>
      <w:r>
        <w:t>Final Quality-Control Summary</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3240"/>
            <w:shd w:fill="DCEDEA"/>
            <w:tcMar>
              <w:top w:w="90" w:type="dxa"/>
              <w:start w:w="100" w:type="dxa"/>
              <w:bottom w:w="90" w:type="dxa"/>
              <w:end w:w="100" w:type="dxa"/>
            </w:tcMar>
            <w:vAlign w:val="center"/>
          </w:tcPr>
          <w:p>
            <w:pPr>
              <w:jc w:val="center"/>
            </w:pPr>
            <w:r>
              <w:rPr>
                <w:b/>
                <w:color w:val="1B2A41"/>
                <w:sz w:val="17"/>
              </w:rPr>
              <w:t>Quality-Control Area</w:t>
            </w:r>
          </w:p>
        </w:tc>
        <w:tc>
          <w:tcPr>
            <w:tcW w:type="dxa" w:w="6984"/>
            <w:shd w:fill="DCEDEA"/>
            <w:tcMar>
              <w:top w:w="90" w:type="dxa"/>
              <w:start w:w="100" w:type="dxa"/>
              <w:bottom w:w="90" w:type="dxa"/>
              <w:end w:w="100" w:type="dxa"/>
            </w:tcMar>
            <w:vAlign w:val="center"/>
          </w:tcPr>
          <w:p>
            <w:pPr>
              <w:jc w:val="center"/>
            </w:pPr>
            <w:r>
              <w:rPr>
                <w:b/>
                <w:color w:val="1B2A41"/>
                <w:sz w:val="17"/>
              </w:rPr>
              <w:t>Result</w:t>
            </w:r>
          </w:p>
        </w:tc>
      </w:tr>
      <w:tr>
        <w:trPr>
          <w:cantSplit w:val="true"/>
        </w:trPr>
        <w:tc>
          <w:tcPr>
            <w:tcW w:type="dxa" w:w="3240"/>
            <w:tcMar>
              <w:top w:w="90" w:type="dxa"/>
              <w:start w:w="100" w:type="dxa"/>
              <w:bottom w:w="90" w:type="dxa"/>
              <w:end w:w="100" w:type="dxa"/>
            </w:tcMar>
            <w:vAlign w:val="top"/>
          </w:tcPr>
          <w:p>
            <w:r>
              <w:rPr>
                <w:sz w:val="17"/>
              </w:rPr>
              <w:t>Question count</w:t>
            </w:r>
          </w:p>
        </w:tc>
        <w:tc>
          <w:tcPr>
            <w:tcW w:type="dxa" w:w="6984"/>
            <w:tcMar>
              <w:top w:w="90" w:type="dxa"/>
              <w:start w:w="100" w:type="dxa"/>
              <w:bottom w:w="90" w:type="dxa"/>
              <w:end w:w="100" w:type="dxa"/>
            </w:tcMar>
            <w:vAlign w:val="top"/>
          </w:tcPr>
          <w:p>
            <w:r>
              <w:rPr>
                <w:sz w:val="17"/>
              </w:rPr>
              <w:t>17 unique questions</w:t>
            </w:r>
          </w:p>
        </w:tc>
      </w:tr>
      <w:tr>
        <w:trPr>
          <w:cantSplit w:val="true"/>
        </w:trPr>
        <w:tc>
          <w:tcPr>
            <w:tcW w:type="dxa" w:w="3240"/>
            <w:tcMar>
              <w:top w:w="90" w:type="dxa"/>
              <w:start w:w="100" w:type="dxa"/>
              <w:bottom w:w="90" w:type="dxa"/>
              <w:end w:w="100" w:type="dxa"/>
            </w:tcMar>
            <w:vAlign w:val="top"/>
          </w:tcPr>
          <w:p>
            <w:r>
              <w:rPr>
                <w:sz w:val="17"/>
              </w:rPr>
              <w:t>Difficulty balance</w:t>
            </w:r>
          </w:p>
        </w:tc>
        <w:tc>
          <w:tcPr>
            <w:tcW w:type="dxa" w:w="6984"/>
            <w:tcMar>
              <w:top w:w="90" w:type="dxa"/>
              <w:start w:w="100" w:type="dxa"/>
              <w:bottom w:w="90" w:type="dxa"/>
              <w:end w:w="100" w:type="dxa"/>
            </w:tcMar>
            <w:vAlign w:val="top"/>
          </w:tcPr>
          <w:p>
            <w:r>
              <w:rPr>
                <w:sz w:val="17"/>
              </w:rPr>
              <w:t>5 Easy | 7 Moderate | 5 Difficult</w:t>
            </w:r>
          </w:p>
        </w:tc>
      </w:tr>
      <w:tr>
        <w:trPr>
          <w:cantSplit w:val="true"/>
        </w:trPr>
        <w:tc>
          <w:tcPr>
            <w:tcW w:type="dxa" w:w="3240"/>
            <w:tcMar>
              <w:top w:w="90" w:type="dxa"/>
              <w:start w:w="100" w:type="dxa"/>
              <w:bottom w:w="90" w:type="dxa"/>
              <w:end w:w="100" w:type="dxa"/>
            </w:tcMar>
            <w:vAlign w:val="top"/>
          </w:tcPr>
          <w:p>
            <w:r>
              <w:rPr>
                <w:sz w:val="17"/>
              </w:rPr>
              <w:t>Answer balance</w:t>
            </w:r>
          </w:p>
        </w:tc>
        <w:tc>
          <w:tcPr>
            <w:tcW w:type="dxa" w:w="6984"/>
            <w:tcMar>
              <w:top w:w="90" w:type="dxa"/>
              <w:start w:w="100" w:type="dxa"/>
              <w:bottom w:w="90" w:type="dxa"/>
              <w:end w:w="100" w:type="dxa"/>
            </w:tcMar>
            <w:vAlign w:val="top"/>
          </w:tcPr>
          <w:p>
            <w:r>
              <w:rPr>
                <w:sz w:val="17"/>
              </w:rPr>
              <w:t>A=5 | B=4 | C=4 | D=4</w:t>
            </w:r>
          </w:p>
        </w:tc>
      </w:tr>
      <w:tr>
        <w:trPr>
          <w:cantSplit w:val="true"/>
        </w:trPr>
        <w:tc>
          <w:tcPr>
            <w:tcW w:type="dxa" w:w="3240"/>
            <w:tcMar>
              <w:top w:w="90" w:type="dxa"/>
              <w:start w:w="100" w:type="dxa"/>
              <w:bottom w:w="90" w:type="dxa"/>
              <w:end w:w="100" w:type="dxa"/>
            </w:tcMar>
            <w:vAlign w:val="top"/>
          </w:tcPr>
          <w:p>
            <w:r>
              <w:rPr>
                <w:sz w:val="17"/>
              </w:rPr>
              <w:t>Rationales</w:t>
            </w:r>
          </w:p>
        </w:tc>
        <w:tc>
          <w:tcPr>
            <w:tcW w:type="dxa" w:w="6984"/>
            <w:tcMar>
              <w:top w:w="90" w:type="dxa"/>
              <w:start w:w="100" w:type="dxa"/>
              <w:bottom w:w="90" w:type="dxa"/>
              <w:end w:w="100" w:type="dxa"/>
            </w:tcMar>
            <w:vAlign w:val="top"/>
          </w:tcPr>
          <w:p>
            <w:r>
              <w:rPr>
                <w:sz w:val="17"/>
              </w:rPr>
              <w:t>Complete rationale for every presented option</w:t>
            </w:r>
          </w:p>
        </w:tc>
      </w:tr>
      <w:tr>
        <w:trPr>
          <w:cantSplit w:val="true"/>
        </w:trPr>
        <w:tc>
          <w:tcPr>
            <w:tcW w:type="dxa" w:w="3240"/>
            <w:tcMar>
              <w:top w:w="90" w:type="dxa"/>
              <w:start w:w="100" w:type="dxa"/>
              <w:bottom w:w="90" w:type="dxa"/>
              <w:end w:w="100" w:type="dxa"/>
            </w:tcMar>
            <w:vAlign w:val="top"/>
          </w:tcPr>
          <w:p>
            <w:r>
              <w:rPr>
                <w:sz w:val="17"/>
              </w:rPr>
              <w:t>Exam strategy</w:t>
            </w:r>
          </w:p>
        </w:tc>
        <w:tc>
          <w:tcPr>
            <w:tcW w:type="dxa" w:w="6984"/>
            <w:tcMar>
              <w:top w:w="90" w:type="dxa"/>
              <w:start w:w="100" w:type="dxa"/>
              <w:bottom w:w="90" w:type="dxa"/>
              <w:end w:w="100" w:type="dxa"/>
            </w:tcMar>
            <w:vAlign w:val="top"/>
          </w:tcPr>
          <w:p>
            <w:r>
              <w:rPr>
                <w:sz w:val="17"/>
              </w:rPr>
              <w:t>Included for every question</w:t>
            </w:r>
          </w:p>
        </w:tc>
      </w:tr>
      <w:tr>
        <w:trPr>
          <w:cantSplit w:val="true"/>
        </w:trPr>
        <w:tc>
          <w:tcPr>
            <w:tcW w:type="dxa" w:w="3240"/>
            <w:tcMar>
              <w:top w:w="90" w:type="dxa"/>
              <w:start w:w="100" w:type="dxa"/>
              <w:bottom w:w="90" w:type="dxa"/>
              <w:end w:w="100" w:type="dxa"/>
            </w:tcMar>
            <w:vAlign w:val="top"/>
          </w:tcPr>
          <w:p>
            <w:r>
              <w:rPr>
                <w:sz w:val="17"/>
              </w:rPr>
              <w:t>Originality</w:t>
            </w:r>
          </w:p>
        </w:tc>
        <w:tc>
          <w:tcPr>
            <w:tcW w:type="dxa" w:w="6984"/>
            <w:tcMar>
              <w:top w:w="90" w:type="dxa"/>
              <w:start w:w="100" w:type="dxa"/>
              <w:bottom w:w="90" w:type="dxa"/>
              <w:end w:w="100" w:type="dxa"/>
            </w:tcMar>
            <w:vAlign w:val="top"/>
          </w:tcPr>
          <w:p>
            <w:r>
              <w:rPr>
                <w:sz w:val="17"/>
              </w:rPr>
              <w:t>Original CTA items; no official or third-party sample question is reproduced</w:t>
            </w:r>
          </w:p>
        </w:tc>
      </w:tr>
      <w:tr>
        <w:trPr>
          <w:cantSplit w:val="true"/>
        </w:trPr>
        <w:tc>
          <w:tcPr>
            <w:tcW w:type="dxa" w:w="3240"/>
            <w:tcMar>
              <w:top w:w="90" w:type="dxa"/>
              <w:start w:w="100" w:type="dxa"/>
              <w:bottom w:w="90" w:type="dxa"/>
              <w:end w:w="100" w:type="dxa"/>
            </w:tcMar>
            <w:vAlign w:val="top"/>
          </w:tcPr>
          <w:p>
            <w:r>
              <w:rPr>
                <w:sz w:val="17"/>
              </w:rPr>
              <w:t>Workbook alignment</w:t>
            </w:r>
          </w:p>
        </w:tc>
        <w:tc>
          <w:tcPr>
            <w:tcW w:type="dxa" w:w="6984"/>
            <w:tcMar>
              <w:top w:w="90" w:type="dxa"/>
              <w:start w:w="100" w:type="dxa"/>
              <w:bottom w:w="90" w:type="dxa"/>
              <w:end w:w="100" w:type="dxa"/>
            </w:tcMar>
            <w:vAlign w:val="top"/>
          </w:tcPr>
          <w:p>
            <w:r>
              <w:rPr>
                <w:sz w:val="17"/>
              </w:rPr>
              <w:t>All items assess the concepts and reasoning taught in LCSW Workbook 6</w:t>
            </w:r>
          </w:p>
        </w:tc>
      </w:tr>
      <w:tr>
        <w:trPr>
          <w:cantSplit w:val="true"/>
        </w:trPr>
        <w:tc>
          <w:tcPr>
            <w:tcW w:type="dxa" w:w="3240"/>
            <w:tcMar>
              <w:top w:w="90" w:type="dxa"/>
              <w:start w:w="100" w:type="dxa"/>
              <w:bottom w:w="90" w:type="dxa"/>
              <w:end w:w="100" w:type="dxa"/>
            </w:tcMar>
            <w:vAlign w:val="top"/>
          </w:tcPr>
          <w:p>
            <w:r>
              <w:rPr>
                <w:sz w:val="17"/>
              </w:rPr>
              <w:t>Comprehensive exams</w:t>
            </w:r>
          </w:p>
        </w:tc>
        <w:tc>
          <w:tcPr>
            <w:tcW w:type="dxa" w:w="6984"/>
            <w:tcMar>
              <w:top w:w="90" w:type="dxa"/>
              <w:start w:w="100" w:type="dxa"/>
              <w:bottom w:w="90" w:type="dxa"/>
              <w:end w:w="100" w:type="dxa"/>
            </w:tcMar>
            <w:vAlign w:val="top"/>
          </w:tcPr>
          <w:p>
            <w:r>
              <w:rPr>
                <w:sz w:val="17"/>
              </w:rPr>
              <w:t>Larger comprehensive simulations will be developed separately from the official examination blueprint and will not merely combine workbook banks</w:t>
            </w:r>
          </w:p>
        </w:tc>
      </w:tr>
    </w:tbl>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EAF4F2"/>
            <w:tcMar>
              <w:top w:w="130" w:type="dxa"/>
              <w:start w:w="150" w:type="dxa"/>
              <w:bottom w:w="130" w:type="dxa"/>
              <w:end w:w="150" w:type="dxa"/>
            </w:tcMar>
          </w:tcPr>
          <w:p>
            <w:r>
              <w:rPr>
                <w:b/>
                <w:color w:val="1B2A41"/>
                <w:sz w:val="21"/>
              </w:rPr>
              <w:t>Currency Note</w:t>
              <w:br/>
            </w:r>
            <w:r>
              <w:rPr>
                <w:sz w:val="19"/>
              </w:rPr>
              <w:t>Examination outlines, crisis guidance, laws, reporting procedures, emergency authority, professional standards, and local resources may change. Re-audit against current official sources before future publication or use after a material change.</w:t>
            </w:r>
          </w:p>
        </w:tc>
      </w:tr>
    </w:tbl>
    <w:p/>
    <w:sectPr w:rsidR="00FC693F" w:rsidRPr="0006063C" w:rsidSect="00034616">
      <w:headerReference w:type="default" r:id="rId9"/>
      <w:footerReference w:type="default" r:id="rId10"/>
      <w:headerReference w:type="first" r:id="rId11"/>
      <w:footerReference w:type="first" r:id="rId12"/>
      <w:pgSz w:w="12240" w:h="15840"/>
      <w:pgMar w:top="907" w:right="1008" w:bottom="835" w:left="1008" w:header="317"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8"/>
      </w:rPr>
      <w:t xml:space="preserve">Clinical Training Academy • </w:t>
    </w:r>
    <w:r>
      <w:rPr>
        <w:color w:val="696969"/>
        <w:sz w:val="18"/>
      </w:rPr>
      <w:t xml:space="preserve">Page </w:t>
    </w:r>
    <w:fldSimple w:instr="PAGE">
      <w:r>
        <w:rPr>
          <w:color w:val="666666"/>
          <w:sz w:val="18"/>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9" w:space="2" w:color="2A9D8F"/>
      </w:pBdr>
    </w:pPr>
    <w:r>
      <w:rPr>
        <w:rFonts w:ascii="Arial" w:hAnsi="Arial"/>
        <w:b/>
        <w:color w:val="1B2A41"/>
        <w:sz w:val="16"/>
      </w:rPr>
      <w:t>CTA LCSW Workbook 6 Question Bank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B2A41"/>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A9D8F"/>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B2A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B2A4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2A9D8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temMetadata">
    <w:name w:val="Item Metadata"/>
    <w:pPr>
      <w:spacing w:after="40"/>
    </w:pPr>
    <w:rPr>
      <w:rFonts w:ascii="Arial" w:hAnsi="Arial"/>
      <w:color w:val="696969"/>
      <w:sz w:val="16"/>
    </w:rPr>
  </w:style>
  <w:style w:type="paragraph" w:customStyle="1" w:styleId="Option">
    <w:name w:val="Option"/>
    <w:pPr>
      <w:spacing w:after="50"/>
      <w:ind w:left="317" w:hanging="317"/>
    </w:pPr>
    <w:rPr>
      <w:rFonts w:ascii="Arial" w:hAnsi="Arial"/>
      <w:sz w:val="20"/>
    </w:rPr>
  </w:style>
  <w:style w:type="paragraph" w:customStyle="1" w:styleId="Rationale">
    <w:name w:val="Rationale"/>
    <w:pPr>
      <w:spacing w:after="60"/>
      <w:ind w:left="259" w:hanging="259"/>
    </w:pPr>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Workbook 6 Question Bank</dc:title>
  <dc:subject>LCSW Workbook 6 seventeen-question clinical examination question bank</dc:subject>
  <dc:creator>Clinical Training Academy</dc:creator>
  <cp:keywords>LMFT, LCSW, clinical exam preparation, practice examination, question bank</cp:keywords>
  <dc:description>Original Clinical Training Academy educational material.</dc:description>
  <cp:lastModifiedBy/>
  <cp:revision>1</cp:revision>
  <dcterms:created xsi:type="dcterms:W3CDTF">2013-12-23T23:15:00Z</dcterms:created>
  <dcterms:modified xsi:type="dcterms:W3CDTF">2013-12-23T23:15:00Z</dcterms:modified>
  <cp:category/>
</cp:coreProperties>
</file>