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rial" w:hAnsi="Arial"/>
          <w:b/>
          <w:i w:val="0"/>
          <w:color w:val="1F7A8C"/>
          <w:sz w:val="24"/>
        </w:rPr>
        <w:t>CLINICAL TRAINING ACADEMY</w:t>
      </w:r>
    </w:p>
    <w:p>
      <w:pPr>
        <w:spacing w:before="280"/>
        <w:jc w:val="center"/>
      </w:pPr>
      <w:r>
        <w:rPr>
          <w:rFonts w:ascii="Arial" w:hAnsi="Arial"/>
          <w:b/>
          <w:i w:val="0"/>
          <w:color w:val="17365D"/>
          <w:sz w:val="68"/>
        </w:rPr>
        <w:t>LCSW</w:t>
      </w:r>
    </w:p>
    <w:p>
      <w:pPr>
        <w:jc w:val="center"/>
      </w:pPr>
      <w:r>
        <w:rPr>
          <w:rFonts w:ascii="Arial" w:hAnsi="Arial"/>
          <w:b/>
          <w:i w:val="0"/>
          <w:color w:val="24313D"/>
          <w:sz w:val="36"/>
        </w:rPr>
        <w:t>CLINICAL EXAM PREPARATION</w:t>
      </w:r>
    </w:p>
    <w:p>
      <w:pPr>
        <w:jc w:val="center"/>
      </w:pPr>
      <w:r>
        <w:rPr>
          <w:rFonts w:ascii="Arial" w:hAnsi="Arial"/>
          <w:b/>
          <w:i w:val="0"/>
          <w:color w:val="1F7A8C"/>
          <w:sz w:val="48"/>
        </w:rPr>
        <w:t>AUDIO REVIEW COLLECTION</w:t>
      </w:r>
    </w:p>
    <w:p>
      <w:pPr>
        <w:spacing w:before="160"/>
        <w:jc w:val="center"/>
      </w:pPr>
      <w:r>
        <w:rPr>
          <w:rFonts w:ascii="Arial" w:hAnsi="Arial"/>
          <w:b w:val="0"/>
          <w:i w:val="0"/>
          <w:color w:val="68737D"/>
          <w:sz w:val="24"/>
        </w:rPr>
        <w:t>Eight screen-free review tracks • Recording-ready narration scripts</w:t>
      </w:r>
    </w:p>
    <w:tbl>
      <w:tblPr>
        <w:tblW w:type="auto" w:w="0"/>
        <w:jc w:val="center"/>
        <w:tblLayout w:type="fixed"/>
        <w:tblLook w:firstColumn="1" w:firstRow="1" w:lastColumn="0" w:lastRow="0" w:noHBand="0" w:noVBand="1" w:val="04A0"/>
      </w:tblPr>
      <w:tblGrid>
        <w:gridCol w:w="10368"/>
      </w:tblGrid>
      <w:tr>
        <w:tc>
          <w:tcPr>
            <w:tcW w:type="dxa" w:w="10282"/>
            <w:shd w:fill="DDEFF2"/>
            <w:tcBorders>
              <w:top w:val="single" w:sz="12" w:color="1F7A8C"/>
              <w:left w:val="single" w:sz="12" w:color="1F7A8C"/>
              <w:bottom w:val="single" w:sz="12" w:color="1F7A8C"/>
              <w:right w:val="single" w:sz="12" w:color="1F7A8C"/>
            </w:tcBorders>
            <w:tcMar>
              <w:top w:w="180" w:type="dxa"/>
              <w:start w:w="190" w:type="dxa"/>
              <w:bottom w:w="180" w:type="dxa"/>
              <w:end w:w="190" w:type="dxa"/>
            </w:tcMar>
          </w:tcPr>
          <w:p>
            <w:pPr>
              <w:jc w:val="center"/>
            </w:pPr>
            <w:r>
              <w:rPr>
                <w:rFonts w:ascii="Arial" w:hAnsi="Arial"/>
                <w:b/>
                <w:i w:val="0"/>
                <w:color w:val="17365D"/>
                <w:sz w:val="23"/>
              </w:rPr>
              <w:t>Use for commuting, walking, final-week review, and confidence resets. Each track teaches how to think—not merely what to memorize.</w:t>
            </w:r>
          </w:p>
        </w:tc>
      </w:tr>
    </w:tbl>
    <w:p>
      <w:pPr>
        <w:spacing w:before="440"/>
        <w:jc w:val="center"/>
      </w:pPr>
      <w:r>
        <w:rPr>
          <w:rFonts w:ascii="Arial" w:hAnsi="Arial"/>
          <w:b w:val="0"/>
          <w:i w:val="0"/>
          <w:color w:val="68737D"/>
          <w:sz w:val="19"/>
        </w:rPr>
        <w:t>Version 1.0  •  July 2026</w:t>
      </w:r>
    </w:p>
    <w:p>
      <w:r>
        <w:br w:type="page"/>
      </w:r>
    </w:p>
    <w:p>
      <w:pPr>
        <w:pStyle w:val="Heading1"/>
        <w:jc w:val="center"/>
      </w:pPr>
      <w:r>
        <w:t>How to Use the LCSW Audio Review Collection</w:t>
      </w:r>
    </w:p>
    <w:tbl>
      <w:tblPr>
        <w:tblW w:type="auto" w:w="0"/>
        <w:jc w:val="center"/>
        <w:tblLayout w:type="fixed"/>
        <w:tblLook w:firstColumn="1" w:firstRow="1" w:lastColumn="0" w:lastRow="0" w:noHBand="0" w:noVBand="1" w:val="04A0"/>
      </w:tblPr>
      <w:tblGrid>
        <w:gridCol w:w="3427"/>
        <w:gridCol w:w="3427"/>
        <w:gridCol w:w="3427"/>
      </w:tblGrid>
      <w:tr>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BEFORE PRACTICE</w:t>
            </w:r>
          </w:p>
          <w:p>
            <w:r>
              <w:rPr>
                <w:rFonts w:ascii="Arial" w:hAnsi="Arial"/>
                <w:b w:val="0"/>
                <w:i w:val="0"/>
                <w:color w:val="24313D"/>
                <w:sz w:val="18"/>
              </w:rPr>
              <w:t>Listen to the track that matches the workbook or reasoning skill you are about to study.</w:t>
            </w:r>
          </w:p>
        </w:tc>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AFTER A MISS</w:t>
            </w:r>
          </w:p>
          <w:p>
            <w:r>
              <w:rPr>
                <w:rFonts w:ascii="Arial" w:hAnsi="Arial"/>
                <w:b w:val="0"/>
                <w:i w:val="0"/>
                <w:color w:val="24313D"/>
                <w:sz w:val="18"/>
              </w:rPr>
              <w:t>Use the matching track to restate the decision rule and identify why a tempting answer was premature.</w:t>
            </w:r>
          </w:p>
        </w:tc>
        <w:tc>
          <w:tcPr>
            <w:tcW w:type="dxa" w:w="3528"/>
            <w:vAlign w:val="center"/>
            <w:shd w:fill="F3F7FA"/>
            <w:tcBorders>
              <w:top w:val="single" w:sz="7" w:color="B7C4CE"/>
              <w:left w:val="single" w:sz="7" w:color="B7C4CE"/>
              <w:bottom w:val="single" w:sz="7" w:color="B7C4CE"/>
              <w:right w:val="single" w:sz="7" w:color="B7C4CE"/>
            </w:tcBorders>
            <w:tcMar>
              <w:top w:w="120" w:type="dxa"/>
              <w:start w:w="130" w:type="dxa"/>
              <w:bottom w:w="120" w:type="dxa"/>
              <w:end w:w="130" w:type="dxa"/>
            </w:tcMar>
          </w:tcPr>
          <w:p>
            <w:pPr>
              <w:jc w:val="center"/>
            </w:pPr>
            <w:r>
              <w:rPr>
                <w:rFonts w:ascii="Arial" w:hAnsi="Arial"/>
                <w:b/>
                <w:i w:val="0"/>
                <w:color w:val="1F7A8C"/>
                <w:sz w:val="20"/>
              </w:rPr>
              <w:t>FINAL REVIEW</w:t>
            </w:r>
          </w:p>
          <w:p>
            <w:r>
              <w:rPr>
                <w:rFonts w:ascii="Arial" w:hAnsi="Arial"/>
                <w:b w:val="0"/>
                <w:i w:val="0"/>
                <w:color w:val="24313D"/>
                <w:sz w:val="18"/>
              </w:rPr>
              <w:t>Replay Tracks 1 and 8, then select weak-domain tracks based on Form A and error-log data.</w:t>
            </w:r>
          </w:p>
        </w:tc>
      </w:tr>
    </w:tbl>
    <w:p>
      <w:pPr>
        <w:spacing w:before="160"/>
      </w:pPr>
      <w:r>
        <w:rPr>
          <w:rFonts w:ascii="Arial" w:hAnsi="Arial"/>
          <w:b/>
          <w:i w:val="0"/>
          <w:color w:val="17365D"/>
          <w:sz w:val="20"/>
        </w:rPr>
        <w:t xml:space="preserve">Listening method. </w:t>
      </w:r>
      <w:r>
        <w:rPr>
          <w:rFonts w:ascii="Arial" w:hAnsi="Arial"/>
          <w:b w:val="0"/>
          <w:i w:val="0"/>
          <w:color w:val="24313D"/>
          <w:sz w:val="20"/>
        </w:rPr>
        <w:t>Do not treat the playlist as passive background audio. When the narration asks a question, pause and answer aloud. Retrieval and verbal reasoning are the learning tasks.</w:t>
      </w:r>
    </w:p>
    <w:p>
      <w:r>
        <w:rPr>
          <w:rFonts w:ascii="Arial" w:hAnsi="Arial"/>
          <w:b/>
          <w:i w:val="0"/>
          <w:color w:val="17365D"/>
          <w:sz w:val="20"/>
        </w:rPr>
        <w:t xml:space="preserve">Scope. </w:t>
      </w:r>
      <w:r>
        <w:rPr>
          <w:rFonts w:ascii="Arial" w:hAnsi="Arial"/>
          <w:b w:val="0"/>
          <w:i w:val="0"/>
          <w:color w:val="24313D"/>
          <w:sz w:val="20"/>
        </w:rPr>
        <w:t>These scripts reinforce the CTA workbooks and question-bank rationales. They are educational review materials and do not replace current official examination, licensing, legal, ethical, medical, or emergency guidance.</w:t>
      </w:r>
    </w:p>
    <w:p>
      <w:pPr>
        <w:pStyle w:val="Heading2"/>
      </w:pPr>
      <w:r>
        <w:t>Recording Standard</w:t>
      </w:r>
    </w:p>
    <w:p>
      <w:pPr>
        <w:pStyle w:val="ListBullet"/>
        <w:spacing w:after="30"/>
      </w:pPr>
      <w:r>
        <w:rPr>
          <w:rFonts w:ascii="Arial" w:hAnsi="Arial"/>
          <w:b w:val="0"/>
          <w:i w:val="0"/>
          <w:color w:val="24313D"/>
          <w:sz w:val="18"/>
        </w:rPr>
        <w:t>Read the narration verbatim in a supportive one-candidate coaching tone.</w:t>
      </w:r>
    </w:p>
    <w:p>
      <w:pPr>
        <w:pStyle w:val="ListBullet"/>
        <w:spacing w:after="30"/>
      </w:pPr>
      <w:r>
        <w:rPr>
          <w:rFonts w:ascii="Arial" w:hAnsi="Arial"/>
          <w:b w:val="0"/>
          <w:i w:val="0"/>
          <w:color w:val="24313D"/>
          <w:sz w:val="18"/>
        </w:rPr>
        <w:t>Allow two to four seconds of silence after each pause prompt.</w:t>
      </w:r>
    </w:p>
    <w:p>
      <w:pPr>
        <w:pStyle w:val="ListBullet"/>
        <w:spacing w:after="30"/>
      </w:pPr>
      <w:r>
        <w:rPr>
          <w:rFonts w:ascii="Arial" w:hAnsi="Arial"/>
          <w:b w:val="0"/>
          <w:i w:val="0"/>
          <w:color w:val="24313D"/>
          <w:sz w:val="18"/>
        </w:rPr>
        <w:t>Keep the final transcript synchronized with the recorded or edited audio.</w:t>
      </w:r>
    </w:p>
    <w:p>
      <w:pPr>
        <w:pStyle w:val="ListBullet"/>
        <w:spacing w:after="30"/>
      </w:pPr>
      <w:r>
        <w:rPr>
          <w:rFonts w:ascii="Arial" w:hAnsi="Arial"/>
          <w:b w:val="0"/>
          <w:i w:val="0"/>
          <w:color w:val="24313D"/>
          <w:sz w:val="18"/>
        </w:rPr>
        <w:t>Do not add unreviewed clinical, legal, medical, or exam-policy claims during recording.</w:t>
      </w:r>
    </w:p>
    <w:p>
      <w:pPr>
        <w:pStyle w:val="Heading2"/>
      </w:pPr>
      <w:r>
        <w:t>Playlist Map</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792"/>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w:t>
            </w:r>
          </w:p>
        </w:tc>
        <w:tc>
          <w:tcPr>
            <w:tcW w:type="dxa" w:w="4680"/>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Track</w:t>
            </w:r>
          </w:p>
        </w:tc>
        <w:tc>
          <w:tcPr>
            <w:tcW w:type="dxa" w:w="1656"/>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Target</w:t>
            </w:r>
          </w:p>
        </w:tc>
        <w:tc>
          <w:tcPr>
            <w:tcW w:type="dxa" w:w="3384"/>
            <w:shd w:fill="17365D"/>
            <w:tcBorders>
              <w:top w:val="single" w:sz="8" w:color="17365D"/>
              <w:left w:val="single" w:sz="8" w:color="17365D"/>
              <w:bottom w:val="single" w:sz="8" w:color="17365D"/>
              <w:right w:val="single" w:sz="8" w:color="17365D"/>
            </w:tcBorders>
          </w:tcPr>
          <w:p>
            <w:pPr>
              <w:jc w:val="center"/>
            </w:pPr>
            <w:r>
              <w:rPr>
                <w:rFonts w:ascii="Arial" w:hAnsi="Arial"/>
                <w:b/>
                <w:i w:val="0"/>
                <w:color w:val="FFFFFF"/>
                <w:sz w:val="17"/>
              </w:rPr>
              <w:t>Workbook Coverage</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1</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Applied Reasoning and Social Work Values</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WB1, WB2</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2</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Person-in-Environment Assessment and the Mental Status Examination</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WB3, WB4</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3</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Diagnosis, Medical Factors, and Psychopharmacology</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WB5</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4</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Crisis, Abuse, and Risk Assessment</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WB6</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5</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Treatment and Service Planning</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WB7</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6</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Clinical Interventions, Family and Group Practice, and Trauma-Informed Care</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WB8, WB9</w:t>
            </w:r>
          </w:p>
        </w:tc>
      </w:tr>
      <w:tr>
        <w:trPr>
          <w:cantSplit/>
        </w:trPr>
        <w:tc>
          <w:tcPr>
            <w:tcW w:type="dxa" w:w="792"/>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7</w:t>
            </w:r>
          </w:p>
        </w:tc>
        <w:tc>
          <w:tcPr>
            <w:tcW w:type="dxa" w:w="4680"/>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Case Management, Advocacy, Collaboration, Evaluation, and Administration</w:t>
            </w:r>
          </w:p>
        </w:tc>
        <w:tc>
          <w:tcPr>
            <w:tcW w:type="dxa" w:w="1656"/>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FFFFF"/>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WB10, WB11</w:t>
            </w:r>
          </w:p>
        </w:tc>
      </w:tr>
      <w:tr>
        <w:trPr>
          <w:cantSplit/>
        </w:trPr>
        <w:tc>
          <w:tcPr>
            <w:tcW w:type="dxa" w:w="792"/>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i w:val="0"/>
                <w:color w:val="24313D"/>
                <w:sz w:val="16"/>
              </w:rPr>
              <w:t>8</w:t>
            </w:r>
          </w:p>
        </w:tc>
        <w:tc>
          <w:tcPr>
            <w:tcW w:type="dxa" w:w="4680"/>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left"/>
            </w:pPr>
            <w:r>
              <w:rPr>
                <w:rFonts w:ascii="Arial" w:hAnsi="Arial"/>
                <w:b w:val="0"/>
                <w:i w:val="0"/>
                <w:color w:val="24313D"/>
                <w:sz w:val="16"/>
              </w:rPr>
              <w:t>Integrated Review, Error Logs, and Form A/Form B Readiness</w:t>
            </w:r>
          </w:p>
        </w:tc>
        <w:tc>
          <w:tcPr>
            <w:tcW w:type="dxa" w:w="1656"/>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5–15 min</w:t>
            </w:r>
          </w:p>
        </w:tc>
        <w:tc>
          <w:tcPr>
            <w:tcW w:type="dxa" w:w="3384"/>
            <w:shd w:fill="F3F7FA"/>
            <w:tcBorders>
              <w:top w:val="single" w:sz="5" w:color="B7C4CE"/>
              <w:left w:val="single" w:sz="5" w:color="B7C4CE"/>
              <w:bottom w:val="single" w:sz="5" w:color="B7C4CE"/>
              <w:right w:val="single" w:sz="5" w:color="B7C4CE"/>
            </w:tcBorders>
            <w:tcMar>
              <w:top w:w="75" w:type="dxa"/>
              <w:start w:w="85" w:type="dxa"/>
              <w:bottom w:w="75" w:type="dxa"/>
              <w:end w:w="85" w:type="dxa"/>
            </w:tcMar>
          </w:tcPr>
          <w:p>
            <w:pPr>
              <w:jc w:val="center"/>
            </w:pPr>
            <w:r>
              <w:rPr>
                <w:rFonts w:ascii="Arial" w:hAnsi="Arial"/>
                <w:b w:val="0"/>
                <w:i w:val="0"/>
                <w:color w:val="24313D"/>
                <w:sz w:val="16"/>
              </w:rPr>
              <w:t>WB12</w:t>
            </w:r>
          </w:p>
        </w:tc>
      </w:tr>
    </w:tbl>
    <w:p>
      <w:r>
        <w:br w:type="page"/>
      </w:r>
    </w:p>
    <w:p>
      <w:pPr>
        <w:spacing w:after="0"/>
      </w:pPr>
      <w:r>
        <w:rPr>
          <w:rFonts w:ascii="Arial" w:hAnsi="Arial"/>
          <w:b/>
          <w:i w:val="0"/>
          <w:color w:val="1F7A8C"/>
          <w:sz w:val="20"/>
        </w:rPr>
        <w:t>TRACK 1</w:t>
      </w:r>
    </w:p>
    <w:p>
      <w:pPr>
        <w:pStyle w:val="Heading1"/>
        <w:keepNext/>
      </w:pPr>
      <w:r>
        <w:t>Applied Reasoning and Social Work Values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WB1: ASWB Exam Strategy and Applied Reasoning; WB2: Values, Ethics, Self-Determination, and Social Justice</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Combine qualifier reading, practice-stage sequencing, self-determination, dignity, safety, competence, and social justice.</w:t>
            </w:r>
          </w:p>
        </w:tc>
      </w:tr>
    </w:tbl>
    <w:p>
      <w:pPr>
        <w:pStyle w:val="Heading2"/>
        <w:keepNext/>
      </w:pPr>
      <w:r>
        <w:t>Authoritative Narration</w:t>
      </w:r>
    </w:p>
    <w:p>
      <w:pPr>
        <w:spacing w:after="100"/>
      </w:pPr>
      <w:r>
        <w:rPr>
          <w:rFonts w:ascii="Arial" w:hAnsi="Arial"/>
          <w:b w:val="0"/>
          <w:i w:val="0"/>
          <w:color w:val="24313D"/>
          <w:sz w:val="20"/>
        </w:rPr>
        <w:t>Social work exam questions often place two legitimate values in tension. Self-determination may compete with safety. Advocacy may compete with role limits. Immediate action may compete with the need to engage and assess. The task is not to select the value that sounds most compassionate. The task is to identify the requested stage, assess urgency and capacity, understand the client’s perspective, and choose a proportionate response within professional responsibility.</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1, ASWB Exam Strategy and Applied Reasoning. The anchor for this topic is Decision Sequence + VALUES. The workbook sequence is Task  to  Priority  to  Fit  to  Answer.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Let the qualifier define the task; read the final question first and identify FIRST, NEXT, BEST, MOST, or INITIAL. Second, Use sequence: Safety → Duty → Engage → Assess → Plan → Act → Review. Third, Use VALUES to compare options: Values, Assessment, Least assumptive, Understand the client, Environment, Safety/System. Together, these rules tell you what information controls the next decision and what information is merely background.</w:t>
      </w:r>
    </w:p>
    <w:p>
      <w:pPr>
        <w:spacing w:after="100"/>
      </w:pPr>
      <w:r>
        <w:rPr>
          <w:rFonts w:ascii="Arial" w:hAnsi="Arial"/>
          <w:b w:val="0"/>
          <w:i w:val="0"/>
          <w:color w:val="24313D"/>
          <w:sz w:val="20"/>
        </w:rPr>
        <w:t>The first common trap is Choosing a good service or intervention at the wrong stage. Another trap is Treating self-determination as passivity when clarification, education, or risk assessment is needed. A third trap is Adding facts, services, diagnoses, or barriers not supplied by the vignette.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task and stage are being tested? What option uses the least unsupported assumption? How do client choice, environment, and safety change the response? Do not continue until you can answer using only the facts that the vignette actually provides.</w:t>
      </w:r>
    </w:p>
    <w:p>
      <w:pPr>
        <w:spacing w:after="100"/>
      </w:pPr>
      <w:r>
        <w:rPr>
          <w:rFonts w:ascii="Arial" w:hAnsi="Arial"/>
          <w:b w:val="0"/>
          <w:i w:val="0"/>
          <w:color w:val="24313D"/>
          <w:sz w:val="20"/>
        </w:rPr>
        <w:t>Your practice action for this topic is: Classify every miss as task, priority, assumption, client perspective, environment, or timing.</w:t>
      </w:r>
    </w:p>
    <w:p>
      <w:pPr>
        <w:spacing w:after="100"/>
      </w:pPr>
      <w:r>
        <w:rPr>
          <w:rFonts w:ascii="Arial" w:hAnsi="Arial"/>
          <w:b w:val="0"/>
          <w:i w:val="0"/>
          <w:color w:val="24313D"/>
          <w:sz w:val="20"/>
        </w:rPr>
        <w:t>Now shift to Workbook 2, Values, Ethics, Self-Determination, and Social Justice. The anchor for this topic is CLEAR Ethical Sequence. The workbook sequence is Clarify • Locate • Evaluate • Act • Review.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Clarify the conflict and locate role, rights, risk, power, competence, and applicable authority before acting. Second, Separate consent, confidentiality, privacy, privilege, and authorization; they are related but not interchangeable. Third, Support informed self-determination while using proportionate limits when capacity, safety, coercion, or legal duties require them. Together, these rules tell you what information controls the next decision and what information is merely background.</w:t>
      </w:r>
    </w:p>
    <w:p>
      <w:pPr>
        <w:spacing w:after="100"/>
      </w:pPr>
      <w:r>
        <w:rPr>
          <w:rFonts w:ascii="Arial" w:hAnsi="Arial"/>
          <w:b w:val="0"/>
          <w:i w:val="0"/>
          <w:color w:val="24313D"/>
          <w:sz w:val="20"/>
        </w:rPr>
        <w:t>The first common trap is Paternalism or overriding the client before understanding capacity, options, and barriers. Another trap is Releasing more information than necessary because a payer, family member, or agency requests it. A third trap is Focusing only on coping while ignoring discrimination, access, exploitation, or system-level barriers.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ethical conflict and role are present? Who benefits, who is pressured, and who is excluded? What action protects rights without overreaching? Do not continue until you can answer using only the facts that the vignette actually provides.</w:t>
      </w:r>
    </w:p>
    <w:p>
      <w:pPr>
        <w:spacing w:after="100"/>
      </w:pPr>
      <w:r>
        <w:rPr>
          <w:rFonts w:ascii="Arial" w:hAnsi="Arial"/>
          <w:b w:val="0"/>
          <w:i w:val="0"/>
          <w:color w:val="24313D"/>
          <w:sz w:val="20"/>
        </w:rPr>
        <w:t>Your practice action for this topic is: Complete a CLEAR analysis for one difficult item before viewing the rationale.</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An older adult with several missed appointments says a relative is pressuring them to move into a facility. The relative calls the social worker and demands immediate placement. The best response is not to accept the relative’s plan or refuse involvement without assessment. The social worker should engage the client, assess decision-making capacity, coercion, safety, functioning, preferences, resources, and legal authority, then support informed choice and proportionate protection.</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Before every question set, read the qualifier first. Then say the social work sequence aloud: safety and duty, engage, assess, plan, act, review. Ask what the client wants, what the environment permits, what barriers or power differences matter, and what professional responsibility remains.</w:t>
      </w:r>
    </w:p>
    <w:p>
      <w:r>
        <w:br w:type="page"/>
      </w:r>
    </w:p>
    <w:p>
      <w:pPr>
        <w:spacing w:after="0"/>
      </w:pPr>
      <w:r>
        <w:rPr>
          <w:rFonts w:ascii="Arial" w:hAnsi="Arial"/>
          <w:b/>
          <w:i w:val="0"/>
          <w:color w:val="1F7A8C"/>
          <w:sz w:val="20"/>
        </w:rPr>
        <w:t>TRACK 2</w:t>
      </w:r>
    </w:p>
    <w:p>
      <w:pPr>
        <w:pStyle w:val="Heading1"/>
        <w:keepNext/>
      </w:pPr>
      <w:r>
        <w:t>Person-in-Environment Assessment and the Mental Status Examination</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WB3: Human Development, Diversity, and Person-in-Environment; WB4: Clinical Assessment, Interviewing, and Mental Status</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Integrate development, culture, systems, resources, interviewing, observation, mental status findings, and collateral information.</w:t>
            </w:r>
          </w:p>
        </w:tc>
      </w:tr>
    </w:tbl>
    <w:p>
      <w:pPr>
        <w:pStyle w:val="Heading2"/>
        <w:keepNext/>
      </w:pPr>
      <w:r>
        <w:t>Authoritative Narration</w:t>
      </w:r>
    </w:p>
    <w:p>
      <w:pPr>
        <w:spacing w:after="100"/>
      </w:pPr>
      <w:r>
        <w:rPr>
          <w:rFonts w:ascii="Arial" w:hAnsi="Arial"/>
          <w:b w:val="0"/>
          <w:i w:val="0"/>
          <w:color w:val="24313D"/>
          <w:sz w:val="20"/>
        </w:rPr>
        <w:t>Person-in-environment reasoning prevents the exam candidate from reducing a complex problem to an individual symptom. Assessment should include development, relationships, culture, identity, trauma, housing, income, health, education, transportation, community, discrimination, power, and available resources. The mental status examination adds a current behavioral snapshot, but it does not replace history, baseline, or context.</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3, Human Development, Diversity, and Person-in-Environment. The anchor for this topic is Seven-Step PIE Sequence. The workbook sequence is Time • Systems • Change • Meaning • Strengths/Barriers • Choice • Action.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Place the person within development, family, community, institutions, resources, history, and current transition. Second, Assess demonstrated capacity, life stage, identity, intersectionality, power, minority stress, and client-defined meaning—not age or category alone. Third, Connect barriers, resources, resilience, accessibility, and client participation to the next action. Together, these rules tell you what information controls the next decision and what information is merely background.</w:t>
      </w:r>
    </w:p>
    <w:p>
      <w:pPr>
        <w:spacing w:after="100"/>
      </w:pPr>
      <w:r>
        <w:rPr>
          <w:rFonts w:ascii="Arial" w:hAnsi="Arial"/>
          <w:b w:val="0"/>
          <w:i w:val="0"/>
          <w:color w:val="24313D"/>
          <w:sz w:val="20"/>
        </w:rPr>
        <w:t>The first common trap is Using age, culture, diagnosis, or identity as a shortcut to explain behavior. Another trap is Choosing an intrapsychic-only answer when housing, food, transportation, language, disability, or discrimination drives the problem. A third trap is Labeling access problems as resistance or poor motivation.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changed and in which systems? How does the client understand the situation? What barrier, strength, resource, and access plan matter? Do not continue until you can answer using only the facts that the vignette actually provides.</w:t>
      </w:r>
    </w:p>
    <w:p>
      <w:pPr>
        <w:spacing w:after="100"/>
      </w:pPr>
      <w:r>
        <w:rPr>
          <w:rFonts w:ascii="Arial" w:hAnsi="Arial"/>
          <w:b w:val="0"/>
          <w:i w:val="0"/>
          <w:color w:val="24313D"/>
          <w:sz w:val="20"/>
        </w:rPr>
        <w:t>Your practice action for this topic is: Create a seven-line PIE map for one vignette.</w:t>
      </w:r>
    </w:p>
    <w:p>
      <w:pPr>
        <w:spacing w:after="100"/>
      </w:pPr>
      <w:r>
        <w:rPr>
          <w:rFonts w:ascii="Arial" w:hAnsi="Arial"/>
          <w:b w:val="0"/>
          <w:i w:val="0"/>
          <w:color w:val="24313D"/>
          <w:sz w:val="20"/>
        </w:rPr>
        <w:t>Now shift to Workbook 4, Clinical Assessment, Interviewing, and Mental Status. The anchor for this topic is Integrated Assessment Sequence. The workbook sequence is Role/Safety  to  Perspective  to  Engagement  to  Domains  to  Health/Context  to  Collateral  to  Missing Data  to  Plan  to  Revise.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Engage while gathering decision-critical information; assessment is relational and structured. Second, Match open, reflective, focused, clarifying, and direct questions to the information need. Third, Use MSE as a current snapshot and integrate baseline, culture, health, medication, substance, collateral source, reliability, and relevance. Together, these rules tell you what information controls the next decision and what information is merely background.</w:t>
      </w:r>
    </w:p>
    <w:p>
      <w:pPr>
        <w:spacing w:after="100"/>
      </w:pPr>
      <w:r>
        <w:rPr>
          <w:rFonts w:ascii="Arial" w:hAnsi="Arial"/>
          <w:b w:val="0"/>
          <w:i w:val="0"/>
          <w:color w:val="24313D"/>
          <w:sz w:val="20"/>
        </w:rPr>
        <w:t>The first common trap is Intervening or diagnosing before required assessment is complete. Another trap is Inferring motive, character, or diagnosis from behavior without context. A third trap is Relying on collateral as complete truth or giving medication advice outside role.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is known, missing, urgent, and from which source? What is observed versus inferred? What plan follows and what information could revise it? Do not continue until you can answer using only the facts that the vignette actually provides.</w:t>
      </w:r>
    </w:p>
    <w:p>
      <w:pPr>
        <w:spacing w:after="100"/>
      </w:pPr>
      <w:r>
        <w:rPr>
          <w:rFonts w:ascii="Arial" w:hAnsi="Arial"/>
          <w:b w:val="0"/>
          <w:i w:val="0"/>
          <w:color w:val="24313D"/>
          <w:sz w:val="20"/>
        </w:rPr>
        <w:t>Your practice action for this topic is: List the next three questions in order before choosing the intervention.</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college student reports panic symptoms, poor concentration, and missed classes after losing housing. During the interview, the student appears restless and repeatedly checks the phone. The social worker should not assume a primary anxiety disorder from the presentation alone. The assessment should clarify safety, housing stability, sleep, substance and stimulant use, medical factors, trauma history, academic impact, support, cultural meaning, and what changed from baseline.</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Separate observed behavior from interpretation. Identify which system or access barrier is maintaining the problem. Use collateral information only for a clear purpose and with appropriate consent or authority. Then choose the next assessment step that would change the formulation or plan.</w:t>
      </w:r>
    </w:p>
    <w:p>
      <w:r>
        <w:br w:type="page"/>
      </w:r>
    </w:p>
    <w:p>
      <w:pPr>
        <w:spacing w:after="0"/>
      </w:pPr>
      <w:r>
        <w:rPr>
          <w:rFonts w:ascii="Arial" w:hAnsi="Arial"/>
          <w:b/>
          <w:i w:val="0"/>
          <w:color w:val="1F7A8C"/>
          <w:sz w:val="20"/>
        </w:rPr>
        <w:t>TRACK 3</w:t>
      </w:r>
    </w:p>
    <w:p>
      <w:pPr>
        <w:pStyle w:val="Heading1"/>
        <w:keepNext/>
      </w:pPr>
      <w:r>
        <w:t>Diagnosis, Medical Factors, and Psychopharmacology</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WB5: Diagnosis, Medical Factors, and Psychopharmacology</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Use chronology, impairment, exclusions, medical contributors, substance effects, and medication information without practicing outside role.</w:t>
            </w:r>
          </w:p>
        </w:tc>
      </w:tr>
    </w:tbl>
    <w:p>
      <w:pPr>
        <w:pStyle w:val="Heading2"/>
        <w:keepNext/>
      </w:pPr>
      <w:r>
        <w:t>Authoritative Narration</w:t>
      </w:r>
    </w:p>
    <w:p>
      <w:pPr>
        <w:spacing w:after="100"/>
      </w:pPr>
      <w:r>
        <w:rPr>
          <w:rFonts w:ascii="Arial" w:hAnsi="Arial"/>
          <w:b w:val="0"/>
          <w:i w:val="0"/>
          <w:color w:val="24313D"/>
          <w:sz w:val="20"/>
        </w:rPr>
        <w:t>Clinical social workers need enough diagnostic and medication knowledge to assess, collaborate, educate within scope, monitor functioning, and recognize when medical evaluation is needed. The exam does not expect the social worker to prescribe. It expects the social worker to identify patterns, timelines, impairment, medical or substance contributors, medication adherence and side effects, and the need for coordinated care.</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5, Diagnosis, Medical Factors, and Psychopharmacology. The anchor for this topic is Nine-Step Diagnostic-Health Sequence. The workbook sequence is Safety • Pattern • Chronology • Medical/Medication • Substance • Differential • PIE • Client • Plan.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Diagnosis is a working explanation integrating pattern, time, impairment, exclusions, context, and client goals. Second, New, fluctuating, physical, neurological, medication-linked, or substance-linked symptoms require health assessment and coordination. Third, Within social work scope: assess purpose, benefit, effects, adherence barriers, access, and prescriber communication; do not prescribe. Together, these rules tell you what information controls the next decision and what information is merely background.</w:t>
      </w:r>
    </w:p>
    <w:p>
      <w:pPr>
        <w:spacing w:after="100"/>
      </w:pPr>
      <w:r>
        <w:rPr>
          <w:rFonts w:ascii="Arial" w:hAnsi="Arial"/>
          <w:b w:val="0"/>
          <w:i w:val="0"/>
          <w:color w:val="24313D"/>
          <w:sz w:val="20"/>
        </w:rPr>
        <w:t>The first common trap is Letting a prior diagnosis or familiar symptom end the assessment. Another trap is Ignoring medical, neurological, sleep, medication, substance, and access explanations. A third trap is Giving medication recommendations rather than assessing and coordinating.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is the timeline and baseline? What competing explanation must be ruled out? What can the social worker assess, coordinate, and document within role? Do not continue until you can answer using only the facts that the vignette actually provides.</w:t>
      </w:r>
    </w:p>
    <w:p>
      <w:pPr>
        <w:spacing w:after="100"/>
      </w:pPr>
      <w:r>
        <w:rPr>
          <w:rFonts w:ascii="Arial" w:hAnsi="Arial"/>
          <w:b w:val="0"/>
          <w:i w:val="0"/>
          <w:color w:val="24313D"/>
          <w:sz w:val="20"/>
        </w:rPr>
        <w:t>Your practice action for this topic is: Write a diagnostic-health sequence for one practice item before checking the answer.</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client taking a new medication reports agitation, reduced sleep, tremor, and racing thoughts. The client asks whether to stop the medication immediately. The social worker should assess severity and safety, clarify the medication and timing, encourage prompt contact with the prescriber or urgent medical evaluation when indicated, support the client in communicating symptoms, and avoid independently directing a medication change outside role.</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When a diagnosis question feels obvious, slow down. Ask what changed, when it changed, what medical or substance factors may explain it, how functioning is affected, and whether the evidence supports a diagnosis, a differential, or further evaluation.</w:t>
      </w:r>
    </w:p>
    <w:p>
      <w:r>
        <w:br w:type="page"/>
      </w:r>
    </w:p>
    <w:p>
      <w:pPr>
        <w:spacing w:after="0"/>
      </w:pPr>
      <w:r>
        <w:rPr>
          <w:rFonts w:ascii="Arial" w:hAnsi="Arial"/>
          <w:b/>
          <w:i w:val="0"/>
          <w:color w:val="1F7A8C"/>
          <w:sz w:val="20"/>
        </w:rPr>
        <w:t>TRACK 4</w:t>
      </w:r>
    </w:p>
    <w:p>
      <w:pPr>
        <w:pStyle w:val="Heading1"/>
        <w:keepNext/>
      </w:pPr>
      <w:r>
        <w:t>Crisis, Abuse, and Risk Assessment</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WB6: Crisis, Abuse, and Risk Assessment</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Distinguish direct assessment, protection, reporting, level-of-care decisions, documentation, and follow-up.</w:t>
            </w:r>
          </w:p>
        </w:tc>
      </w:tr>
    </w:tbl>
    <w:p>
      <w:pPr>
        <w:pStyle w:val="Heading2"/>
        <w:keepNext/>
      </w:pPr>
      <w:r>
        <w:t>Authoritative Narration</w:t>
      </w:r>
    </w:p>
    <w:p>
      <w:pPr>
        <w:spacing w:after="100"/>
      </w:pPr>
      <w:r>
        <w:rPr>
          <w:rFonts w:ascii="Arial" w:hAnsi="Arial"/>
          <w:b w:val="0"/>
          <w:i w:val="0"/>
          <w:color w:val="24313D"/>
          <w:sz w:val="20"/>
        </w:rPr>
        <w:t>Risk questions are not solved by choosing the most restrictive option or by offering generic reassurance. The exam expects direct, specific, and proportionate reasoning. Assess intent, plan, means, timing, history, protective factors, capacity, current location, access to help, and the feasibility of the safety plan. When a reporting or protective duty is triggered, act according to the controlling requirements and preserve documentation and continuity.</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6, Crisis, Abuse, and Risk Assessment. The anchor for this topic is SAFE + REAL. The workbook sequence is Stabilize • Assess • Formulate • Execute • Resources • Engage • Access • Link.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Ask direct, specific questions, formulate acuity, and match the response to actual danger, capacity, duty, and least restrictive safe care. Second, Use the reporting or protective duty supplied by the item; distinguish assessment, protection, reporting, medical response, and stabilization. Third, Make the plan real by checking resources, engagement, accessibility, reachability, handoff, and follow-up. Together, these rules tell you what information controls the next decision and what information is merely background.</w:t>
      </w:r>
    </w:p>
    <w:p>
      <w:pPr>
        <w:spacing w:after="100"/>
      </w:pPr>
      <w:r>
        <w:rPr>
          <w:rFonts w:ascii="Arial" w:hAnsi="Arial"/>
          <w:b w:val="0"/>
          <w:i w:val="0"/>
          <w:color w:val="24313D"/>
          <w:sz w:val="20"/>
        </w:rPr>
        <w:t>The first common trap is Planning services before directly assessing suicide, violence, abuse, neglect, intoxication, withdrawal, or medical risk. Another trap is Using excessive control or routine referral without considering capacity and least restrictive alternatives. A third trap is Ignoring transportation, phone access, housing, cost, language, or the client’s ability to carry out the plan.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danger must be assessed directly? What duty or level of care controls? Can the client access and carry out the plan? Do not continue until you can answer using only the facts that the vignette actually provides.</w:t>
      </w:r>
    </w:p>
    <w:p>
      <w:pPr>
        <w:spacing w:after="100"/>
      </w:pPr>
      <w:r>
        <w:rPr>
          <w:rFonts w:ascii="Arial" w:hAnsi="Arial"/>
          <w:b w:val="0"/>
          <w:i w:val="0"/>
          <w:color w:val="24313D"/>
          <w:sz w:val="20"/>
        </w:rPr>
        <w:t>Your practice action for this topic is: Write the risk question, acuity finding, action, access check, and follow-up step.</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caregiver tells a hospital social worker that an adult dependent relative has unexplained bruises but asks the social worker not to “make trouble.” The social worker should clarify immediate medical needs and safety, gather the facts necessary to determine the applicable protective response, follow the required reporting and institutional procedures when the threshold is met, and avoid promising secrecy or conducting an independent investigation beyond role.</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Move from labels to facts. Then name the next required action, who is responsible, how the handoff will occur, what will be documented, and how the client’s immediate support and follow-up will be maintained.</w:t>
      </w:r>
    </w:p>
    <w:p>
      <w:r>
        <w:br w:type="page"/>
      </w:r>
    </w:p>
    <w:p>
      <w:pPr>
        <w:spacing w:after="0"/>
      </w:pPr>
      <w:r>
        <w:rPr>
          <w:rFonts w:ascii="Arial" w:hAnsi="Arial"/>
          <w:b/>
          <w:i w:val="0"/>
          <w:color w:val="1F7A8C"/>
          <w:sz w:val="20"/>
        </w:rPr>
        <w:t>TRACK 5</w:t>
      </w:r>
    </w:p>
    <w:p>
      <w:pPr>
        <w:pStyle w:val="Heading1"/>
        <w:keepNext/>
      </w:pPr>
      <w:r>
        <w:t>Treatment and Service Planning</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WB7: Treatment and Service Planning</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Connect assessment and person-in-environment formulation to collaborative priorities, services, measurable goals, and review.</w:t>
            </w:r>
          </w:p>
        </w:tc>
      </w:tr>
    </w:tbl>
    <w:p>
      <w:pPr>
        <w:pStyle w:val="Heading2"/>
        <w:keepNext/>
      </w:pPr>
      <w:r>
        <w:t>Authoritative Narration</w:t>
      </w:r>
    </w:p>
    <w:p>
      <w:pPr>
        <w:spacing w:after="100"/>
      </w:pPr>
      <w:r>
        <w:rPr>
          <w:rFonts w:ascii="Arial" w:hAnsi="Arial"/>
          <w:b w:val="0"/>
          <w:i w:val="0"/>
          <w:color w:val="24313D"/>
          <w:sz w:val="20"/>
        </w:rPr>
        <w:t>A social work plan must connect the client’s stated priorities with the assessment, environmental barriers, strengths, available services, and measurable outcomes. A referral is not a completed plan. The best answer often includes verification of access, informed choice, role clarity, coordination, and follow-up rather than simply handing the client a resource list.</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7, Treatment and Service Planning. The anchor for this topic is PLAN-ER + CLOSE. The workbook sequence is Prioritize • Link • Agree • Name • Evaluate • Revise.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Build a usable plan: right need, right fit, real access, and scheduled review. Second, Write measurable clinical, functional, and service goals: what changes, who acts, by when, and how it will be measured. Third, When progress is limited, reassess formulation, alliance, access, implementation, intensity, resources, and continuity before blaming the client. Together, these rules tell you what information controls the next decision and what information is merely background.</w:t>
      </w:r>
    </w:p>
    <w:p>
      <w:pPr>
        <w:spacing w:after="100"/>
      </w:pPr>
      <w:r>
        <w:rPr>
          <w:rFonts w:ascii="Arial" w:hAnsi="Arial"/>
          <w:b w:val="0"/>
          <w:i w:val="0"/>
          <w:color w:val="24313D"/>
          <w:sz w:val="20"/>
        </w:rPr>
        <w:t>The first common trap is Listing services without linking them to priority needs and client goals. Another trap is Treating availability as accessibility or assuming a referral solves the barrier. A third trap is Ending, transferring, or revising care without evaluation and continuity planning.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priority and formulation does the plan address? What action and measure make the goal testable? What access barrier or outcome requires revision? Do not continue until you can answer using only the facts that the vignette actually provides.</w:t>
      </w:r>
    </w:p>
    <w:p>
      <w:pPr>
        <w:spacing w:after="100"/>
      </w:pPr>
      <w:r>
        <w:rPr>
          <w:rFonts w:ascii="Arial" w:hAnsi="Arial"/>
          <w:b w:val="0"/>
          <w:i w:val="0"/>
          <w:color w:val="24313D"/>
          <w:sz w:val="20"/>
        </w:rPr>
        <w:t>Your practice action for this topic is: Convert one service list into a linked, measurable, client-agreed plan.</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client with depression wants to return to work but lacks childcare and reliable transportation. A purely symptom-focused goal may be incomplete, and a list of community resources may not be enough. The social worker should collaborate on priorities, assess eligibility and access barriers, connect clinical and practical goals, coordinate services with consent, assign clear next steps, and review whether the plan is actually working.</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For every planning item, ask: what matters most to the client, what barrier is maintaining the problem, what level of intervention fits, what measurable outcome will show progress, and what follow-up makes the plan real rather than aspirational?</w:t>
      </w:r>
    </w:p>
    <w:p>
      <w:r>
        <w:br w:type="page"/>
      </w:r>
    </w:p>
    <w:p>
      <w:pPr>
        <w:spacing w:after="0"/>
      </w:pPr>
      <w:r>
        <w:rPr>
          <w:rFonts w:ascii="Arial" w:hAnsi="Arial"/>
          <w:b/>
          <w:i w:val="0"/>
          <w:color w:val="1F7A8C"/>
          <w:sz w:val="20"/>
        </w:rPr>
        <w:t>TRACK 6</w:t>
      </w:r>
    </w:p>
    <w:p>
      <w:pPr>
        <w:pStyle w:val="Heading1"/>
        <w:keepNext/>
      </w:pPr>
      <w:r>
        <w:t>Clinical Interventions, Family and Group Practice, and Trauma-Informed Care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WB8: Clinical Interventions and Trauma-Informed Practice; WB9: Family, Couple, Group, and Parenting Interventions</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Match intervention level, modality, target, safety, development, culture, readiness, and response across individual, family, couple, group, and parenting work.</w:t>
            </w:r>
          </w:p>
        </w:tc>
      </w:tr>
    </w:tbl>
    <w:p>
      <w:pPr>
        <w:pStyle w:val="Heading2"/>
        <w:keepNext/>
      </w:pPr>
      <w:r>
        <w:t>Authoritative Narration</w:t>
      </w:r>
    </w:p>
    <w:p>
      <w:pPr>
        <w:spacing w:after="100"/>
      </w:pPr>
      <w:r>
        <w:rPr>
          <w:rFonts w:ascii="Arial" w:hAnsi="Arial"/>
          <w:b w:val="0"/>
          <w:i w:val="0"/>
          <w:color w:val="24313D"/>
          <w:sz w:val="20"/>
        </w:rPr>
        <w:t>Intervention selection begins with the formulation, not with a favorite model. Ask what process is maintaining the problem, whether the client or system is ready for the proposed method, what safety and consent conditions apply, and whether the service is accessible. Trauma-informed care is not a single technique. It is a way of protecting choice, predictability, collaboration, pacing, and emotional and physical safety throughout the intervention.</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8, Clinical Interventions and Trauma-Informed Practice. The anchor for this topic is FITS. The workbook sequence is Formulation • Immediacy • Target • Suitability • Response Check.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Choose an intervention because of what it changes, for whom, at this stage—not because the technique is well known. Second, Trauma-informed care emphasizes safety, transparency, choice, collaboration, pacing, and stabilization before deeper processing. Third, Adapt delivery for development, culture, language, disability, strengths, resources, and structural barriers; measure response. Together, these rules tell you what information controls the next decision and what information is merely background.</w:t>
      </w:r>
    </w:p>
    <w:p>
      <w:pPr>
        <w:spacing w:after="100"/>
      </w:pPr>
      <w:r>
        <w:rPr>
          <w:rFonts w:ascii="Arial" w:hAnsi="Arial"/>
          <w:b w:val="0"/>
          <w:i w:val="0"/>
          <w:color w:val="24313D"/>
          <w:sz w:val="20"/>
        </w:rPr>
        <w:t>The first common trap is Choosing a technique before naming the target and maintaining mechanism. Another trap is Pressing trauma processing during withdrawal, dysregulation, or insufficient readiness. A third trap is Treating ambivalence as defiance or evidence-based treatment as automatically suitable.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formulation and mechanism guide the method? What urgency or stabilization need comes first? What adaptation and measure show fit? Do not continue until you can answer using only the facts that the vignette actually provides.</w:t>
      </w:r>
    </w:p>
    <w:p>
      <w:pPr>
        <w:spacing w:after="100"/>
      </w:pPr>
      <w:r>
        <w:rPr>
          <w:rFonts w:ascii="Arial" w:hAnsi="Arial"/>
          <w:b w:val="0"/>
          <w:i w:val="0"/>
          <w:color w:val="24313D"/>
          <w:sz w:val="20"/>
        </w:rPr>
        <w:t>Your practice action for this topic is: State the target, mechanism, intervention, adaptation, and response measure.</w:t>
      </w:r>
    </w:p>
    <w:p>
      <w:pPr>
        <w:spacing w:after="100"/>
      </w:pPr>
      <w:r>
        <w:rPr>
          <w:rFonts w:ascii="Arial" w:hAnsi="Arial"/>
          <w:b w:val="0"/>
          <w:i w:val="0"/>
          <w:color w:val="24313D"/>
          <w:sz w:val="20"/>
        </w:rPr>
        <w:t>Now shift to Workbook 9, Family, Couple, Group, and Parenting Interventions. The anchor for this topic is Client-System Selection. The workbook sequence is Goal • System Level • Safety • Participation • Access • Role • Follow-Up.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Choose the smallest effective level that fits the goal: individual, caregiver, family, couple, group, team, network, or community. Second, Ask who the client considers family and whether involvement is voluntary, useful, safe, and consistent with role and confidentiality. Third, Screen group purpose, readiness, composition, norms, stage, conflict, and safety before using the group. Together, these rules tell you what information controls the next decision and what information is merely background.</w:t>
      </w:r>
    </w:p>
    <w:p>
      <w:pPr>
        <w:spacing w:after="100"/>
      </w:pPr>
      <w:r>
        <w:rPr>
          <w:rFonts w:ascii="Arial" w:hAnsi="Arial"/>
          <w:b w:val="0"/>
          <w:i w:val="0"/>
          <w:color w:val="24313D"/>
          <w:sz w:val="20"/>
        </w:rPr>
        <w:t>The first common trap is Automatic family involvement or conjoint work before coercion, retaliation, and voluntariness are assessed. Another trap is Using communication training alone when housing, poverty, safety, or another environmental crisis controls the case. A third trap is Referring to a group, team, or resource without access checks and clear responsibility.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system level fits the stated goal? What safety and participation conditions are needed? How will roles, access, and follow-up be coordinated? Do not continue until you can answer using only the facts that the vignette actually provides.</w:t>
      </w:r>
    </w:p>
    <w:p>
      <w:pPr>
        <w:spacing w:after="100"/>
      </w:pPr>
      <w:r>
        <w:rPr>
          <w:rFonts w:ascii="Arial" w:hAnsi="Arial"/>
          <w:b w:val="0"/>
          <w:i w:val="0"/>
          <w:color w:val="24313D"/>
          <w:sz w:val="20"/>
        </w:rPr>
        <w:t>Your practice action for this topic is: Map the client system and circle the smallest effective level for the question.</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parent asks the social worker to place an adolescent in a group immediately after the adolescent disclosed bullying and self-harm thoughts. Group support may eventually be beneficial, but the next step is direct risk assessment, engagement with the adolescent, clarification of confidentiality and consent, evaluation of group fit and readiness, and development of an immediate safety and treatment plan before referral.</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Name the target and the intervention level. Then test the fit: safety, consent, developmental appropriateness, cultural responsiveness, practical access, and measurable response. A sophisticated intervention is still wrong when it is premature or inaccessible.</w:t>
      </w:r>
    </w:p>
    <w:p>
      <w:r>
        <w:br w:type="page"/>
      </w:r>
    </w:p>
    <w:p>
      <w:pPr>
        <w:spacing w:after="0"/>
      </w:pPr>
      <w:r>
        <w:rPr>
          <w:rFonts w:ascii="Arial" w:hAnsi="Arial"/>
          <w:b/>
          <w:i w:val="0"/>
          <w:color w:val="1F7A8C"/>
          <w:sz w:val="20"/>
        </w:rPr>
        <w:t>TRACK 7</w:t>
      </w:r>
    </w:p>
    <w:p>
      <w:pPr>
        <w:pStyle w:val="Heading1"/>
        <w:keepNext/>
      </w:pPr>
      <w:r>
        <w:t>Case Management, Advocacy, Collaboration, Evaluation, and Administration</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WB10: Case Management, Advocacy, Resources, and Collaboration; WB11: Practice Evaluation, Research, Supervision, and Administration</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Choose the intervention level that addresses the barrier while preserving consent, privacy, role clarity, access, accountability, evaluation, and ethical organizational practice.</w:t>
            </w:r>
          </w:p>
        </w:tc>
      </w:tr>
    </w:tbl>
    <w:p>
      <w:pPr>
        <w:pStyle w:val="Heading2"/>
        <w:keepNext/>
      </w:pPr>
      <w:r>
        <w:t>Authoritative Narration</w:t>
      </w:r>
    </w:p>
    <w:p>
      <w:pPr>
        <w:spacing w:after="100"/>
      </w:pPr>
      <w:r>
        <w:rPr>
          <w:rFonts w:ascii="Arial" w:hAnsi="Arial"/>
          <w:b w:val="0"/>
          <w:i w:val="0"/>
          <w:color w:val="24313D"/>
          <w:sz w:val="20"/>
        </w:rPr>
        <w:t>Macro and mezzo details do not cancel clinical reasoning. Whether the question involves a team meeting, referral, program outcome, supervision issue, quality-improvement project, or organizational barrier, begin by clarifying the purpose, the client or population affected, the social worker’s role, the information needed, and the least intrusive effective action.</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10, Case Management, Advocacy, Resources, and Collaboration. The anchor for this topic is BRIDGE. The workbook sequence is Begin • Respect • Identify • Define • Generate • Evaluate.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Begin with the priority and client participation; identify systems and barriers; define roles and disclosure; generate a warm handoff; evaluate outcome. Second, Map who is involved, what the barrier is, and who owns the next step. Third, Verify resource eligibility, availability, accessibility, acceptability, logistics, and follow-through; use the least intrusive effective advocacy level. Together, these rules tell you what information controls the next decision and what information is merely background.</w:t>
      </w:r>
    </w:p>
    <w:p>
      <w:pPr>
        <w:spacing w:after="100"/>
      </w:pPr>
      <w:r>
        <w:rPr>
          <w:rFonts w:ascii="Arial" w:hAnsi="Arial"/>
          <w:b w:val="0"/>
          <w:i w:val="0"/>
          <w:color w:val="24313D"/>
          <w:sz w:val="20"/>
        </w:rPr>
        <w:t>The first common trap is Providing a referral list without confirming fit or handoff. Another trap is Unclear roles, broad disclosure, duplicated services, or no person responsible for follow-up. A third trap is Interpreting access failure as lack of motivation or escalating advocacy beyond the needed level.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priority and barrier are being addressed? Who owns each next step and what disclosure is necessary? How will access and outcome be verified? Do not continue until you can answer using only the facts that the vignette actually provides.</w:t>
      </w:r>
    </w:p>
    <w:p>
      <w:pPr>
        <w:spacing w:after="100"/>
      </w:pPr>
      <w:r>
        <w:rPr>
          <w:rFonts w:ascii="Arial" w:hAnsi="Arial"/>
          <w:b w:val="0"/>
          <w:i w:val="0"/>
          <w:color w:val="24313D"/>
          <w:sz w:val="20"/>
        </w:rPr>
        <w:t>Your practice action for this topic is: Complete a BRIDGE map for one complex service vignette.</w:t>
      </w:r>
    </w:p>
    <w:p>
      <w:pPr>
        <w:spacing w:after="100"/>
      </w:pPr>
      <w:r>
        <w:rPr>
          <w:rFonts w:ascii="Arial" w:hAnsi="Arial"/>
          <w:b w:val="0"/>
          <w:i w:val="0"/>
          <w:color w:val="24313D"/>
          <w:sz w:val="20"/>
        </w:rPr>
        <w:t>Now shift to Workbook 11, Practice Evaluation, Research, Supervision, and Administration. The anchor for this topic is EVALUATE + SUPERVISE. The workbook sequence is Establish • Value • Articulate • Locate • Use • Analyze • Translate • Evaluate Again.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Start with the decision the information must support; then define the valued outcome and the question. Second, Match needs, process, outcome, cost-effectiveness, or cost-benefit evaluation to the question and available data. Third, Make no stronger claim than reliability, validity, sampling, design, bias, feasibility, and ethics allow; bring risk and uncertainty to supervision early. Together, these rules tell you what information controls the next decision and what information is merely background.</w:t>
      </w:r>
    </w:p>
    <w:p>
      <w:pPr>
        <w:spacing w:after="100"/>
      </w:pPr>
      <w:r>
        <w:rPr>
          <w:rFonts w:ascii="Arial" w:hAnsi="Arial"/>
          <w:b w:val="0"/>
          <w:i w:val="0"/>
          <w:color w:val="24313D"/>
          <w:sz w:val="20"/>
        </w:rPr>
        <w:t>The first common trap is Choosing a measure before defining the question and target. Another trap is Treating correlation as causation or generalizing beyond the design and sample. A third trap is Disciplining an individual or delaying supervision before examining system conditions and safeguards.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decision and outcome are being evaluated? What data and design support the claim? What ethical, supervisory, or system action follows? Do not continue until you can answer using only the facts that the vignette actually provides.</w:t>
      </w:r>
    </w:p>
    <w:p>
      <w:pPr>
        <w:spacing w:after="100"/>
      </w:pPr>
      <w:r>
        <w:rPr>
          <w:rFonts w:ascii="Arial" w:hAnsi="Arial"/>
          <w:b w:val="0"/>
          <w:i w:val="0"/>
          <w:color w:val="24313D"/>
          <w:sz w:val="20"/>
        </w:rPr>
        <w:t>Your practice action for this topic is: Write one evaluation question, measure, limitation, action, and recheck point.</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community program has high referral numbers but low service completion. Staff propose increasing outreach immediately. Before choosing a new intervention, the social worker should define the outcome, review available data, examine where clients are lost in the process, gather client and staff perspectives, identify transportation, language, scheduling, eligibility, or trust barriers, and select a measurable change that can be evaluated.</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A referral is complete only when access is verified. Collaboration is appropriate only when role, consent, purpose, and necessary disclosure are clear. Evaluation should use a question and measure that fit the decision. Supervision and administration should protect competence, client welfare, documentation, and accountability.</w:t>
      </w:r>
    </w:p>
    <w:p>
      <w:r>
        <w:br w:type="page"/>
      </w:r>
    </w:p>
    <w:p>
      <w:pPr>
        <w:spacing w:after="0"/>
      </w:pPr>
      <w:r>
        <w:rPr>
          <w:rFonts w:ascii="Arial" w:hAnsi="Arial"/>
          <w:b/>
          <w:i w:val="0"/>
          <w:color w:val="1F7A8C"/>
          <w:sz w:val="20"/>
        </w:rPr>
        <w:t>TRACK 8</w:t>
      </w:r>
    </w:p>
    <w:p>
      <w:pPr>
        <w:pStyle w:val="Heading1"/>
        <w:keepNext/>
      </w:pPr>
      <w:r>
        <w:t>Integrated Review, Error Logs, and Form A/Form B Readiness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Workbook coverage</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WB12: Integrated Review and 25-Question Mini-Mock</w:t>
            </w:r>
          </w:p>
        </w:tc>
      </w:tr>
      <w:tr>
        <w:trPr>
          <w:cantSplit/>
        </w:trPr>
        <w:tc>
          <w:tcPr>
            <w:tcW w:type="dxa" w:w="1944"/>
            <w:shd w:fill="17365D"/>
            <w:tcBorders>
              <w:top w:val="single" w:sz="6" w:color="17365D"/>
              <w:left w:val="single" w:sz="6" w:color="17365D"/>
              <w:bottom w:val="single" w:sz="6" w:color="17365D"/>
              <w:right w:val="single" w:sz="6" w:color="17365D"/>
            </w:tcBorders>
            <w:tcMar>
              <w:top w:w="80" w:type="dxa"/>
              <w:start w:w="95" w:type="dxa"/>
              <w:bottom w:w="80" w:type="dxa"/>
              <w:end w:w="95" w:type="dxa"/>
            </w:tcMar>
          </w:tcPr>
          <w:p>
            <w:r>
              <w:rPr>
                <w:rFonts w:ascii="Arial" w:hAnsi="Arial"/>
                <w:b/>
                <w:i w:val="0"/>
                <w:color w:val="FFFFFF"/>
                <w:sz w:val="17"/>
              </w:rPr>
              <w:t>Recording target</w:t>
            </w:r>
          </w:p>
        </w:tc>
        <w:tc>
          <w:tcPr>
            <w:tcW w:type="dxa" w:w="8280"/>
            <w:shd w:fill="F3F7FA"/>
            <w:tcBorders>
              <w:top w:val="single" w:sz="6" w:color="B7C4CE"/>
              <w:left w:val="single" w:sz="6" w:color="B7C4CE"/>
              <w:bottom w:val="single" w:sz="6" w:color="B7C4CE"/>
              <w:right w:val="single" w:sz="6" w:color="B7C4CE"/>
            </w:tcBorders>
            <w:tcMar>
              <w:top w:w="80" w:type="dxa"/>
              <w:start w:w="95" w:type="dxa"/>
              <w:bottom w:w="80" w:type="dxa"/>
              <w:end w:w="95" w:type="dxa"/>
            </w:tcMar>
          </w:tcPr>
          <w:p>
            <w:r>
              <w:rPr>
                <w:rFonts w:ascii="Arial" w:hAnsi="Arial"/>
                <w:b w:val="0"/>
                <w:i w:val="0"/>
                <w:color w:val="24313D"/>
                <w:sz w:val="17"/>
              </w:rPr>
              <w:t>Approximately 5–15 minutes at a natural coaching pace</w:t>
            </w:r>
          </w:p>
        </w:tc>
      </w:tr>
    </w:tbl>
    <w:tbl>
      <w:tblPr>
        <w:tblW w:type="auto" w:w="0"/>
        <w:jc w:val="center"/>
        <w:tblLayout w:type="fixed"/>
        <w:tblLook w:firstColumn="1" w:firstRow="1" w:lastColumn="0" w:lastRow="0" w:noHBand="0" w:noVBand="1" w:val="04A0"/>
      </w:tblPr>
      <w:tblGrid>
        <w:gridCol w:w="10224"/>
      </w:tblGrid>
      <w:tr>
        <w:tc>
          <w:tcPr>
            <w:tcW w:type="dxa" w:w="10282"/>
            <w:shd w:fill="DDEFF2"/>
            <w:tcBorders>
              <w:top w:val="single" w:sz="9" w:color="1F7A8C"/>
              <w:left w:val="single" w:sz="9" w:color="1F7A8C"/>
              <w:bottom w:val="single" w:sz="9" w:color="1F7A8C"/>
              <w:right w:val="single" w:sz="9" w:color="1F7A8C"/>
            </w:tcBorders>
            <w:tcMar>
              <w:top w:w="110" w:type="dxa"/>
              <w:start w:w="135" w:type="dxa"/>
              <w:bottom w:w="110" w:type="dxa"/>
              <w:end w:w="135" w:type="dxa"/>
            </w:tcMar>
          </w:tcPr>
          <w:p>
            <w:r>
              <w:rPr>
                <w:rFonts w:ascii="Arial" w:hAnsi="Arial"/>
                <w:b/>
                <w:i w:val="0"/>
                <w:color w:val="1F7A8C"/>
                <w:sz w:val="19"/>
              </w:rPr>
              <w:t xml:space="preserve">PURPOSE  </w:t>
            </w:r>
            <w:r>
              <w:rPr>
                <w:rFonts w:ascii="Arial" w:hAnsi="Arial"/>
                <w:b w:val="0"/>
                <w:i w:val="0"/>
                <w:color w:val="24313D"/>
                <w:sz w:val="19"/>
              </w:rPr>
              <w:t>Integrate values, assessment, diagnosis, planning, intervention, systems practice, and professional responsibility under simulated exam conditions.</w:t>
            </w:r>
          </w:p>
        </w:tc>
      </w:tr>
    </w:tbl>
    <w:p>
      <w:pPr>
        <w:pStyle w:val="Heading2"/>
        <w:keepNext/>
      </w:pPr>
      <w:r>
        <w:t>Authoritative Narration</w:t>
      </w:r>
    </w:p>
    <w:p>
      <w:pPr>
        <w:spacing w:after="100"/>
      </w:pPr>
      <w:r>
        <w:rPr>
          <w:rFonts w:ascii="Arial" w:hAnsi="Arial"/>
          <w:b w:val="0"/>
          <w:i w:val="0"/>
          <w:color w:val="24313D"/>
          <w:sz w:val="20"/>
        </w:rPr>
        <w:t>Integrated questions test whether you can identify which practice stage controls the moment. The vignette may contain ethics, risk, access, diagnosis, family conflict, and systems barriers at the same time. Do not solve every problem. Locate the urgent issue, identify the authority or capacity question, name the current practice stage, and choose the next action supported by the facts.</w:t>
      </w:r>
    </w:p>
    <w:p>
      <w:pPr>
        <w:spacing w:after="100"/>
        <w:ind w:left="259" w:right="259"/>
      </w:pPr>
      <w:r>
        <w:rPr>
          <w:rFonts w:ascii="Arial" w:hAnsi="Arial"/>
          <w:b/>
          <w:i/>
          <w:color w:val="1F7A8C"/>
          <w:sz w:val="19"/>
        </w:rPr>
        <w:t>Take one slow breath. As you listen, picture a short vignette and practice naming the task and the current stage before you decide what to do next.</w:t>
      </w:r>
    </w:p>
    <w:p>
      <w:pPr>
        <w:spacing w:after="100"/>
      </w:pPr>
      <w:r>
        <w:rPr>
          <w:rFonts w:ascii="Arial" w:hAnsi="Arial"/>
          <w:b w:val="0"/>
          <w:i w:val="0"/>
          <w:color w:val="24313D"/>
          <w:sz w:val="20"/>
        </w:rPr>
        <w:t>Now shift to Workbook 12, Integrated Review and 25-Question Mini-Mock. The anchor for this topic is CLINIC + Priority Ladder. The workbook sequence is Clarify • Locate • Identify • Name • Intervene • Check. Do not worry about reciting the exact punctuation of the sequence. Use it as a mental path that keeps the case organized and prevents you from jumping to a later-stage answer.</w:t>
      </w:r>
    </w:p>
    <w:p>
      <w:pPr>
        <w:spacing w:after="100"/>
      </w:pPr>
      <w:r>
        <w:rPr>
          <w:rFonts w:ascii="Arial" w:hAnsi="Arial"/>
          <w:b w:val="0"/>
          <w:i w:val="0"/>
          <w:color w:val="24313D"/>
          <w:sz w:val="20"/>
        </w:rPr>
        <w:t>First, Integrate ethics, assessment/planning, and intervention/practice by clarifying the task, locating urgency, identifying authority/capacity, naming the stage, acting proportionately, and checking continuity. Second, Use the priority ladder: Urgency → Authority/Capacity → Assess → Plan → Act → Review. Third, Use time and confidence as data; change an answer only when a specific fact, principle, role boundary, or sequence makes the original weaker. Together, these rules tell you what information controls the next decision and what information is merely background.</w:t>
      </w:r>
    </w:p>
    <w:p>
      <w:pPr>
        <w:spacing w:after="100"/>
      </w:pPr>
      <w:r>
        <w:rPr>
          <w:rFonts w:ascii="Arial" w:hAnsi="Arial"/>
          <w:b w:val="0"/>
          <w:i w:val="0"/>
          <w:color w:val="24313D"/>
          <w:sz w:val="20"/>
        </w:rPr>
        <w:t>The first common trap is Adding facts or answering a different practice stage than the question asks. Another trap is Paternalism, system blindness, overreferral, or action without follow-up. A third trap is Changing answers because another option sounds more sophisticated rather than because evidence supports the change. Notice that each trap can produce an answer that sounds helpful. The problem is usually timing, evidence, role, context, or intensity.</w:t>
      </w:r>
    </w:p>
    <w:p>
      <w:pPr>
        <w:spacing w:after="100"/>
        <w:ind w:left="259" w:right="259"/>
      </w:pPr>
      <w:r>
        <w:rPr>
          <w:rFonts w:ascii="Arial" w:hAnsi="Arial"/>
          <w:b/>
          <w:i/>
          <w:color w:val="1F7A8C"/>
          <w:sz w:val="19"/>
        </w:rPr>
        <w:t>Pause and answer these questions aloud. What is urgent and what authority or capacity matters? What stage is the question testing? What specific reason supports keeping or changing the answer? Do not continue until you can answer using only the facts that the vignette actually provides.</w:t>
      </w:r>
    </w:p>
    <w:p>
      <w:pPr>
        <w:spacing w:after="100"/>
      </w:pPr>
      <w:r>
        <w:rPr>
          <w:rFonts w:ascii="Arial" w:hAnsi="Arial"/>
          <w:b w:val="0"/>
          <w:i w:val="0"/>
          <w:color w:val="24313D"/>
          <w:sz w:val="20"/>
        </w:rPr>
        <w:t>Your practice action for this topic is: After the mini-mock, classify every miss by content, stage, sequence, distractor, pacing, and confidence.</w:t>
      </w:r>
    </w:p>
    <w:p>
      <w:pPr>
        <w:spacing w:after="100"/>
      </w:pPr>
      <w:r>
        <w:rPr>
          <w:rFonts w:ascii="Arial" w:hAnsi="Arial"/>
          <w:b w:val="0"/>
          <w:i w:val="0"/>
          <w:color w:val="24313D"/>
          <w:sz w:val="20"/>
        </w:rPr>
        <w:t>Now apply the reasoning to a short scenario.</w:t>
      </w:r>
    </w:p>
    <w:p>
      <w:pPr>
        <w:spacing w:after="100"/>
      </w:pPr>
      <w:r>
        <w:rPr>
          <w:rFonts w:ascii="Arial" w:hAnsi="Arial"/>
          <w:b w:val="0"/>
          <w:i w:val="0"/>
          <w:color w:val="24313D"/>
          <w:sz w:val="20"/>
        </w:rPr>
        <w:t>A client with worsening depression is about to lose housing, has missed medication appointments, and asks the social worker not to contact anyone. The client denies a current plan but makes an ambiguous statement about not waking up. The social worker should directly assess suicide risk and capacity, engage the client in an immediate safety and access plan, clarify consent and necessary coordination, address urgent housing and medication barriers, and document and follow up. The answer should not leap to broad advocacy while leaving the immediate risk unclear.</w:t>
      </w:r>
    </w:p>
    <w:p>
      <w:pPr>
        <w:spacing w:after="100"/>
        <w:ind w:left="259" w:right="259"/>
      </w:pPr>
      <w:r>
        <w:rPr>
          <w:rFonts w:ascii="Arial" w:hAnsi="Arial"/>
          <w:b/>
          <w:i/>
          <w:color w:val="1F7A8C"/>
          <w:sz w:val="19"/>
        </w:rPr>
        <w:t>Pause. State the controlling priority, the missing fact if one remains, and the best next step. Then explain why the most tempting later-stage answer is premature.</w:t>
      </w:r>
    </w:p>
    <w:p>
      <w:pPr>
        <w:spacing w:after="100"/>
      </w:pPr>
      <w:r>
        <w:rPr>
          <w:rFonts w:ascii="Arial" w:hAnsi="Arial"/>
          <w:b w:val="0"/>
          <w:i w:val="0"/>
          <w:color w:val="24313D"/>
          <w:sz w:val="20"/>
        </w:rPr>
        <w:t>Use the mini-mock and Form A as diagnostic tools. Score, classify, and remediate every miss. Take Form B only after you have corrected the recurring patterns. On the final exam, use the facts given, the stage asked, and the smallest effective ethical action that protects safety, self-determination, and continuity.</w:t>
      </w:r>
    </w:p>
    <w:p>
      <w:r>
        <w:br w:type="page"/>
      </w:r>
    </w:p>
    <w:p>
      <w:pPr>
        <w:pStyle w:val="Heading1"/>
        <w:jc w:val="center"/>
      </w:pPr>
      <w:r>
        <w:t>Collection Completion Checklist</w:t>
      </w:r>
    </w:p>
    <w:tbl>
      <w:tblPr>
        <w:tblW w:type="auto" w:w="0"/>
        <w:jc w:val="center"/>
        <w:tblLayout w:type="fixed"/>
        <w:tblLook w:firstColumn="1" w:firstRow="1" w:lastColumn="0" w:lastRow="0" w:noHBand="0" w:noVBand="1" w:val="04A0"/>
      </w:tblPr>
      <w:tblGrid>
        <w:gridCol w:w="792"/>
        <w:gridCol w:w="9432"/>
      </w:tblGrid>
      <w:tr>
        <w:trPr>
          <w:cantSplit/>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Track titles and workbook coverage match the CTA curriculum sequence.</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Narration was reviewed before recording and read verbatim during recording.</w:t>
            </w:r>
          </w:p>
        </w:tc>
      </w:tr>
      <w:tr>
        <w:trPr>
          <w:cantSplit/>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Audio edits preserve the meaning and order of the authoritative transcript.</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Captions or transcript files match the final audio word for word.</w:t>
            </w:r>
          </w:p>
        </w:tc>
      </w:tr>
      <w:tr>
        <w:trPr>
          <w:cantSplit/>
        </w:trPr>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FFFFF"/>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Version number and publication date remain consistent across script, audio, and platform upload.</w:t>
            </w:r>
          </w:p>
        </w:tc>
      </w:tr>
      <w:tr>
        <w:trPr>
          <w:cantSplit/>
        </w:trPr>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pPr>
              <w:jc w:val="center"/>
            </w:pPr>
            <w:r>
              <w:rPr>
                <w:rFonts w:ascii="Arial" w:hAnsi="Arial"/>
                <w:b/>
                <w:i w:val="0"/>
                <w:color w:val="1F7A8C"/>
                <w:sz w:val="22"/>
              </w:rPr>
              <w:t>☐</w:t>
            </w:r>
          </w:p>
        </w:tc>
        <w:tc>
          <w:tcPr>
            <w:tcW w:type="dxa" w:w="5141"/>
            <w:shd w:fill="F3F7FA"/>
            <w:tcBorders>
              <w:top w:val="single" w:sz="5" w:color="B7C4CE"/>
              <w:left w:val="single" w:sz="5" w:color="B7C4CE"/>
              <w:bottom w:val="single" w:sz="5" w:color="B7C4CE"/>
              <w:right w:val="single" w:sz="5" w:color="B7C4CE"/>
            </w:tcBorders>
            <w:tcMar>
              <w:top w:w="85" w:type="dxa"/>
              <w:start w:w="95" w:type="dxa"/>
              <w:bottom w:w="85" w:type="dxa"/>
              <w:end w:w="95" w:type="dxa"/>
            </w:tcMar>
          </w:tcPr>
          <w:p>
            <w:r>
              <w:rPr>
                <w:rFonts w:ascii="Arial" w:hAnsi="Arial"/>
                <w:b w:val="0"/>
                <w:i w:val="0"/>
                <w:color w:val="24313D"/>
                <w:sz w:val="18"/>
              </w:rPr>
              <w:t>The learner is directed to current official resources for examination, licensing, legal, medical, or emergency questions.</w:t>
            </w:r>
          </w:p>
        </w:tc>
      </w:tr>
    </w:tbl>
    <w:p>
      <w:pPr>
        <w:spacing w:before="320"/>
        <w:jc w:val="center"/>
      </w:pPr>
      <w:r>
        <w:rPr>
          <w:rFonts w:ascii="Arial" w:hAnsi="Arial"/>
          <w:b w:val="0"/>
          <w:i/>
          <w:color w:val="68737D"/>
          <w:sz w:val="17"/>
        </w:rPr>
        <w:t>Clinical Training Academy • Educational exam-preparation resource • No guarantee of examination passage</w:t>
      </w:r>
    </w:p>
    <w:sectPr w:rsidR="00FC693F" w:rsidRPr="0006063C" w:rsidSect="00034616">
      <w:headerReference w:type="default" r:id="rId9"/>
      <w:footerReference w:type="default" r:id="rId10"/>
      <w:pgSz w:w="12240" w:h="15840"/>
      <w:pgMar w:top="792" w:right="979" w:bottom="792" w:left="97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8737D"/>
        <w:sz w:val="16"/>
      </w:rPr>
      <w:t xml:space="preserve">Clinical Training Academy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F7A8C"/>
        <w:sz w:val="15"/>
      </w:rPr>
      <w:t>CLINICAL TRAINING ACADEMY  •  LCSW AUDIO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ascii="Arial" w:hAnsi="Arial"/>
      <w:b/>
      <w:i/>
      <w:iCs/>
      <w:color w:val="1F7A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