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Applying Social Work Values and Ethics</w:t>
      </w:r>
    </w:p>
    <w:p>
      <w:pPr>
        <w:jc w:val="center"/>
      </w:pPr>
      <w:r>
        <w:rPr>
          <w:rFonts w:ascii="Aptos Display" w:hAnsi="Aptos Display"/>
          <w:b/>
          <w:color w:val="2AA7D6"/>
          <w:sz w:val="32"/>
        </w:rPr>
        <w:t>LCSW-Specific Multimedia Script 01</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LCSW candidates to apply social work values, ethical responsibilities, self-determination, dignity, safety, competence, confidentiality, and social justice to scenario-based exam decisions.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preparing for ASWB Clinical questions involving values, ethics, professional judgment, and competing responsibilities.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LCSW Profession-Specific Strategy Library, paired with Values, Ethics, Self-Determination, and Social Justice.</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Workbooks 2, 6, 10, and 11, with integrated review from Workbook 12.</w:t>
            </w:r>
          </w:p>
        </w:tc>
      </w:tr>
    </w:tbl>
    <w:p>
      <w:pPr>
        <w:spacing w:after="20"/>
      </w:pPr>
    </w:p>
    <w:p>
      <w:pPr>
        <w:pStyle w:val="Heading1"/>
      </w:pPr>
      <w:r>
        <w:t>Learning Outcomes</w:t>
      </w:r>
    </w:p>
    <w:p>
      <w:pPr>
        <w:pStyle w:val="ListBullet"/>
        <w:spacing w:after="40"/>
        <w:ind w:left="360" w:hanging="216"/>
      </w:pPr>
      <w:r>
        <w:t>Identify the social work values and duties competing in an exam scenario.</w:t>
      </w:r>
    </w:p>
    <w:p>
      <w:pPr>
        <w:pStyle w:val="ListBullet"/>
        <w:spacing w:after="40"/>
        <w:ind w:left="360" w:hanging="216"/>
      </w:pPr>
      <w:r>
        <w:t>Protect self-determination without ignoring safety, law, or professional responsibility.</w:t>
      </w:r>
    </w:p>
    <w:p>
      <w:pPr>
        <w:pStyle w:val="ListBullet"/>
        <w:spacing w:after="40"/>
        <w:ind w:left="360" w:hanging="216"/>
      </w:pPr>
      <w:r>
        <w:t>Choose the least intrusive effective action within role and competence.</w:t>
      </w:r>
    </w:p>
    <w:p>
      <w:pPr>
        <w:pStyle w:val="ListBullet"/>
        <w:spacing w:after="40"/>
        <w:ind w:left="360" w:hanging="216"/>
      </w:pPr>
      <w:r>
        <w:t>Use consultation and documentation when ethical uncertainty remains.</w:t>
      </w:r>
    </w:p>
    <w:p>
      <w:pPr>
        <w:pStyle w:val="Heading1"/>
      </w:pPr>
      <w:r>
        <w:t>Voice and Presentation Direction</w:t>
      </w:r>
    </w:p>
    <w:p>
      <w:pPr>
        <w:pStyle w:val="ListBullet"/>
        <w:spacing w:after="40"/>
        <w:ind w:left="360" w:hanging="216"/>
      </w:pPr>
      <w:r>
        <w:t>Explain ethical reasoning as a sequence rather than a single rule.</w:t>
      </w:r>
    </w:p>
    <w:p>
      <w:pPr>
        <w:pStyle w:val="ListBullet"/>
        <w:spacing w:after="40"/>
        <w:ind w:left="360" w:hanging="216"/>
      </w:pPr>
      <w:r>
        <w:t>Use respectful language that preserves dignity and avoids paternalism.</w:t>
      </w:r>
    </w:p>
    <w:p>
      <w:pPr>
        <w:pStyle w:val="ListBullet"/>
        <w:spacing w:after="40"/>
        <w:ind w:left="360" w:hanging="216"/>
      </w:pPr>
      <w:r>
        <w:t>Distinguish client disagreement from incapacity or imminent danger.</w:t>
      </w:r>
    </w:p>
    <w:p>
      <w:pPr>
        <w:pStyle w:val="ListBullet"/>
        <w:spacing w:after="40"/>
        <w:ind w:left="360" w:hanging="216"/>
      </w:pPr>
      <w:r>
        <w:t>Reinforce that consultation supports judgment but does not transfer responsibility.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calm, balanced tone. Avoid presenting ethics as memorized slogans. Emphasize client participation, proportionality, consultation, documentation, and the least restrictive effective response.</w:t>
            </w:r>
          </w:p>
        </w:tc>
      </w:tr>
    </w:tbl>
    <w:p>
      <w:pPr>
        <w:spacing w:after="20"/>
      </w:pPr>
    </w:p>
    <w:p>
      <w:pPr>
        <w:pStyle w:val="Heading1"/>
      </w:pPr>
      <w:r>
        <w:t>Slide-by-Slide Script</w:t>
      </w:r>
    </w:p>
    <w:p>
      <w:pPr>
        <w:pStyle w:val="Heading2"/>
        <w:keepNext/>
      </w:pPr>
      <w:r>
        <w:t>Slide 1: Values Guide the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compass labeled dignity, self-determination, service, integrity, competence, and justice pointing toward a clinical decision path.</w:t>
            </w:r>
          </w:p>
        </w:tc>
        <w:tc>
          <w:tcPr>
            <w:tcW w:type="dxa" w:w="5112"/>
            <w:shd w:fill="DCEFF6"/>
            <w:tcMar>
              <w:top w:w="90" w:type="dxa"/>
              <w:start w:w="110" w:type="dxa"/>
              <w:bottom w:w="90" w:type="dxa"/>
              <w:end w:w="110" w:type="dxa"/>
            </w:tcMar>
            <w:vAlign w:val="top"/>
          </w:tcPr>
          <w:p>
            <w:pPr>
              <w:keepNext/>
              <w:keepLines/>
            </w:pPr>
            <w:r>
              <w:rPr>
                <w:color w:val="243B53"/>
                <w:sz w:val="17"/>
              </w:rPr>
              <w:t>Values Shape What Comes First</w:t>
            </w:r>
          </w:p>
        </w:tc>
      </w:tr>
    </w:tbl>
    <w:p>
      <w:pPr>
        <w:pStyle w:val="CTALabel"/>
        <w:keepNext/>
      </w:pPr>
      <w:r>
        <w:t>Narration</w:t>
      </w:r>
    </w:p>
    <w:p>
      <w:pPr>
        <w:pStyle w:val="CTANarration"/>
        <w:keepLines/>
        <w:ind w:left="259" w:right="173"/>
      </w:pPr>
      <w:r>
        <w:t>Ethics questions rarely ask whether one value matters. They ask how to act when several values and duties compete. A client may want privacy while safety concerns require assessment. A family may request help while the client has not consented to disclosure. The strongest answer identifies the competing responsibilities, gathers the missing facts, and selects the most proportionate action rather than choosing a slogan or an absolute rule.</w:t>
      </w:r>
    </w:p>
    <w:p>
      <w:pPr>
        <w:pStyle w:val="Heading2"/>
        <w:keepNext/>
      </w:pPr>
      <w:r>
        <w:t>Slide 2: Start With Dignity and Client Participation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client and social worker reviewing choices together, with the client voice centered.</w:t>
            </w:r>
          </w:p>
        </w:tc>
        <w:tc>
          <w:tcPr>
            <w:tcW w:type="dxa" w:w="5112"/>
            <w:shd w:fill="DCEFF6"/>
            <w:tcMar>
              <w:top w:w="90" w:type="dxa"/>
              <w:start w:w="110" w:type="dxa"/>
              <w:bottom w:w="90" w:type="dxa"/>
              <w:end w:w="110" w:type="dxa"/>
            </w:tcMar>
            <w:vAlign w:val="top"/>
          </w:tcPr>
          <w:p>
            <w:pPr>
              <w:keepNext/>
              <w:keepLines/>
            </w:pPr>
            <w:r>
              <w:rPr>
                <w:color w:val="243B53"/>
                <w:sz w:val="17"/>
              </w:rPr>
              <w:t>Respect • Explain • Invite Participation</w:t>
            </w:r>
          </w:p>
        </w:tc>
      </w:tr>
    </w:tbl>
    <w:p>
      <w:pPr>
        <w:pStyle w:val="CTALabel"/>
        <w:keepNext/>
      </w:pPr>
      <w:r>
        <w:t>Narration</w:t>
      </w:r>
    </w:p>
    <w:p>
      <w:pPr>
        <w:pStyle w:val="CTANarration"/>
        <w:keepLines/>
        <w:ind w:left="259" w:right="173"/>
      </w:pPr>
      <w:r>
        <w:t>Begin by preserving the client’s dignity and participation. Explain the role, the purpose of the service, available choices, foreseeable consequences, and limits that may affect confidentiality or autonomy. Even when services are mandated or options are constrained, the client should understand what is happening and what choices remain. Exam answers that shame, threaten, manipulate, or conceal information usually conflict with ethical social work practice.</w:t>
      </w:r>
    </w:p>
    <w:p>
      <w:pPr>
        <w:pStyle w:val="Heading2"/>
        <w:keepNext/>
      </w:pPr>
      <w:r>
        <w:t>Slide 3: Self-Determination Is Strong but Not Unlimited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balance scale with client choice on one side and immediate safety or legal duty on the other.</w:t>
            </w:r>
          </w:p>
        </w:tc>
        <w:tc>
          <w:tcPr>
            <w:tcW w:type="dxa" w:w="5112"/>
            <w:shd w:fill="DCEFF6"/>
            <w:tcMar>
              <w:top w:w="90" w:type="dxa"/>
              <w:start w:w="110" w:type="dxa"/>
              <w:bottom w:w="90" w:type="dxa"/>
              <w:end w:w="110" w:type="dxa"/>
            </w:tcMar>
            <w:vAlign w:val="top"/>
          </w:tcPr>
          <w:p>
            <w:pPr>
              <w:keepNext/>
              <w:keepLines/>
            </w:pPr>
            <w:r>
              <w:rPr>
                <w:color w:val="243B53"/>
                <w:sz w:val="17"/>
              </w:rPr>
              <w:t>Honor Choice Until a Supported Limit Applies</w:t>
            </w:r>
          </w:p>
        </w:tc>
      </w:tr>
    </w:tbl>
    <w:p>
      <w:pPr>
        <w:pStyle w:val="CTALabel"/>
        <w:keepNext/>
      </w:pPr>
      <w:r>
        <w:t>Narration</w:t>
      </w:r>
    </w:p>
    <w:p>
      <w:pPr>
        <w:pStyle w:val="CTANarration"/>
        <w:keepLines/>
        <w:ind w:left="259" w:right="173"/>
      </w:pPr>
      <w:r>
        <w:t>Self-determination means clients direct their goals and decisions whenever they can do so safely and with adequate understanding. It does not require the social worker to ignore imminent danger, abuse, exploitation, incapacity, or a clear legal obligation. The exam often rewards answers that first assess the actual risk or decision-making ability instead of assuming that disagreement, unusual choices, or family concern automatically justify overriding the client.</w:t>
      </w:r>
    </w:p>
    <w:p>
      <w:pPr>
        <w:pStyle w:val="Heading2"/>
        <w:keepNext/>
      </w:pPr>
      <w:r>
        <w:t>Slide 4: Separate Capacity From Agreement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Two columns: “Understands and Chooses” versus “Agrees With the Social Worker.”</w:t>
            </w:r>
          </w:p>
        </w:tc>
        <w:tc>
          <w:tcPr>
            <w:tcW w:type="dxa" w:w="5112"/>
            <w:shd w:fill="DCEFF6"/>
            <w:tcMar>
              <w:top w:w="90" w:type="dxa"/>
              <w:start w:w="110" w:type="dxa"/>
              <w:bottom w:w="90" w:type="dxa"/>
              <w:end w:w="110" w:type="dxa"/>
            </w:tcMar>
            <w:vAlign w:val="top"/>
          </w:tcPr>
          <w:p>
            <w:pPr>
              <w:keepNext/>
              <w:keepLines/>
            </w:pPr>
            <w:r>
              <w:rPr>
                <w:color w:val="243B53"/>
                <w:sz w:val="17"/>
              </w:rPr>
              <w:t>A Different Choice Is Not Proof of Incapacity</w:t>
            </w:r>
          </w:p>
        </w:tc>
      </w:tr>
    </w:tbl>
    <w:p>
      <w:pPr>
        <w:pStyle w:val="CTALabel"/>
        <w:keepNext/>
      </w:pPr>
      <w:r>
        <w:t>Narration</w:t>
      </w:r>
    </w:p>
    <w:p>
      <w:pPr>
        <w:pStyle w:val="CTANarration"/>
        <w:keepLines/>
        <w:ind w:left="259" w:right="173"/>
      </w:pPr>
      <w:r>
        <w:t>A client can make a decision the social worker would not choose and still possess decision-making capacity. Capacity is specific to the decision and involves understanding relevant information, appreciating consequences, reasoning about options, and communicating a choice. Do not treat age, diagnosis, disability, substance history, or family disagreement as automatic proof of incapacity. Assess the client’s current ability in context and use supports that improve understanding.</w:t>
      </w:r>
    </w:p>
    <w:p>
      <w:pPr>
        <w:pStyle w:val="Heading2"/>
        <w:keepNext/>
      </w:pPr>
      <w:r>
        <w:t>Slide 5: Use the Least Restrictive Effective Response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staircase from information and collaboration to higher levels of protective action.</w:t>
            </w:r>
          </w:p>
        </w:tc>
        <w:tc>
          <w:tcPr>
            <w:tcW w:type="dxa" w:w="5112"/>
            <w:shd w:fill="DCEFF6"/>
            <w:tcMar>
              <w:top w:w="90" w:type="dxa"/>
              <w:start w:w="110" w:type="dxa"/>
              <w:bottom w:w="90" w:type="dxa"/>
              <w:end w:w="110" w:type="dxa"/>
            </w:tcMar>
            <w:vAlign w:val="top"/>
          </w:tcPr>
          <w:p>
            <w:pPr>
              <w:keepNext/>
              <w:keepLines/>
            </w:pPr>
            <w:r>
              <w:rPr>
                <w:color w:val="243B53"/>
                <w:sz w:val="17"/>
              </w:rPr>
              <w:t>Start With the Smallest Effective Step</w:t>
            </w:r>
          </w:p>
        </w:tc>
      </w:tr>
    </w:tbl>
    <w:p>
      <w:pPr>
        <w:pStyle w:val="CTALabel"/>
        <w:keepNext/>
      </w:pPr>
      <w:r>
        <w:t>Narration</w:t>
      </w:r>
    </w:p>
    <w:p>
      <w:pPr>
        <w:pStyle w:val="CTANarration"/>
        <w:keepLines/>
        <w:ind w:left="259" w:right="173"/>
      </w:pPr>
      <w:r>
        <w:t>When several actions could address a concern, choose the least restrictive response that is still effective and safe. Clarification, collaborative planning, skill building, a warm referral, or consultation may resolve the issue without unnecessary control. More intrusive actions become appropriate when the facts show greater danger, incapacity, abuse, or legal duty. The least restrictive principle does not mean doing too little; it means matching the response to the supported level of need.</w:t>
      </w:r>
    </w:p>
    <w:p>
      <w:pPr>
        <w:pStyle w:val="Heading2"/>
        <w:keepNext/>
      </w:pPr>
      <w:r>
        <w:t>Slide 6: Protect Privacy and Use Minimum Necessary Disclosure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privacy boundary with a narrow information channel to an authorized recipient.</w:t>
            </w:r>
          </w:p>
        </w:tc>
        <w:tc>
          <w:tcPr>
            <w:tcW w:type="dxa" w:w="5112"/>
            <w:shd w:fill="DCEFF6"/>
            <w:tcMar>
              <w:top w:w="90" w:type="dxa"/>
              <w:start w:w="110" w:type="dxa"/>
              <w:bottom w:w="90" w:type="dxa"/>
              <w:end w:w="110" w:type="dxa"/>
            </w:tcMar>
            <w:vAlign w:val="top"/>
          </w:tcPr>
          <w:p>
            <w:pPr>
              <w:keepNext/>
              <w:keepLines/>
            </w:pPr>
            <w:r>
              <w:rPr>
                <w:color w:val="243B53"/>
                <w:sz w:val="17"/>
              </w:rPr>
              <w:t>Consent When Possible • Minimum Necessary When Required</w:t>
            </w:r>
          </w:p>
        </w:tc>
      </w:tr>
    </w:tbl>
    <w:p>
      <w:pPr>
        <w:pStyle w:val="CTALabel"/>
        <w:keepNext/>
      </w:pPr>
      <w:r>
        <w:t>Narration</w:t>
      </w:r>
    </w:p>
    <w:p>
      <w:pPr>
        <w:pStyle w:val="CTANarration"/>
        <w:keepLines/>
        <w:ind w:left="259" w:right="173"/>
      </w:pPr>
      <w:r>
        <w:t>Confidentiality supports trust and participation, but it has defined limits. Clarify whether the client has authorized disclosure, whether a legal or safety exception applies, who needs the information, and how much is actually necessary. Avoid broad releases and unnecessary detail. When disclosure is required or justified, share only what serves the specific purpose and document the basis, recipient, content, and follow-up.</w:t>
      </w:r>
    </w:p>
    <w:p>
      <w:pPr>
        <w:pStyle w:val="Heading2"/>
        <w:keepNext/>
      </w:pPr>
      <w:r>
        <w:t>Slide 7: Practice Within Competence and Role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professional scope circle connected to supervision, consultation, referral, and continuing education.</w:t>
            </w:r>
          </w:p>
        </w:tc>
        <w:tc>
          <w:tcPr>
            <w:tcW w:type="dxa" w:w="5112"/>
            <w:shd w:fill="DCEFF6"/>
            <w:tcMar>
              <w:top w:w="90" w:type="dxa"/>
              <w:start w:w="110" w:type="dxa"/>
              <w:bottom w:w="90" w:type="dxa"/>
              <w:end w:w="110" w:type="dxa"/>
            </w:tcMar>
            <w:vAlign w:val="top"/>
          </w:tcPr>
          <w:p>
            <w:pPr>
              <w:keepNext/>
              <w:keepLines/>
            </w:pPr>
            <w:r>
              <w:rPr>
                <w:color w:val="243B53"/>
                <w:sz w:val="17"/>
              </w:rPr>
              <w:t>Know the Role • Get Support • Refer When Needed</w:t>
            </w:r>
          </w:p>
        </w:tc>
      </w:tr>
    </w:tbl>
    <w:p>
      <w:pPr>
        <w:pStyle w:val="CTALabel"/>
        <w:keepNext/>
      </w:pPr>
      <w:r>
        <w:t>Narration</w:t>
      </w:r>
    </w:p>
    <w:p>
      <w:pPr>
        <w:pStyle w:val="CTANarration"/>
        <w:keepLines/>
        <w:ind w:left="259" w:right="173"/>
      </w:pPr>
      <w:r>
        <w:t>Ethical practice requires recognizing the limits of knowledge, authority, and role. A social worker may assess medication effects and coordinate care but should not prescribe or direct dosage changes. A treating clinician should not casually shift into a forensic evaluator role. When the issue exceeds current competence, obtain supervision or consultation, pursue education, or arrange an appropriate referral while protecting continuity and urgent needs.</w:t>
      </w:r>
    </w:p>
    <w:p>
      <w:pPr>
        <w:pStyle w:val="Heading2"/>
        <w:keepNext/>
      </w:pPr>
      <w:r>
        <w:t>Slide 8: Address Conflicts of Interest and Boundaries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Overlapping circles labeled personal interest, agency pressure, and client welfare with a boundary line.</w:t>
            </w:r>
          </w:p>
        </w:tc>
        <w:tc>
          <w:tcPr>
            <w:tcW w:type="dxa" w:w="5112"/>
            <w:shd w:fill="DCEFF6"/>
            <w:tcMar>
              <w:top w:w="90" w:type="dxa"/>
              <w:start w:w="110" w:type="dxa"/>
              <w:bottom w:w="90" w:type="dxa"/>
              <w:end w:w="110" w:type="dxa"/>
            </w:tcMar>
            <w:vAlign w:val="top"/>
          </w:tcPr>
          <w:p>
            <w:pPr>
              <w:keepNext/>
              <w:keepLines/>
            </w:pPr>
            <w:r>
              <w:rPr>
                <w:color w:val="243B53"/>
                <w:sz w:val="17"/>
              </w:rPr>
              <w:t>Client Welfare Must Not Be Distorted by Competing Interests</w:t>
            </w:r>
          </w:p>
        </w:tc>
      </w:tr>
    </w:tbl>
    <w:p>
      <w:pPr>
        <w:pStyle w:val="CTALabel"/>
        <w:keepNext/>
      </w:pPr>
      <w:r>
        <w:t>Narration</w:t>
      </w:r>
    </w:p>
    <w:p>
      <w:pPr>
        <w:pStyle w:val="CTANarration"/>
        <w:keepLines/>
        <w:ind w:left="259" w:right="173"/>
      </w:pPr>
      <w:r>
        <w:t>Conflicts can arise from dual roles, gifts, personal relationships, organizational demands, financial incentives, or pressure from third parties. The exam usually favors recognizing the conflict, clarifying the role, consulting policy or supervision, and protecting the client from exploitation or impaired judgment. A boundary is not ethical merely because the client agrees. Consider power, vulnerability, foreseeable harm, and whether the professional relationship is being used for another purpose.</w:t>
      </w:r>
    </w:p>
    <w:p>
      <w:pPr>
        <w:pStyle w:val="Heading2"/>
        <w:keepNext/>
      </w:pPr>
      <w:r>
        <w:t>Slide 9: Integrate Social Justice and Access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Barriers such as language, disability, transportation, cost, and discrimination being removed from a pathway to care.</w:t>
            </w:r>
          </w:p>
        </w:tc>
        <w:tc>
          <w:tcPr>
            <w:tcW w:type="dxa" w:w="5112"/>
            <w:shd w:fill="DCEFF6"/>
            <w:tcMar>
              <w:top w:w="90" w:type="dxa"/>
              <w:start w:w="110" w:type="dxa"/>
              <w:bottom w:w="90" w:type="dxa"/>
              <w:end w:w="110" w:type="dxa"/>
            </w:tcMar>
            <w:vAlign w:val="top"/>
          </w:tcPr>
          <w:p>
            <w:pPr>
              <w:keepNext/>
              <w:keepLines/>
            </w:pPr>
            <w:r>
              <w:rPr>
                <w:color w:val="243B53"/>
                <w:sz w:val="17"/>
              </w:rPr>
              <w:t>Ethics Includes Fair Access and System Barriers</w:t>
            </w:r>
          </w:p>
        </w:tc>
      </w:tr>
    </w:tbl>
    <w:p>
      <w:pPr>
        <w:pStyle w:val="CTALabel"/>
        <w:keepNext/>
      </w:pPr>
      <w:r>
        <w:t>Narration</w:t>
      </w:r>
    </w:p>
    <w:p>
      <w:pPr>
        <w:pStyle w:val="CTANarration"/>
        <w:keepLines/>
        <w:ind w:left="259" w:right="173"/>
      </w:pPr>
      <w:r>
        <w:t>Social work ethics includes attention to inequity, discrimination, language access, disability access, poverty, transportation, technology, immigration concerns, and other barriers that affect participation. Do not label a client resistant before assessing whether the service is available, understandable, affordable, culturally responsive, and physically accessible. Advocacy should be client-centered and proportionate, beginning with the client’s goals and preferred level of involvement.</w:t>
      </w:r>
    </w:p>
    <w:p>
      <w:pPr>
        <w:pStyle w:val="Heading2"/>
        <w:keepNext/>
      </w:pPr>
      <w:r>
        <w:t>Slide 10: Use Ethical Decision-Making in Order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six-step path: facts, duties, risk, options, consultation, documentation.</w:t>
            </w:r>
          </w:p>
        </w:tc>
        <w:tc>
          <w:tcPr>
            <w:tcW w:type="dxa" w:w="5112"/>
            <w:shd w:fill="DCEFF6"/>
            <w:tcMar>
              <w:top w:w="90" w:type="dxa"/>
              <w:start w:w="110" w:type="dxa"/>
              <w:bottom w:w="90" w:type="dxa"/>
              <w:end w:w="110" w:type="dxa"/>
            </w:tcMar>
            <w:vAlign w:val="top"/>
          </w:tcPr>
          <w:p>
            <w:pPr>
              <w:keepNext/>
              <w:keepLines/>
            </w:pPr>
            <w:r>
              <w:rPr>
                <w:color w:val="243B53"/>
                <w:sz w:val="17"/>
              </w:rPr>
              <w:t>Facts → Duties → Risk → Options → Consultation → Document</w:t>
            </w:r>
          </w:p>
        </w:tc>
      </w:tr>
    </w:tbl>
    <w:p>
      <w:pPr>
        <w:pStyle w:val="CTALabel"/>
        <w:keepNext/>
      </w:pPr>
      <w:r>
        <w:t>Narration</w:t>
      </w:r>
    </w:p>
    <w:p>
      <w:pPr>
        <w:pStyle w:val="CTANarration"/>
        <w:keepLines/>
        <w:ind w:left="259" w:right="173"/>
      </w:pPr>
      <w:r>
        <w:t>When the ethical answer is not obvious, use a sequence. First clarify the facts and who the client is. Identify the relevant values, laws, policies, and role obligations. Assess risk, urgency, capacity, and possible harm. Generate options and choose the least restrictive effective response. Consult when uncertainty or conflict remains. Then document the reasoning, action, communication, and follow-up. This process is stronger than acting from fear or relying on a single rule without context.</w:t>
      </w:r>
    </w:p>
    <w:p>
      <w:pPr>
        <w:pStyle w:val="Heading2"/>
        <w:keepNext/>
      </w:pPr>
      <w:r>
        <w:t>Slide 11: Example: Family Requests Information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family member asking for information while the social worker reviews consent and safety.</w:t>
            </w:r>
          </w:p>
        </w:tc>
        <w:tc>
          <w:tcPr>
            <w:tcW w:type="dxa" w:w="5112"/>
            <w:shd w:fill="DCEFF6"/>
            <w:tcMar>
              <w:top w:w="90" w:type="dxa"/>
              <w:start w:w="110" w:type="dxa"/>
              <w:bottom w:w="90" w:type="dxa"/>
              <w:end w:w="110" w:type="dxa"/>
            </w:tcMar>
            <w:vAlign w:val="top"/>
          </w:tcPr>
          <w:p>
            <w:pPr>
              <w:keepNext/>
              <w:keepLines/>
            </w:pPr>
            <w:r>
              <w:rPr>
                <w:color w:val="243B53"/>
                <w:sz w:val="17"/>
              </w:rPr>
              <w:t>Do Not Confirm or Disclose Before Clarifying Authority</w:t>
            </w:r>
          </w:p>
        </w:tc>
      </w:tr>
    </w:tbl>
    <w:p>
      <w:pPr>
        <w:pStyle w:val="CTALabel"/>
        <w:keepNext/>
      </w:pPr>
      <w:r>
        <w:t>Narration</w:t>
      </w:r>
    </w:p>
    <w:p>
      <w:pPr>
        <w:pStyle w:val="CTANarration"/>
        <w:keepLines/>
        <w:ind w:left="259" w:right="173"/>
      </w:pPr>
      <w:r>
        <w:t>A client’s adult sibling calls and asks whether the client is attending treatment because the family is worried. The social worker should not confirm treatment or provide updates simply because the concern sounds caring. Clarify whether authorization exists, assess whether there is a separate safety issue requiring action, and explain how the family member can share information without receiving confidential information in return. Privacy and safety can both be addressed without unnecessary disclosure.</w:t>
      </w:r>
    </w:p>
    <w:p>
      <w:pPr>
        <w:pStyle w:val="Heading2"/>
        <w:keepNext/>
      </w:pPr>
      <w:r>
        <w:t>Slide 12: Example: Agency Pressure Conflicts With Client Need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productivity target competing with a client’s urgent housing and safety needs.</w:t>
            </w:r>
          </w:p>
        </w:tc>
        <w:tc>
          <w:tcPr>
            <w:tcW w:type="dxa" w:w="5112"/>
            <w:shd w:fill="DCEFF6"/>
            <w:tcMar>
              <w:top w:w="90" w:type="dxa"/>
              <w:start w:w="110" w:type="dxa"/>
              <w:bottom w:w="90" w:type="dxa"/>
              <w:end w:w="110" w:type="dxa"/>
            </w:tcMar>
            <w:vAlign w:val="top"/>
          </w:tcPr>
          <w:p>
            <w:pPr>
              <w:keepNext/>
              <w:keepLines/>
            </w:pPr>
            <w:r>
              <w:rPr>
                <w:color w:val="243B53"/>
                <w:sz w:val="17"/>
              </w:rPr>
              <w:t>Recognize the Conflict and Protect Client Welfare</w:t>
            </w:r>
          </w:p>
        </w:tc>
      </w:tr>
    </w:tbl>
    <w:p>
      <w:pPr>
        <w:pStyle w:val="CTALabel"/>
        <w:keepNext/>
      </w:pPr>
      <w:r>
        <w:t>Narration</w:t>
      </w:r>
    </w:p>
    <w:p>
      <w:pPr>
        <w:pStyle w:val="CTANarration"/>
        <w:keepLines/>
        <w:ind w:left="259" w:right="173"/>
      </w:pPr>
      <w:r>
        <w:t>Suppose an agency pressures a social worker to close a case because service targets have been met, but the client faces an immediate housing loss and has not connected with the referral. The best response is not to ignore agency policy or secretly promise indefinite service. Clarify the client’s risk and goals, review policy and available exceptions, consult a supervisor, advocate for continuity or a safe transition, and document the plan and remaining barriers.</w:t>
      </w:r>
    </w:p>
    <w:p>
      <w:pPr>
        <w:pStyle w:val="Heading2"/>
        <w:keepNext/>
      </w:pPr>
      <w:r>
        <w:t>Slide 13: Common Ethics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warning signs: absolute promise, automatic override, premature disclosure, and role confusion.</w:t>
            </w:r>
          </w:p>
        </w:tc>
        <w:tc>
          <w:tcPr>
            <w:tcW w:type="dxa" w:w="5112"/>
            <w:shd w:fill="DCEFF6"/>
            <w:tcMar>
              <w:top w:w="90" w:type="dxa"/>
              <w:start w:w="110" w:type="dxa"/>
              <w:bottom w:w="90" w:type="dxa"/>
              <w:end w:w="110" w:type="dxa"/>
            </w:tcMar>
            <w:vAlign w:val="top"/>
          </w:tcPr>
          <w:p>
            <w:pPr>
              <w:keepNext/>
              <w:keepLines/>
            </w:pPr>
            <w:r>
              <w:rPr>
                <w:color w:val="243B53"/>
                <w:sz w:val="17"/>
              </w:rPr>
              <w:t>Avoid Absolutes, Assumptions, and Unnecessary Control</w:t>
            </w:r>
          </w:p>
        </w:tc>
      </w:tr>
    </w:tbl>
    <w:p>
      <w:pPr>
        <w:pStyle w:val="CTALabel"/>
        <w:keepNext/>
      </w:pPr>
      <w:r>
        <w:t>Narration</w:t>
      </w:r>
    </w:p>
    <w:p>
      <w:pPr>
        <w:pStyle w:val="CTANarration"/>
        <w:keepLines/>
        <w:ind w:left="259" w:right="173"/>
      </w:pPr>
      <w:r>
        <w:t>Common distractors promise total confidentiality, override the client without assessing danger or capacity, disclose too much information, contact third parties without consent or authority, or treat consultation as permission to avoid responsibility. Another trap is choosing the most legally dramatic action before clarifying the facts. Strong answers preserve client participation, assess the supported limit, and act proportionately within role.</w:t>
      </w:r>
    </w:p>
    <w:p>
      <w:pPr>
        <w:pStyle w:val="Heading2"/>
        <w:keepNext/>
      </w:pPr>
      <w:r>
        <w:t>Slide 14: Your Exam Ethics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compact checklist: client, values, risk, authority, least restrictive action, consultation, documentation.</w:t>
            </w:r>
          </w:p>
        </w:tc>
        <w:tc>
          <w:tcPr>
            <w:tcW w:type="dxa" w:w="5112"/>
            <w:shd w:fill="DCEFF6"/>
            <w:tcMar>
              <w:top w:w="90" w:type="dxa"/>
              <w:start w:w="110" w:type="dxa"/>
              <w:bottom w:w="90" w:type="dxa"/>
              <w:end w:w="110" w:type="dxa"/>
            </w:tcMar>
            <w:vAlign w:val="top"/>
          </w:tcPr>
          <w:p>
            <w:pPr>
              <w:keepNext/>
              <w:keepLines/>
            </w:pPr>
            <w:r>
              <w:rPr>
                <w:color w:val="243B53"/>
                <w:sz w:val="17"/>
              </w:rPr>
              <w:t>Client • Values • Risk • Authority • Proportion • Record</w:t>
            </w:r>
          </w:p>
        </w:tc>
      </w:tr>
    </w:tbl>
    <w:p>
      <w:pPr>
        <w:pStyle w:val="CTALabel"/>
        <w:keepNext/>
      </w:pPr>
      <w:r>
        <w:t>Narration</w:t>
      </w:r>
    </w:p>
    <w:p>
      <w:pPr>
        <w:pStyle w:val="CTANarration"/>
        <w:keepLines/>
        <w:ind w:left="259" w:right="173"/>
      </w:pPr>
      <w:r>
        <w:t>Before selecting an ethics answer, ask: Who is the client? What values and duties are competing? What risk or capacity issue is actually supported? What authority or limit applies? What is the least restrictive effective action? Is consultation needed? What should be documented and followed up? This check keeps ethical reasoning grounded in facts, dignity, safety, and professional responsibility rather than fear or rigid rules.</w:t>
      </w:r>
    </w:p>
    <w:p>
      <w:pPr>
        <w:pStyle w:val="Heading1"/>
      </w:pPr>
      <w:r>
        <w:t>Audio-Only Adaptation Notes</w:t>
      </w:r>
    </w:p>
    <w:p>
      <w:pPr>
        <w:pStyle w:val="ListBullet"/>
        <w:spacing w:after="40"/>
        <w:ind w:left="360" w:hanging="216"/>
      </w:pPr>
      <w:r>
        <w:t>Read the ethical decision-making sequence slowly and distinctly.</w:t>
      </w:r>
    </w:p>
    <w:p>
      <w:pPr>
        <w:pStyle w:val="ListBullet"/>
        <w:spacing w:after="40"/>
        <w:ind w:left="360" w:hanging="216"/>
      </w:pPr>
      <w:r>
        <w:t>Emphasize that client disagreement is not proof of incapacity.</w:t>
      </w:r>
    </w:p>
    <w:p>
      <w:pPr>
        <w:pStyle w:val="ListBullet"/>
        <w:spacing w:after="40"/>
        <w:ind w:left="360" w:hanging="216"/>
      </w:pPr>
      <w:r>
        <w:t>Describe the minimum-necessary disclosure concept in plain language.</w:t>
      </w:r>
    </w:p>
    <w:p>
      <w:pPr>
        <w:pStyle w:val="ListBullet"/>
        <w:spacing w:after="40"/>
        <w:ind w:left="360" w:hanging="216"/>
      </w:pPr>
      <w:r>
        <w:t>End by directing the student to apply the ethics check to the next question bank item.</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establish the ethical reasoning sequence used throughout the LCSW program. Later lessons should refer back to dignity, self-determination, risk, authority, proportionality, consultation, and documentation.</w:t>
            </w:r>
          </w:p>
        </w:tc>
      </w:tr>
    </w:tbl>
    <w:p>
      <w:pPr>
        <w:spacing w:after="20"/>
      </w:pPr>
    </w:p>
    <w:p>
      <w:pPr>
        <w:pStyle w:val="CTASmall"/>
        <w:jc w:val="center"/>
      </w:pPr>
      <w:r>
        <w:t>Educational exam-preparation content. CTA is not affiliated with or endorsed by the Association of Social Work Boards, Pearson VUE, or any licensing authority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Applying Social Work Values and Ethics</dc:title>
  <dc:subject>CTA LCSW Multimedia Script 01</dc:subject>
  <dc:creator>Clinical Training Academy</dc:creator>
  <cp:keywords>LCSW, ASWB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