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Person-in-Environment Reasoning</w:t>
      </w:r>
    </w:p>
    <w:p>
      <w:pPr>
        <w:jc w:val="center"/>
      </w:pPr>
      <w:r>
        <w:rPr>
          <w:rFonts w:ascii="Aptos Display" w:hAnsi="Aptos Display"/>
          <w:b/>
          <w:color w:val="2AA7D6"/>
          <w:sz w:val="32"/>
        </w:rPr>
        <w:t>LCSW-Specific Multimedia Script 02</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Teach LCSW candidates to integrate individual functioning, relationships, culture, development, resources, institutions, and environmental barriers when selecting the next clinical or systems response.</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LCSW candidates strengthening person-in-environment, systems, diversity, and case-prioritization reasoning.</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10-12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LCSW Profession-Specific Strategy Library, paired with Human Development, Diversity, and Person in Environment.</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LCSW Workbooks 3, 4, 7, and 10, with intervention reinforcement from Workbooks 8 and 9.</w:t>
            </w:r>
          </w:p>
        </w:tc>
      </w:tr>
    </w:tbl>
    <w:p>
      <w:pPr>
        <w:spacing w:after="20"/>
      </w:pPr>
    </w:p>
    <w:p>
      <w:pPr>
        <w:pStyle w:val="Heading1"/>
      </w:pPr>
      <w:r>
        <w:t>Learning Outcomes</w:t>
      </w:r>
    </w:p>
    <w:p>
      <w:pPr>
        <w:pStyle w:val="ListBullet"/>
        <w:spacing w:after="40"/>
        <w:ind w:left="360" w:hanging="216"/>
      </w:pPr>
      <w:r>
        <w:t>Identify the person, environment, and interaction between them.</w:t>
      </w:r>
    </w:p>
    <w:p>
      <w:pPr>
        <w:pStyle w:val="ListBullet"/>
        <w:spacing w:after="40"/>
        <w:ind w:left="360" w:hanging="216"/>
      </w:pPr>
      <w:r>
        <w:t>Prioritize urgent environmental threats alongside clinical symptoms.</w:t>
      </w:r>
    </w:p>
    <w:p>
      <w:pPr>
        <w:pStyle w:val="ListBullet"/>
        <w:spacing w:after="40"/>
        <w:ind w:left="360" w:hanging="216"/>
      </w:pPr>
      <w:r>
        <w:t>Assess strengths, resources, barriers, and client-defined goals.</w:t>
      </w:r>
    </w:p>
    <w:p>
      <w:pPr>
        <w:pStyle w:val="ListBullet"/>
        <w:spacing w:after="40"/>
        <w:ind w:left="360" w:hanging="216"/>
      </w:pPr>
      <w:r>
        <w:t>Select an intervention level that matches the maintaining problem.</w:t>
      </w:r>
    </w:p>
    <w:p>
      <w:pPr>
        <w:pStyle w:val="Heading1"/>
      </w:pPr>
      <w:r>
        <w:t>Voice and Presentation Direction</w:t>
      </w:r>
    </w:p>
    <w:p>
      <w:pPr>
        <w:pStyle w:val="ListBullet"/>
        <w:spacing w:after="40"/>
        <w:ind w:left="360" w:hanging="216"/>
      </w:pPr>
      <w:r>
        <w:t>Use nonjudgmental language when discussing poverty, access, and service use.</w:t>
      </w:r>
    </w:p>
    <w:p>
      <w:pPr>
        <w:pStyle w:val="ListBullet"/>
        <w:spacing w:after="40"/>
        <w:ind w:left="360" w:hanging="216"/>
      </w:pPr>
      <w:r>
        <w:t>Distinguish environmental barriers from motivation problems.</w:t>
      </w:r>
    </w:p>
    <w:p>
      <w:pPr>
        <w:pStyle w:val="ListBullet"/>
        <w:spacing w:after="40"/>
        <w:ind w:left="360" w:hanging="216"/>
      </w:pPr>
      <w:r>
        <w:t>Include culture and identity without stereotyping.</w:t>
      </w:r>
    </w:p>
    <w:p>
      <w:pPr>
        <w:pStyle w:val="ListBullet"/>
        <w:spacing w:after="40"/>
        <w:ind w:left="360" w:hanging="216"/>
      </w:pPr>
      <w:r>
        <w:t>Reinforce that person-in-environment reasoning leads to action, not endless mapping.</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concrete examples that show how symptoms and functioning interact with relationships, resources, institutions, culture, and structural barriers. Avoid reducing clients to diagnoses or environments alone.</w:t>
            </w:r>
          </w:p>
        </w:tc>
      </w:tr>
    </w:tbl>
    <w:p>
      <w:pPr>
        <w:spacing w:after="20"/>
      </w:pPr>
    </w:p>
    <w:p>
      <w:pPr>
        <w:pStyle w:val="Heading1"/>
      </w:pPr>
      <w:r>
        <w:t>Slide-by-Slide Script</w:t>
      </w:r>
    </w:p>
    <w:p>
      <w:pPr>
        <w:pStyle w:val="Heading2"/>
        <w:keepNext/>
      </w:pPr>
      <w:r>
        <w:t>Slide 1: The Client Is More Than a Symptom List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35-45 seconds</w:t>
            </w:r>
          </w:p>
        </w:tc>
        <w:tc>
          <w:tcPr>
            <w:tcW w:type="dxa" w:w="3528"/>
            <w:shd w:fill="F3F8FA"/>
            <w:tcMar>
              <w:top w:w="90" w:type="dxa"/>
              <w:start w:w="110" w:type="dxa"/>
              <w:bottom w:w="90" w:type="dxa"/>
              <w:end w:w="110" w:type="dxa"/>
            </w:tcMar>
            <w:vAlign w:val="top"/>
          </w:tcPr>
          <w:p>
            <w:pPr>
              <w:keepNext/>
              <w:keepLines/>
            </w:pPr>
            <w:r>
              <w:rPr>
                <w:color w:val="243B53"/>
                <w:sz w:val="17"/>
              </w:rPr>
              <w:t>A client at the center of relationships, housing, work, health, culture, and community systems.</w:t>
            </w:r>
          </w:p>
        </w:tc>
        <w:tc>
          <w:tcPr>
            <w:tcW w:type="dxa" w:w="5112"/>
            <w:shd w:fill="DCEFF6"/>
            <w:tcMar>
              <w:top w:w="90" w:type="dxa"/>
              <w:start w:w="110" w:type="dxa"/>
              <w:bottom w:w="90" w:type="dxa"/>
              <w:end w:w="110" w:type="dxa"/>
            </w:tcMar>
            <w:vAlign w:val="top"/>
          </w:tcPr>
          <w:p>
            <w:pPr>
              <w:keepNext/>
              <w:keepLines/>
            </w:pPr>
            <w:r>
              <w:rPr>
                <w:color w:val="243B53"/>
                <w:sz w:val="17"/>
              </w:rPr>
              <w:t>Person + Environment + Interaction</w:t>
            </w:r>
          </w:p>
        </w:tc>
      </w:tr>
    </w:tbl>
    <w:p>
      <w:pPr>
        <w:pStyle w:val="CTALabel"/>
        <w:keepNext/>
      </w:pPr>
      <w:r>
        <w:t>Narration</w:t>
      </w:r>
    </w:p>
    <w:p>
      <w:pPr>
        <w:pStyle w:val="CTANarration"/>
        <w:keepLines/>
        <w:ind w:left="259" w:right="173"/>
      </w:pPr>
      <w:r>
        <w:t>Person-in-environment reasoning asks not only what symptoms a client has, but how the client’s functioning, relationships, resources, institutions, culture, and living conditions interact. A strong LCSW answer can recognize depression while also noticing eviction risk, caregiving demands, transportation barriers, or discrimination. The goal is not to replace clinical assessment with social context. It is to understand the full pattern that controls what should happen next.</w:t>
      </w:r>
    </w:p>
    <w:p>
      <w:pPr>
        <w:pStyle w:val="Heading2"/>
        <w:keepNext/>
      </w:pPr>
      <w:r>
        <w:t>Slide 2: Map the Person and the Environment</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Two linked maps: internal functioning and external systems.</w:t>
            </w:r>
          </w:p>
        </w:tc>
        <w:tc>
          <w:tcPr>
            <w:tcW w:type="dxa" w:w="5112"/>
            <w:shd w:fill="DCEFF6"/>
            <w:tcMar>
              <w:top w:w="90" w:type="dxa"/>
              <w:start w:w="110" w:type="dxa"/>
              <w:bottom w:w="90" w:type="dxa"/>
              <w:end w:w="110" w:type="dxa"/>
            </w:tcMar>
            <w:vAlign w:val="top"/>
          </w:tcPr>
          <w:p>
            <w:pPr>
              <w:keepNext/>
              <w:keepLines/>
            </w:pPr>
            <w:r>
              <w:rPr>
                <w:color w:val="243B53"/>
                <w:sz w:val="17"/>
              </w:rPr>
              <w:t>Individual Functioning ↔ Environmental Conditions</w:t>
            </w:r>
          </w:p>
        </w:tc>
      </w:tr>
    </w:tbl>
    <w:p>
      <w:pPr>
        <w:pStyle w:val="CTALabel"/>
        <w:keepNext/>
      </w:pPr>
      <w:r>
        <w:t>Narration</w:t>
      </w:r>
    </w:p>
    <w:p>
      <w:pPr>
        <w:pStyle w:val="CTANarration"/>
        <w:keepLines/>
        <w:ind w:left="259" w:right="173"/>
      </w:pPr>
      <w:r>
        <w:t>On the person side, assess symptoms, health, development, coping, strengths, beliefs, trauma, substance use, and daily functioning. On the environment side, assess family, peers, school, work, housing, income, benefits, legal systems, health care, culture, community, and service access. Then examine the interaction. A client’s difficulty attending treatment may reflect anxiety, but it may also reflect an inflexible work schedule, inaccessible transportation, or fear related to immigration or discrimination.</w:t>
      </w:r>
    </w:p>
    <w:p>
      <w:pPr>
        <w:pStyle w:val="Heading2"/>
        <w:keepNext/>
      </w:pPr>
      <w:r>
        <w:t>Slide 3: Prioritize Threats to Safety and Stability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A priority ladder: immediate safety, medical need, housing and basic needs, functioning, longer-term goals.</w:t>
            </w:r>
          </w:p>
        </w:tc>
        <w:tc>
          <w:tcPr>
            <w:tcW w:type="dxa" w:w="5112"/>
            <w:shd w:fill="DCEFF6"/>
            <w:tcMar>
              <w:top w:w="90" w:type="dxa"/>
              <w:start w:w="110" w:type="dxa"/>
              <w:bottom w:w="90" w:type="dxa"/>
              <w:end w:w="110" w:type="dxa"/>
            </w:tcMar>
            <w:vAlign w:val="top"/>
          </w:tcPr>
          <w:p>
            <w:pPr>
              <w:keepNext/>
              <w:keepLines/>
            </w:pPr>
            <w:r>
              <w:rPr>
                <w:color w:val="243B53"/>
                <w:sz w:val="17"/>
              </w:rPr>
              <w:t>Urgency Before Depth</w:t>
            </w:r>
          </w:p>
        </w:tc>
      </w:tr>
    </w:tbl>
    <w:p>
      <w:pPr>
        <w:pStyle w:val="CTALabel"/>
        <w:keepNext/>
      </w:pPr>
      <w:r>
        <w:t>Narration</w:t>
      </w:r>
    </w:p>
    <w:p>
      <w:pPr>
        <w:pStyle w:val="CTANarration"/>
        <w:keepLines/>
        <w:ind w:left="259" w:right="173"/>
      </w:pPr>
      <w:r>
        <w:t>Environmental conditions can create immediate clinical priorities. An eviction deadline, unsafe housing, food insecurity, loss of medication access, or caregiving breakdown may require action before long-term exploration. This does not mean abandoning psychotherapy. It means recognizing that safety and stability can determine whether treatment is possible. On the exam, the strongest answer often assesses the urgent condition and coordinates a feasible response with the client before moving to less immediate goals.</w:t>
      </w:r>
    </w:p>
    <w:p>
      <w:pPr>
        <w:pStyle w:val="Heading2"/>
        <w:keepNext/>
      </w:pPr>
      <w:r>
        <w:t>Slide 4: Assess Function, Not Just Diagnosis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Daily activities including sleep, work, school, parenting, self-care, relationships, and community participation.</w:t>
            </w:r>
          </w:p>
        </w:tc>
        <w:tc>
          <w:tcPr>
            <w:tcW w:type="dxa" w:w="5112"/>
            <w:shd w:fill="DCEFF6"/>
            <w:tcMar>
              <w:top w:w="90" w:type="dxa"/>
              <w:start w:w="110" w:type="dxa"/>
              <w:bottom w:w="90" w:type="dxa"/>
              <w:end w:w="110" w:type="dxa"/>
            </w:tcMar>
            <w:vAlign w:val="top"/>
          </w:tcPr>
          <w:p>
            <w:pPr>
              <w:keepNext/>
              <w:keepLines/>
            </w:pPr>
            <w:r>
              <w:rPr>
                <w:color w:val="243B53"/>
                <w:sz w:val="17"/>
              </w:rPr>
              <w:t>How Is the Problem Affecting Daily Life?</w:t>
            </w:r>
          </w:p>
        </w:tc>
      </w:tr>
    </w:tbl>
    <w:p>
      <w:pPr>
        <w:pStyle w:val="CTALabel"/>
        <w:keepNext/>
      </w:pPr>
      <w:r>
        <w:t>Narration</w:t>
      </w:r>
    </w:p>
    <w:p>
      <w:pPr>
        <w:pStyle w:val="CTANarration"/>
        <w:keepLines/>
        <w:ind w:left="259" w:right="173"/>
      </w:pPr>
      <w:r>
        <w:t>Diagnosis alone does not show how a client is functioning. Ask how the concern affects self-care, sleep, work, school, parenting, relationships, health management, decision-making, and community participation. Two clients with similar symptoms may need different responses because their supports, risks, and responsibilities differ. Functional assessment helps determine urgency, level of care, accommodations, and whether a referral or intervention is realistically usable.</w:t>
      </w:r>
    </w:p>
    <w:p>
      <w:pPr>
        <w:pStyle w:val="Heading2"/>
        <w:keepNext/>
      </w:pPr>
      <w:r>
        <w:t>Slide 5: Center the Client’s Meaning and Goals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A client-defined goal placed at the center of a planning map.</w:t>
            </w:r>
          </w:p>
        </w:tc>
        <w:tc>
          <w:tcPr>
            <w:tcW w:type="dxa" w:w="5112"/>
            <w:shd w:fill="DCEFF6"/>
            <w:tcMar>
              <w:top w:w="90" w:type="dxa"/>
              <w:start w:w="110" w:type="dxa"/>
              <w:bottom w:w="90" w:type="dxa"/>
              <w:end w:w="110" w:type="dxa"/>
            </w:tcMar>
            <w:vAlign w:val="top"/>
          </w:tcPr>
          <w:p>
            <w:pPr>
              <w:keepNext/>
              <w:keepLines/>
            </w:pPr>
            <w:r>
              <w:rPr>
                <w:color w:val="243B53"/>
                <w:sz w:val="17"/>
              </w:rPr>
              <w:t>What Does the Client Want to Change?</w:t>
            </w:r>
          </w:p>
        </w:tc>
      </w:tr>
    </w:tbl>
    <w:p>
      <w:pPr>
        <w:pStyle w:val="CTALabel"/>
        <w:keepNext/>
      </w:pPr>
      <w:r>
        <w:t>Narration</w:t>
      </w:r>
    </w:p>
    <w:p>
      <w:pPr>
        <w:pStyle w:val="CTANarration"/>
        <w:keepLines/>
        <w:ind w:left="259" w:right="173"/>
      </w:pPr>
      <w:r>
        <w:t>Person-in-environment practice remains client-centered. Ask what the client sees as the problem, what matters most, what has helped before, what risks the client is willing to take, and what role the client wants in advocacy or coordination. A professional may see housing as the priority while the client sees child custody, pain, or safety as more urgent. The task is to clarify and collaborate, not to impose a hierarchy without understanding the client’s perspective.</w:t>
      </w:r>
    </w:p>
    <w:p>
      <w:pPr>
        <w:pStyle w:val="Heading2"/>
        <w:keepNext/>
      </w:pPr>
      <w:r>
        <w:t>Slide 6: Identify Strengths and Protective Factors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Strength icons: coping skills, supportive relationships, cultural resources, faith, problem-solving, and persistence.</w:t>
            </w:r>
          </w:p>
        </w:tc>
        <w:tc>
          <w:tcPr>
            <w:tcW w:type="dxa" w:w="5112"/>
            <w:shd w:fill="DCEFF6"/>
            <w:tcMar>
              <w:top w:w="90" w:type="dxa"/>
              <w:start w:w="110" w:type="dxa"/>
              <w:bottom w:w="90" w:type="dxa"/>
              <w:end w:w="110" w:type="dxa"/>
            </w:tcMar>
            <w:vAlign w:val="top"/>
          </w:tcPr>
          <w:p>
            <w:pPr>
              <w:keepNext/>
              <w:keepLines/>
            </w:pPr>
            <w:r>
              <w:rPr>
                <w:color w:val="243B53"/>
                <w:sz w:val="17"/>
              </w:rPr>
              <w:t>Resources Are Part of the Assessment</w:t>
            </w:r>
          </w:p>
        </w:tc>
      </w:tr>
    </w:tbl>
    <w:p>
      <w:pPr>
        <w:pStyle w:val="CTALabel"/>
        <w:keepNext/>
      </w:pPr>
      <w:r>
        <w:t>Narration</w:t>
      </w:r>
    </w:p>
    <w:p>
      <w:pPr>
        <w:pStyle w:val="CTANarration"/>
        <w:keepLines/>
        <w:ind w:left="259" w:right="173"/>
      </w:pPr>
      <w:r>
        <w:t>Strengths are not positive comments added after the real assessment. They influence risk, readiness, and planning. Identify coping strategies, supportive relationships, cultural and spiritual resources, practical skills, past successes, community ties, motivation, and the ability to seek help. A plan that builds on existing strengths is often more feasible and less intrusive than one that assumes the professional must create every resource from the beginning.</w:t>
      </w:r>
    </w:p>
    <w:p>
      <w:pPr>
        <w:pStyle w:val="Heading2"/>
        <w:keepNext/>
      </w:pPr>
      <w:r>
        <w:t>Slide 7: Distinguish Barriers From Resistance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A blocked service pathway labeled cost, transportation, language, disability, schedule, and eligibility.</w:t>
            </w:r>
          </w:p>
        </w:tc>
        <w:tc>
          <w:tcPr>
            <w:tcW w:type="dxa" w:w="5112"/>
            <w:shd w:fill="DCEFF6"/>
            <w:tcMar>
              <w:top w:w="90" w:type="dxa"/>
              <w:start w:w="110" w:type="dxa"/>
              <w:bottom w:w="90" w:type="dxa"/>
              <w:end w:w="110" w:type="dxa"/>
            </w:tcMar>
            <w:vAlign w:val="top"/>
          </w:tcPr>
          <w:p>
            <w:pPr>
              <w:keepNext/>
              <w:keepLines/>
            </w:pPr>
            <w:r>
              <w:rPr>
                <w:color w:val="243B53"/>
                <w:sz w:val="17"/>
              </w:rPr>
              <w:t>Nonuse May Signal an Access Problem</w:t>
            </w:r>
          </w:p>
        </w:tc>
      </w:tr>
    </w:tbl>
    <w:p>
      <w:pPr>
        <w:pStyle w:val="CTALabel"/>
        <w:keepNext/>
      </w:pPr>
      <w:r>
        <w:t>Narration</w:t>
      </w:r>
    </w:p>
    <w:p>
      <w:pPr>
        <w:pStyle w:val="CTANarration"/>
        <w:keepLines/>
        <w:ind w:left="259" w:right="173"/>
      </w:pPr>
      <w:r>
        <w:t>When a client misses appointments or does not use a referral, assess barriers before labeling the behavior resistance or noncompliance. Clarify cost, insurance, eligibility, transportation, language, disability access, technology, childcare, work schedule, safety, prior discrimination, and whether the service fits the client’s goals. The next action may be to adapt the plan, make a warm handoff, advocate for access, or identify a different resource rather than confronting motivation.</w:t>
      </w:r>
    </w:p>
    <w:p>
      <w:pPr>
        <w:pStyle w:val="Heading2"/>
        <w:keepNext/>
      </w:pPr>
      <w:r>
        <w:t>Slide 8: Use Culture and Identity Responsively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Multiple identity and cultural factors surrounding a client without fixed labels.</w:t>
            </w:r>
          </w:p>
        </w:tc>
        <w:tc>
          <w:tcPr>
            <w:tcW w:type="dxa" w:w="5112"/>
            <w:shd w:fill="DCEFF6"/>
            <w:tcMar>
              <w:top w:w="90" w:type="dxa"/>
              <w:start w:w="110" w:type="dxa"/>
              <w:bottom w:w="90" w:type="dxa"/>
              <w:end w:w="110" w:type="dxa"/>
            </w:tcMar>
            <w:vAlign w:val="top"/>
          </w:tcPr>
          <w:p>
            <w:pPr>
              <w:keepNext/>
              <w:keepLines/>
            </w:pPr>
            <w:r>
              <w:rPr>
                <w:color w:val="243B53"/>
                <w:sz w:val="17"/>
              </w:rPr>
              <w:t>Ask, Do Not Assume</w:t>
            </w:r>
          </w:p>
        </w:tc>
      </w:tr>
    </w:tbl>
    <w:p>
      <w:pPr>
        <w:pStyle w:val="CTALabel"/>
        <w:keepNext/>
      </w:pPr>
      <w:r>
        <w:t>Narration</w:t>
      </w:r>
    </w:p>
    <w:p>
      <w:pPr>
        <w:pStyle w:val="CTANarration"/>
        <w:keepLines/>
        <w:ind w:left="259" w:right="173"/>
      </w:pPr>
      <w:r>
        <w:t>Culture and identity shape meaning, help-seeking, family roles, communication, and experiences with institutions. Use cultural humility by asking how the client understands the concern and what practices, relationships, or barriers matter. Avoid assuming that every member of a group shares the same values or that a behavior has one cultural explanation. Cultural responsiveness improves assessment accuracy and supports a plan the client can trust and use.</w:t>
      </w:r>
    </w:p>
    <w:p>
      <w:pPr>
        <w:pStyle w:val="Heading2"/>
        <w:keepNext/>
      </w:pPr>
      <w:r>
        <w:t>Slide 9: Choose the Correct Level of Intervention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Intervention levels: individual, family, group, organization, community, and policy.</w:t>
            </w:r>
          </w:p>
        </w:tc>
        <w:tc>
          <w:tcPr>
            <w:tcW w:type="dxa" w:w="5112"/>
            <w:shd w:fill="DCEFF6"/>
            <w:tcMar>
              <w:top w:w="90" w:type="dxa"/>
              <w:start w:w="110" w:type="dxa"/>
              <w:bottom w:w="90" w:type="dxa"/>
              <w:end w:w="110" w:type="dxa"/>
            </w:tcMar>
            <w:vAlign w:val="top"/>
          </w:tcPr>
          <w:p>
            <w:pPr>
              <w:keepNext/>
              <w:keepLines/>
            </w:pPr>
            <w:r>
              <w:rPr>
                <w:color w:val="243B53"/>
                <w:sz w:val="17"/>
              </w:rPr>
              <w:t>Match the Level to the Maintaining Barrier</w:t>
            </w:r>
          </w:p>
        </w:tc>
      </w:tr>
    </w:tbl>
    <w:p>
      <w:pPr>
        <w:pStyle w:val="CTALabel"/>
        <w:keepNext/>
      </w:pPr>
      <w:r>
        <w:t>Narration</w:t>
      </w:r>
    </w:p>
    <w:p>
      <w:pPr>
        <w:pStyle w:val="CTANarration"/>
        <w:keepLines/>
        <w:ind w:left="259" w:right="173"/>
      </w:pPr>
      <w:r>
        <w:t>Person-in-environment reasoning helps identify the level where change is needed. Individual therapy may address coping, while family work addresses interaction patterns, case management addresses fragmented services, organizational advocacy addresses an inaccessible policy, and community action addresses a broader resource gap. The exam may offer several helpful actions. Choose the level that most directly addresses the stated barrier while preserving the client’s participation and role clarity.</w:t>
      </w:r>
    </w:p>
    <w:p>
      <w:pPr>
        <w:pStyle w:val="Heading2"/>
        <w:keepNext/>
      </w:pPr>
      <w:r>
        <w:t>Slide 10: Coordinate Without Taking Over</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55-65 seconds</w:t>
            </w:r>
          </w:p>
        </w:tc>
        <w:tc>
          <w:tcPr>
            <w:tcW w:type="dxa" w:w="3528"/>
            <w:shd w:fill="F3F8FA"/>
            <w:tcMar>
              <w:top w:w="90" w:type="dxa"/>
              <w:start w:w="110" w:type="dxa"/>
              <w:bottom w:w="90" w:type="dxa"/>
              <w:end w:w="110" w:type="dxa"/>
            </w:tcMar>
            <w:vAlign w:val="top"/>
          </w:tcPr>
          <w:p>
            <w:pPr>
              <w:keepNext/>
              <w:keepLines/>
            </w:pPr>
            <w:r>
              <w:rPr>
                <w:color w:val="243B53"/>
                <w:sz w:val="17"/>
              </w:rPr>
              <w:t>The client at the center of coordinated providers, with clear responsibility arrows.</w:t>
            </w:r>
          </w:p>
        </w:tc>
        <w:tc>
          <w:tcPr>
            <w:tcW w:type="dxa" w:w="5112"/>
            <w:shd w:fill="DCEFF6"/>
            <w:tcMar>
              <w:top w:w="90" w:type="dxa"/>
              <w:start w:w="110" w:type="dxa"/>
              <w:bottom w:w="90" w:type="dxa"/>
              <w:end w:w="110" w:type="dxa"/>
            </w:tcMar>
            <w:vAlign w:val="top"/>
          </w:tcPr>
          <w:p>
            <w:pPr>
              <w:keepNext/>
              <w:keepLines/>
            </w:pPr>
            <w:r>
              <w:rPr>
                <w:color w:val="243B53"/>
                <w:sz w:val="17"/>
              </w:rPr>
              <w:t>Support Agency, Consent, and Follow-Through</w:t>
            </w:r>
          </w:p>
        </w:tc>
      </w:tr>
    </w:tbl>
    <w:p>
      <w:pPr>
        <w:pStyle w:val="CTALabel"/>
        <w:keepNext/>
      </w:pPr>
      <w:r>
        <w:t>Narration</w:t>
      </w:r>
    </w:p>
    <w:p>
      <w:pPr>
        <w:pStyle w:val="CTANarration"/>
        <w:keepLines/>
        <w:ind w:left="259" w:right="173"/>
      </w:pPr>
      <w:r>
        <w:t>Coordination should strengthen the client’s agency rather than replace it. Clarify consent, what information can be shared, who is responsible for each step, what the client wants to do personally, and where support is needed. A warm handoff may include making contact together, confirming eligibility, arranging language access, and setting a follow-up point. The social worker should not assume that giving a phone number completes the intervention.</w:t>
      </w:r>
    </w:p>
    <w:p>
      <w:pPr>
        <w:pStyle w:val="Heading2"/>
        <w:keepNext/>
      </w:pPr>
      <w:r>
        <w:t>Slide 11: Example: Depression and Eviction Risk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 client with depressive symptoms holding an eviction notice and a five-day deadline.</w:t>
            </w:r>
          </w:p>
        </w:tc>
        <w:tc>
          <w:tcPr>
            <w:tcW w:type="dxa" w:w="5112"/>
            <w:shd w:fill="DCEFF6"/>
            <w:tcMar>
              <w:top w:w="90" w:type="dxa"/>
              <w:start w:w="110" w:type="dxa"/>
              <w:bottom w:w="90" w:type="dxa"/>
              <w:end w:w="110" w:type="dxa"/>
            </w:tcMar>
            <w:vAlign w:val="top"/>
          </w:tcPr>
          <w:p>
            <w:pPr>
              <w:keepNext/>
              <w:keepLines/>
            </w:pPr>
            <w:r>
              <w:rPr>
                <w:color w:val="243B53"/>
                <w:sz w:val="17"/>
              </w:rPr>
              <w:t>Address the Time-Sensitive Environmental Threat</w:t>
            </w:r>
          </w:p>
        </w:tc>
      </w:tr>
    </w:tbl>
    <w:p>
      <w:pPr>
        <w:pStyle w:val="CTALabel"/>
        <w:keepNext/>
      </w:pPr>
      <w:r>
        <w:t>Narration</w:t>
      </w:r>
    </w:p>
    <w:p>
      <w:pPr>
        <w:pStyle w:val="CTANarration"/>
        <w:keepLines/>
        <w:ind w:left="259" w:right="173"/>
      </w:pPr>
      <w:r>
        <w:t>A client reports depression and also brings an eviction notice requiring a response within five days. The social worker should assess immediate safety, housing urgency, available supports, legal or benefit resources, and the client’s priorities. Long-term exploration may remain important, but the time-sensitive housing threat can worsen symptoms and destabilize treatment. The best next step integrates clinical support with a feasible housing response rather than treating the issues as unrelated.</w:t>
      </w:r>
    </w:p>
    <w:p>
      <w:pPr>
        <w:pStyle w:val="Heading2"/>
        <w:keepNext/>
      </w:pPr>
      <w:r>
        <w:t>Slide 12: Example: Missed Medical Appointments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65-75 seconds</w:t>
            </w:r>
          </w:p>
        </w:tc>
        <w:tc>
          <w:tcPr>
            <w:tcW w:type="dxa" w:w="3528"/>
            <w:shd w:fill="F3F8FA"/>
            <w:tcMar>
              <w:top w:w="90" w:type="dxa"/>
              <w:start w:w="110" w:type="dxa"/>
              <w:bottom w:w="90" w:type="dxa"/>
              <w:end w:w="110" w:type="dxa"/>
            </w:tcMar>
            <w:vAlign w:val="top"/>
          </w:tcPr>
          <w:p>
            <w:pPr>
              <w:keepNext/>
              <w:keepLines/>
            </w:pPr>
            <w:r>
              <w:rPr>
                <w:color w:val="243B53"/>
                <w:sz w:val="17"/>
              </w:rPr>
              <w:t>A medical referral blocked by inaccessible transit and caregiving responsibilities.</w:t>
            </w:r>
          </w:p>
        </w:tc>
        <w:tc>
          <w:tcPr>
            <w:tcW w:type="dxa" w:w="5112"/>
            <w:shd w:fill="DCEFF6"/>
            <w:tcMar>
              <w:top w:w="90" w:type="dxa"/>
              <w:start w:w="110" w:type="dxa"/>
              <w:bottom w:w="90" w:type="dxa"/>
              <w:end w:w="110" w:type="dxa"/>
            </w:tcMar>
            <w:vAlign w:val="top"/>
          </w:tcPr>
          <w:p>
            <w:pPr>
              <w:keepNext/>
              <w:keepLines/>
            </w:pPr>
            <w:r>
              <w:rPr>
                <w:color w:val="243B53"/>
                <w:sz w:val="17"/>
              </w:rPr>
              <w:t>Test Access Before Interpreting Motivation</w:t>
            </w:r>
          </w:p>
        </w:tc>
      </w:tr>
    </w:tbl>
    <w:p>
      <w:pPr>
        <w:pStyle w:val="CTALabel"/>
        <w:keepNext/>
      </w:pPr>
      <w:r>
        <w:t>Narration</w:t>
      </w:r>
    </w:p>
    <w:p>
      <w:pPr>
        <w:pStyle w:val="CTANarration"/>
        <w:keepLines/>
        <w:ind w:left="259" w:right="173"/>
      </w:pPr>
      <w:r>
        <w:t>A client with a serious health condition has missed two specialty appointments. Before concluding the client is unmotivated, ask about transportation, disability access, language, cost, work, caregiving, fear, and understanding of the referral. The response may involve accessible scheduling, transportation assistance, interpretation, a warm handoff, or coordination with the medical team. The person-in-environment answer addresses the barrier that is actually preventing care.</w:t>
      </w:r>
    </w:p>
    <w:p>
      <w:pPr>
        <w:pStyle w:val="Heading2"/>
        <w:keepNext/>
      </w:pPr>
      <w:r>
        <w:t>Slide 13: Common Person-in-Environment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Warning signs: diagnosis only, resource list only, blaming nonuse, and overcontrolling advocacy.</w:t>
            </w:r>
          </w:p>
        </w:tc>
        <w:tc>
          <w:tcPr>
            <w:tcW w:type="dxa" w:w="5112"/>
            <w:shd w:fill="DCEFF6"/>
            <w:tcMar>
              <w:top w:w="90" w:type="dxa"/>
              <w:start w:w="110" w:type="dxa"/>
              <w:bottom w:w="90" w:type="dxa"/>
              <w:end w:w="110" w:type="dxa"/>
            </w:tcMar>
            <w:vAlign w:val="top"/>
          </w:tcPr>
          <w:p>
            <w:pPr>
              <w:keepNext/>
              <w:keepLines/>
            </w:pPr>
            <w:r>
              <w:rPr>
                <w:color w:val="243B53"/>
                <w:sz w:val="17"/>
              </w:rPr>
              <w:t>Avoid Narrow Formulations and Incomplete Referrals</w:t>
            </w:r>
          </w:p>
        </w:tc>
      </w:tr>
    </w:tbl>
    <w:p>
      <w:pPr>
        <w:pStyle w:val="CTALabel"/>
        <w:keepNext/>
      </w:pPr>
      <w:r>
        <w:t>Narration</w:t>
      </w:r>
    </w:p>
    <w:p>
      <w:pPr>
        <w:pStyle w:val="CTANarration"/>
        <w:keepLines/>
        <w:ind w:left="259" w:right="173"/>
      </w:pPr>
      <w:r>
        <w:t>Common traps include focusing only on symptoms, giving a generic resource list without checking fit, interpreting access barriers as resistance, or taking control of advocacy without the client’s consent. Another trap is assuming that an environmental problem means clinical assessment is unnecessary. Strong answers integrate symptoms, functioning, context, strengths, barriers, and client choice, then select the intervention level that addresses the maintaining condition.</w:t>
      </w:r>
    </w:p>
    <w:p>
      <w:pPr>
        <w:pStyle w:val="Heading2"/>
        <w:keepNext/>
      </w:pPr>
      <w:r>
        <w:t>Slide 14: Your Person-in-Environment Check</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50-60 seconds</w:t>
            </w:r>
          </w:p>
        </w:tc>
        <w:tc>
          <w:tcPr>
            <w:tcW w:type="dxa" w:w="3528"/>
            <w:shd w:fill="F3F8FA"/>
            <w:tcMar>
              <w:top w:w="90" w:type="dxa"/>
              <w:start w:w="110" w:type="dxa"/>
              <w:bottom w:w="90" w:type="dxa"/>
              <w:end w:w="110" w:type="dxa"/>
            </w:tcMar>
            <w:vAlign w:val="top"/>
          </w:tcPr>
          <w:p>
            <w:pPr>
              <w:keepNext/>
              <w:keepLines/>
            </w:pPr>
            <w:r>
              <w:rPr>
                <w:color w:val="243B53"/>
                <w:sz w:val="17"/>
              </w:rPr>
              <w:t>A six-part check: person, environment, interaction, urgency, strengths, level of action.</w:t>
            </w:r>
          </w:p>
        </w:tc>
        <w:tc>
          <w:tcPr>
            <w:tcW w:type="dxa" w:w="5112"/>
            <w:shd w:fill="DCEFF6"/>
            <w:tcMar>
              <w:top w:w="90" w:type="dxa"/>
              <w:start w:w="110" w:type="dxa"/>
              <w:bottom w:w="90" w:type="dxa"/>
              <w:end w:w="110" w:type="dxa"/>
            </w:tcMar>
            <w:vAlign w:val="top"/>
          </w:tcPr>
          <w:p>
            <w:pPr>
              <w:keepNext/>
              <w:keepLines/>
            </w:pPr>
            <w:r>
              <w:rPr>
                <w:color w:val="243B53"/>
                <w:sz w:val="17"/>
              </w:rPr>
              <w:t>Person • Environment • Interaction • Urgency • Strengths • Level</w:t>
            </w:r>
          </w:p>
        </w:tc>
      </w:tr>
    </w:tbl>
    <w:p>
      <w:pPr>
        <w:pStyle w:val="CTALabel"/>
        <w:keepNext/>
      </w:pPr>
      <w:r>
        <w:t>Narration</w:t>
      </w:r>
    </w:p>
    <w:p>
      <w:pPr>
        <w:pStyle w:val="CTANarration"/>
        <w:keepLines/>
        <w:ind w:left="259" w:right="173"/>
      </w:pPr>
      <w:r>
        <w:t>Before answering, ask: What is happening within the person? What environmental conditions matter? How do the person and environment interact? What is most urgent? What strengths and supports are available? At what level should the next action occur? This check helps you move beyond a diagnosis-only response and choose a practical, client-centered intervention that fits the real barrier.</w:t>
      </w:r>
    </w:p>
    <w:p>
      <w:pPr>
        <w:pStyle w:val="Heading1"/>
      </w:pPr>
      <w:r>
        <w:t>Audio-Only Adaptation Notes</w:t>
      </w:r>
    </w:p>
    <w:p>
      <w:pPr>
        <w:pStyle w:val="ListBullet"/>
        <w:spacing w:after="40"/>
        <w:ind w:left="360" w:hanging="216"/>
      </w:pPr>
      <w:r>
        <w:t>Describe the person and environment maps as linked rather than separate lists.</w:t>
      </w:r>
    </w:p>
    <w:p>
      <w:pPr>
        <w:pStyle w:val="ListBullet"/>
        <w:spacing w:after="40"/>
        <w:ind w:left="360" w:hanging="216"/>
      </w:pPr>
      <w:r>
        <w:t>Emphasize the distinction between barriers and resistance.</w:t>
      </w:r>
    </w:p>
    <w:p>
      <w:pPr>
        <w:pStyle w:val="ListBullet"/>
        <w:spacing w:after="40"/>
        <w:ind w:left="360" w:hanging="216"/>
      </w:pPr>
      <w:r>
        <w:t>Read the intervention levels clearly for audio learners.</w:t>
      </w:r>
    </w:p>
    <w:p>
      <w:pPr>
        <w:pStyle w:val="ListBullet"/>
        <w:spacing w:after="40"/>
        <w:ind w:left="360" w:hanging="216"/>
      </w:pPr>
      <w:r>
        <w:t>End by asking the student to identify one environmental factor in the next clinical vignette.</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This recording should establish the person-in-environment lens used across LCSW assessment, planning, intervention, case management, advocacy, and collaboration.</w:t>
            </w:r>
          </w:p>
        </w:tc>
      </w:tr>
    </w:tbl>
    <w:p>
      <w:pPr>
        <w:spacing w:after="20"/>
      </w:pPr>
    </w:p>
    <w:p>
      <w:pPr>
        <w:pStyle w:val="CTASmall"/>
        <w:jc w:val="center"/>
      </w:pPr>
      <w:r>
        <w:t>Educational exam-preparation content. CTA is not affiliated with or endorsed by the Association of Social Work Boards, Pearson VUE, or any licensing authority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LCSW Multimedia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Person-in-Environment Reasoning</dc:title>
  <dc:subject>CTA LCSW Multimedia Script 02</dc:subject>
  <dc:creator>Clinical Training Academy</dc:creator>
  <cp:keywords>LCSW, ASWB Clinical exam, exam preparation, multimedia, narration script, Clinical Training Academy</cp:keywords>
  <dc:description>Ready-to-record authoritative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