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Assessment, Diagnosis, and Planning</w:t>
      </w:r>
    </w:p>
    <w:p>
      <w:pPr>
        <w:jc w:val="center"/>
      </w:pPr>
      <w:r>
        <w:rPr>
          <w:rFonts w:ascii="Aptos Display" w:hAnsi="Aptos Display"/>
          <w:b/>
          <w:color w:val="2AA7D6"/>
          <w:sz w:val="32"/>
        </w:rPr>
        <w:t>LCSW-Specific Multimedia Script 03</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sequence engagement, assessment, differential diagnosis, collaborative planning, and measurable follow-up without acting prematurely.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integrated assessment, planning, diagnosis, and intervention-sequencing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Clinical Assessment, Diagnosis, and Treatment and Service Planning.</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Workbooks 4, 5, and 7, with person-in-environment and risk reinforcement from Workbooks 3 and 6.</w:t>
            </w:r>
          </w:p>
        </w:tc>
      </w:tr>
    </w:tbl>
    <w:p>
      <w:pPr>
        <w:spacing w:after="20"/>
      </w:pPr>
    </w:p>
    <w:p>
      <w:pPr>
        <w:pStyle w:val="Heading1"/>
      </w:pPr>
      <w:r>
        <w:t>Learning Outcomes</w:t>
      </w:r>
    </w:p>
    <w:p>
      <w:pPr>
        <w:pStyle w:val="ListBullet"/>
        <w:spacing w:after="40"/>
        <w:ind w:left="360" w:hanging="216"/>
      </w:pPr>
      <w:r>
        <w:t>Sequence engagement, assessment, formulation, diagnosis, and planning.</w:t>
      </w:r>
    </w:p>
    <w:p>
      <w:pPr>
        <w:pStyle w:val="ListBullet"/>
        <w:spacing w:after="40"/>
        <w:ind w:left="360" w:hanging="216"/>
      </w:pPr>
      <w:r>
        <w:t>Use mental-status, medical, substance, developmental, and contextual data.</w:t>
      </w:r>
    </w:p>
    <w:p>
      <w:pPr>
        <w:pStyle w:val="ListBullet"/>
        <w:spacing w:after="40"/>
        <w:ind w:left="360" w:hanging="216"/>
      </w:pPr>
      <w:r>
        <w:t>Distinguish a working diagnosis from a final conclusion.</w:t>
      </w:r>
    </w:p>
    <w:p>
      <w:pPr>
        <w:pStyle w:val="ListBullet"/>
        <w:spacing w:after="40"/>
        <w:ind w:left="360" w:hanging="216"/>
      </w:pPr>
      <w:r>
        <w:t>Create measurable, client-centered plans with follow-up.</w:t>
      </w:r>
    </w:p>
    <w:p>
      <w:pPr>
        <w:pStyle w:val="Heading1"/>
      </w:pPr>
      <w:r>
        <w:t>Voice and Presentation Direction</w:t>
      </w:r>
    </w:p>
    <w:p>
      <w:pPr>
        <w:pStyle w:val="ListBullet"/>
        <w:spacing w:after="40"/>
        <w:ind w:left="360" w:hanging="216"/>
      </w:pPr>
      <w:r>
        <w:t>Describe observed behavior separately from interpretation.</w:t>
      </w:r>
    </w:p>
    <w:p>
      <w:pPr>
        <w:pStyle w:val="ListBullet"/>
        <w:spacing w:after="40"/>
        <w:ind w:left="360" w:hanging="216"/>
      </w:pPr>
      <w:r>
        <w:t>Reinforce that new or fluctuating changes may require medical priority.</w:t>
      </w:r>
    </w:p>
    <w:p>
      <w:pPr>
        <w:pStyle w:val="ListBullet"/>
        <w:spacing w:after="40"/>
        <w:ind w:left="360" w:hanging="216"/>
      </w:pPr>
      <w:r>
        <w:t>Use diagnostic uncertainty as a reason for focused assessment, not paralysis.</w:t>
      </w:r>
    </w:p>
    <w:p>
      <w:pPr>
        <w:pStyle w:val="ListBullet"/>
        <w:spacing w:after="40"/>
        <w:ind w:left="360" w:hanging="216"/>
      </w:pPr>
      <w:r>
        <w:t>Link every plan to a stated need, client goal, and method of evaluation.</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precise clinical language. Emphasize chronology, functioning, exclusions, client goals, and measurable planning. Avoid presenting diagnosis as a shortcut or treatment as automatic after a label.</w:t>
            </w:r>
          </w:p>
        </w:tc>
      </w:tr>
    </w:tbl>
    <w:p>
      <w:pPr>
        <w:spacing w:after="20"/>
      </w:pPr>
    </w:p>
    <w:p>
      <w:pPr>
        <w:pStyle w:val="Heading1"/>
      </w:pPr>
      <w:r>
        <w:t>Slide-by-Slide Script</w:t>
      </w:r>
    </w:p>
    <w:p>
      <w:pPr>
        <w:pStyle w:val="Heading2"/>
        <w:keepNext/>
      </w:pPr>
      <w:r>
        <w:t>Slide 1: Assessment Builds the Decision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Information flowing into formulation, diagnosis, plan, and evaluation.</w:t>
            </w:r>
          </w:p>
        </w:tc>
        <w:tc>
          <w:tcPr>
            <w:tcW w:type="dxa" w:w="5112"/>
            <w:shd w:fill="DCEFF6"/>
            <w:tcMar>
              <w:top w:w="90" w:type="dxa"/>
              <w:start w:w="110" w:type="dxa"/>
              <w:bottom w:w="90" w:type="dxa"/>
              <w:end w:w="110" w:type="dxa"/>
            </w:tcMar>
            <w:vAlign w:val="top"/>
          </w:tcPr>
          <w:p>
            <w:pPr>
              <w:keepNext/>
              <w:keepLines/>
            </w:pPr>
            <w:r>
              <w:rPr>
                <w:color w:val="243B53"/>
                <w:sz w:val="17"/>
              </w:rPr>
              <w:t>Assess Before You Label or Act</w:t>
            </w:r>
          </w:p>
        </w:tc>
      </w:tr>
    </w:tbl>
    <w:p>
      <w:pPr>
        <w:pStyle w:val="CTALabel"/>
        <w:keepNext/>
      </w:pPr>
      <w:r>
        <w:t>Narration</w:t>
      </w:r>
    </w:p>
    <w:p>
      <w:pPr>
        <w:pStyle w:val="CTANarration"/>
        <w:keepLines/>
        <w:ind w:left="259" w:right="173"/>
      </w:pPr>
      <w:r>
        <w:t>Assessment, diagnosis, and planning are connected but not interchangeable. Assessment gathers the information needed to understand urgency, functioning, context, and possible explanations. Diagnosis organizes a symptom pattern when criteria and exclusions are sufficiently supported. Planning translates the formulation into collaborative goals and actions. The exam often tests whether you complete the necessary assessment before choosing an intervention or treating an early impression as certain.</w:t>
      </w:r>
    </w:p>
    <w:p>
      <w:pPr>
        <w:pStyle w:val="Heading2"/>
        <w:keepNext/>
      </w:pPr>
      <w:r>
        <w:t>Slide 2: Begin With Engagement and Role Clarity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transparent intake opening showing referral source, role, confidentiality, and client goals.</w:t>
            </w:r>
          </w:p>
        </w:tc>
        <w:tc>
          <w:tcPr>
            <w:tcW w:type="dxa" w:w="5112"/>
            <w:shd w:fill="DCEFF6"/>
            <w:tcMar>
              <w:top w:w="90" w:type="dxa"/>
              <w:start w:w="110" w:type="dxa"/>
              <w:bottom w:w="90" w:type="dxa"/>
              <w:end w:w="110" w:type="dxa"/>
            </w:tcMar>
            <w:vAlign w:val="top"/>
          </w:tcPr>
          <w:p>
            <w:pPr>
              <w:keepNext/>
              <w:keepLines/>
            </w:pPr>
            <w:r>
              <w:rPr>
                <w:color w:val="243B53"/>
                <w:sz w:val="17"/>
              </w:rPr>
              <w:t>Trust and Clarity Improve the Data</w:t>
            </w:r>
          </w:p>
        </w:tc>
      </w:tr>
    </w:tbl>
    <w:p>
      <w:pPr>
        <w:pStyle w:val="CTALabel"/>
        <w:keepNext/>
      </w:pPr>
      <w:r>
        <w:t>Narration</w:t>
      </w:r>
    </w:p>
    <w:p>
      <w:pPr>
        <w:pStyle w:val="CTANarration"/>
        <w:keepLines/>
        <w:ind w:left="259" w:right="173"/>
      </w:pPr>
      <w:r>
        <w:t>A useful assessment begins with a clear, respectful frame. Clarify the referral source, the social worker’s role, the client’s understanding of the service, confidentiality and its limits, and what choices remain. Ask what the client wants help with and what would make the meeting useful. Engagement is not separate from assessment; the client’s trust, readiness, expectations, and response to the professional role are clinically relevant information.</w:t>
      </w:r>
    </w:p>
    <w:p>
      <w:pPr>
        <w:pStyle w:val="Heading2"/>
        <w:keepNext/>
      </w:pPr>
      <w:r>
        <w:t>Slide 3: Move From Broad to Focused Inquiry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funnel from open-ended story to targeted questions and confirmation.</w:t>
            </w:r>
          </w:p>
        </w:tc>
        <w:tc>
          <w:tcPr>
            <w:tcW w:type="dxa" w:w="5112"/>
            <w:shd w:fill="DCEFF6"/>
            <w:tcMar>
              <w:top w:w="90" w:type="dxa"/>
              <w:start w:w="110" w:type="dxa"/>
              <w:bottom w:w="90" w:type="dxa"/>
              <w:end w:w="110" w:type="dxa"/>
            </w:tcMar>
            <w:vAlign w:val="top"/>
          </w:tcPr>
          <w:p>
            <w:pPr>
              <w:keepNext/>
              <w:keepLines/>
            </w:pPr>
            <w:r>
              <w:rPr>
                <w:color w:val="243B53"/>
                <w:sz w:val="17"/>
              </w:rPr>
              <w:t>Open → Clarify → Focus → Confirm</w:t>
            </w:r>
          </w:p>
        </w:tc>
      </w:tr>
    </w:tbl>
    <w:p>
      <w:pPr>
        <w:pStyle w:val="CTALabel"/>
        <w:keepNext/>
      </w:pPr>
      <w:r>
        <w:t>Narration</w:t>
      </w:r>
    </w:p>
    <w:p>
      <w:pPr>
        <w:pStyle w:val="CTANarration"/>
        <w:keepLines/>
        <w:ind w:left="259" w:right="173"/>
      </w:pPr>
      <w:r>
        <w:t>Start broadly enough to understand the client’s story, then focus on facts that control the next decision. Open questions gather context and meaning. Reflections test understanding. Direct questions establish timing, severity, access to means, medication changes, or substance pattern. The best interviewing tool depends on the task. Precision is especially important when safety, medical urgency, diagnosis, or level of care may change.</w:t>
      </w:r>
    </w:p>
    <w:p>
      <w:pPr>
        <w:pStyle w:val="Heading2"/>
        <w:keepNext/>
      </w:pPr>
      <w:r>
        <w:t>Slide 4: Assess Symptoms, Functioning, and Context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Integrated domains: symptoms, daily functioning, relationships, development, culture, health, substances, strengths.</w:t>
            </w:r>
          </w:p>
        </w:tc>
        <w:tc>
          <w:tcPr>
            <w:tcW w:type="dxa" w:w="5112"/>
            <w:shd w:fill="DCEFF6"/>
            <w:tcMar>
              <w:top w:w="90" w:type="dxa"/>
              <w:start w:w="110" w:type="dxa"/>
              <w:bottom w:w="90" w:type="dxa"/>
              <w:end w:w="110" w:type="dxa"/>
            </w:tcMar>
            <w:vAlign w:val="top"/>
          </w:tcPr>
          <w:p>
            <w:pPr>
              <w:keepNext/>
              <w:keepLines/>
            </w:pPr>
            <w:r>
              <w:rPr>
                <w:color w:val="243B53"/>
                <w:sz w:val="17"/>
              </w:rPr>
              <w:t>What Is Happening, and What Does It Affect?</w:t>
            </w:r>
          </w:p>
        </w:tc>
      </w:tr>
    </w:tbl>
    <w:p>
      <w:pPr>
        <w:pStyle w:val="CTALabel"/>
        <w:keepNext/>
      </w:pPr>
      <w:r>
        <w:t>Narration</w:t>
      </w:r>
    </w:p>
    <w:p>
      <w:pPr>
        <w:pStyle w:val="CTANarration"/>
        <w:keepLines/>
        <w:ind w:left="259" w:right="173"/>
      </w:pPr>
      <w:r>
        <w:t>A complete assessment includes symptoms, onset, duration, course, severity, functional impact, relationships, development, culture, trauma, health, medications, substance use, prior care, strengths, supports, and client goals. Not every domain requires equal time in every encounter. Follow the clues that matter most. A sudden change after a medication adjustment requires a different priority than a longstanding pattern with stable functioning.</w:t>
      </w:r>
    </w:p>
    <w:p>
      <w:pPr>
        <w:pStyle w:val="Heading2"/>
        <w:keepNext/>
      </w:pPr>
      <w:r>
        <w:t>Slide 5: Use the Mental Status Examination as a Snapshot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Mental-status domains arranged around a current snapshot.</w:t>
            </w:r>
          </w:p>
        </w:tc>
        <w:tc>
          <w:tcPr>
            <w:tcW w:type="dxa" w:w="5112"/>
            <w:shd w:fill="DCEFF6"/>
            <w:tcMar>
              <w:top w:w="90" w:type="dxa"/>
              <w:start w:w="110" w:type="dxa"/>
              <w:bottom w:w="90" w:type="dxa"/>
              <w:end w:w="110" w:type="dxa"/>
            </w:tcMar>
            <w:vAlign w:val="top"/>
          </w:tcPr>
          <w:p>
            <w:pPr>
              <w:keepNext/>
              <w:keepLines/>
            </w:pPr>
            <w:r>
              <w:rPr>
                <w:color w:val="243B53"/>
                <w:sz w:val="17"/>
              </w:rPr>
              <w:t>Appearance • Behavior • Speech • Mood/Affect • Thought • Perception • Cognition</w:t>
            </w:r>
          </w:p>
        </w:tc>
      </w:tr>
    </w:tbl>
    <w:p>
      <w:pPr>
        <w:pStyle w:val="CTALabel"/>
        <w:keepNext/>
      </w:pPr>
      <w:r>
        <w:t>Narration</w:t>
      </w:r>
    </w:p>
    <w:p>
      <w:pPr>
        <w:pStyle w:val="CTANarration"/>
        <w:keepLines/>
        <w:ind w:left="259" w:right="173"/>
      </w:pPr>
      <w:r>
        <w:t>The mental status examination describes current presentation, including appearance and behavior, speech, reported mood, observed affect, thought process, thought content, perception, attention, cognition, orientation, memory, insight, judgment, and impulse control. It is a snapshot rather than a complete diagnosis. Compare findings with baseline and interpret them in developmental, cultural, language, disability, medical, and situational context.</w:t>
      </w:r>
    </w:p>
    <w:p>
      <w:pPr>
        <w:pStyle w:val="Heading2"/>
        <w:keepNext/>
      </w:pPr>
      <w:r>
        <w:t>Slide 6: Establish Chronology and Baseline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timeline comparing usual functioning with onset and recent change.</w:t>
            </w:r>
          </w:p>
        </w:tc>
        <w:tc>
          <w:tcPr>
            <w:tcW w:type="dxa" w:w="5112"/>
            <w:shd w:fill="DCEFF6"/>
            <w:tcMar>
              <w:top w:w="90" w:type="dxa"/>
              <w:start w:w="110" w:type="dxa"/>
              <w:bottom w:w="90" w:type="dxa"/>
              <w:end w:w="110" w:type="dxa"/>
            </w:tcMar>
            <w:vAlign w:val="top"/>
          </w:tcPr>
          <w:p>
            <w:pPr>
              <w:keepNext/>
              <w:keepLines/>
            </w:pPr>
            <w:r>
              <w:rPr>
                <w:color w:val="243B53"/>
                <w:sz w:val="17"/>
              </w:rPr>
              <w:t>When Did It Start? What Changed?</w:t>
            </w:r>
          </w:p>
        </w:tc>
      </w:tr>
    </w:tbl>
    <w:p>
      <w:pPr>
        <w:pStyle w:val="CTALabel"/>
        <w:keepNext/>
      </w:pPr>
      <w:r>
        <w:t>Narration</w:t>
      </w:r>
    </w:p>
    <w:p>
      <w:pPr>
        <w:pStyle w:val="CTANarration"/>
        <w:keepLines/>
        <w:ind w:left="259" w:right="173"/>
      </w:pPr>
      <w:r>
        <w:t>Chronology often separates competing explanations. Clarify when symptoms began, whether they are continuous or episodic, what happened before onset, and how the current presentation differs from baseline. Sudden confusion, altered consciousness, or unsteady gait may indicate medical, medication, intoxication, or withdrawal risk. A longstanding pattern may support a different formulation. Newness and fluctuation can determine what must happen first.</w:t>
      </w:r>
    </w:p>
    <w:p>
      <w:pPr>
        <w:pStyle w:val="Heading2"/>
        <w:keepNext/>
      </w:pPr>
      <w:r>
        <w:t>Slide 7: Assess Medical, Medication, and Substance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health timeline linking conditions, medications, substances, sleep, and symptoms.</w:t>
            </w:r>
          </w:p>
        </w:tc>
        <w:tc>
          <w:tcPr>
            <w:tcW w:type="dxa" w:w="5112"/>
            <w:shd w:fill="DCEFF6"/>
            <w:tcMar>
              <w:top w:w="90" w:type="dxa"/>
              <w:start w:w="110" w:type="dxa"/>
              <w:bottom w:w="90" w:type="dxa"/>
              <w:end w:w="110" w:type="dxa"/>
            </w:tcMar>
            <w:vAlign w:val="top"/>
          </w:tcPr>
          <w:p>
            <w:pPr>
              <w:keepNext/>
              <w:keepLines/>
            </w:pPr>
            <w:r>
              <w:rPr>
                <w:color w:val="243B53"/>
                <w:sz w:val="17"/>
              </w:rPr>
              <w:t>Rule Out Health and Substance Causes</w:t>
            </w:r>
          </w:p>
        </w:tc>
      </w:tr>
    </w:tbl>
    <w:p>
      <w:pPr>
        <w:pStyle w:val="CTALabel"/>
        <w:keepNext/>
      </w:pPr>
      <w:r>
        <w:t>Narration</w:t>
      </w:r>
    </w:p>
    <w:p>
      <w:pPr>
        <w:pStyle w:val="CTANarration"/>
        <w:keepLines/>
        <w:ind w:left="259" w:right="173"/>
      </w:pPr>
      <w:r>
        <w:t>Ask about health conditions, injuries, sleep, pain, pregnancy or postpartum changes, medication starts and stops, missed doses, nonprescription products, alcohol, cannabis, stimulants, sedatives, and other substances. The social worker can assess effects, encourage medical review, coordinate with consent, and respond to emergencies, but should not prescribe or direct medication changes. When symptoms may be medically caused, health evaluation takes priority over psychological interpretation.</w:t>
      </w:r>
    </w:p>
    <w:p>
      <w:pPr>
        <w:pStyle w:val="Heading2"/>
        <w:keepNext/>
      </w:pPr>
      <w:r>
        <w:t>Slide 8: Use Differential Diagnosis, Not Premature Certainty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Several possible explanations being compared against duration, impairment, and exclusions.</w:t>
            </w:r>
          </w:p>
        </w:tc>
        <w:tc>
          <w:tcPr>
            <w:tcW w:type="dxa" w:w="5112"/>
            <w:shd w:fill="DCEFF6"/>
            <w:tcMar>
              <w:top w:w="90" w:type="dxa"/>
              <w:start w:w="110" w:type="dxa"/>
              <w:bottom w:w="90" w:type="dxa"/>
              <w:end w:w="110" w:type="dxa"/>
            </w:tcMar>
            <w:vAlign w:val="top"/>
          </w:tcPr>
          <w:p>
            <w:pPr>
              <w:keepNext/>
              <w:keepLines/>
            </w:pPr>
            <w:r>
              <w:rPr>
                <w:color w:val="243B53"/>
                <w:sz w:val="17"/>
              </w:rPr>
              <w:t>Compare Alternatives Before Concluding</w:t>
            </w:r>
          </w:p>
        </w:tc>
      </w:tr>
    </w:tbl>
    <w:p>
      <w:pPr>
        <w:pStyle w:val="CTALabel"/>
        <w:keepNext/>
      </w:pPr>
      <w:r>
        <w:t>Narration</w:t>
      </w:r>
    </w:p>
    <w:p>
      <w:pPr>
        <w:pStyle w:val="CTANarration"/>
        <w:keepLines/>
        <w:ind w:left="259" w:right="173"/>
      </w:pPr>
      <w:r>
        <w:t>Differential diagnosis asks which explanations fit, which do not, and what information would distinguish them. Consider duration, severity, functional impairment, developmental expectations, trauma, culture, grief, medical conditions, medications, substances, and prior episodes. A working diagnosis can guide care while uncertainty remains, but it should be documented as provisional or under evaluation when the evidence is incomplete. Diagnosis should organize the data, not replace further assessment.</w:t>
      </w:r>
    </w:p>
    <w:p>
      <w:pPr>
        <w:pStyle w:val="Heading2"/>
        <w:keepNext/>
      </w:pPr>
      <w:r>
        <w:t>Slide 9: Assess Safety Directly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direct risk pathway: thoughts, intent, plan, means, history, supports, environment.</w:t>
            </w:r>
          </w:p>
        </w:tc>
        <w:tc>
          <w:tcPr>
            <w:tcW w:type="dxa" w:w="5112"/>
            <w:shd w:fill="DCEFF6"/>
            <w:tcMar>
              <w:top w:w="90" w:type="dxa"/>
              <w:start w:w="110" w:type="dxa"/>
              <w:bottom w:w="90" w:type="dxa"/>
              <w:end w:w="110" w:type="dxa"/>
            </w:tcMar>
            <w:vAlign w:val="top"/>
          </w:tcPr>
          <w:p>
            <w:pPr>
              <w:keepNext/>
              <w:keepLines/>
            </w:pPr>
            <w:r>
              <w:rPr>
                <w:color w:val="243B53"/>
                <w:sz w:val="17"/>
              </w:rPr>
              <w:t>Ask Directly When the Facts Support Concern</w:t>
            </w:r>
          </w:p>
        </w:tc>
      </w:tr>
    </w:tbl>
    <w:p>
      <w:pPr>
        <w:pStyle w:val="CTALabel"/>
        <w:keepNext/>
      </w:pPr>
      <w:r>
        <w:t>Narration</w:t>
      </w:r>
    </w:p>
    <w:p>
      <w:pPr>
        <w:pStyle w:val="CTANarration"/>
        <w:keepLines/>
        <w:ind w:left="259" w:right="173"/>
      </w:pPr>
      <w:r>
        <w:t>When a statement or behavior suggests suicide, self-harm, violence, abuse, neglect, or inability to care safely, ask direct questions. Clarify current thoughts, intent, plan, access, past behavior, substance involvement, protective factors, supports, and immediate environment. A vague reassurance or promise does not establish risk level. Safety assessment can occur with empathy and collaboration and may change the level of care or treatment plan immediately.</w:t>
      </w:r>
    </w:p>
    <w:p>
      <w:pPr>
        <w:pStyle w:val="Heading2"/>
        <w:keepNext/>
      </w:pPr>
      <w:r>
        <w:t>Slide 10: Formulate the Priority Problem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concise formulation connecting need, context, maintaining factors, strengths, and urgency.</w:t>
            </w:r>
          </w:p>
        </w:tc>
        <w:tc>
          <w:tcPr>
            <w:tcW w:type="dxa" w:w="5112"/>
            <w:shd w:fill="DCEFF6"/>
            <w:tcMar>
              <w:top w:w="90" w:type="dxa"/>
              <w:start w:w="110" w:type="dxa"/>
              <w:bottom w:w="90" w:type="dxa"/>
              <w:end w:w="110" w:type="dxa"/>
            </w:tcMar>
            <w:vAlign w:val="top"/>
          </w:tcPr>
          <w:p>
            <w:pPr>
              <w:keepNext/>
              <w:keepLines/>
            </w:pPr>
            <w:r>
              <w:rPr>
                <w:color w:val="243B53"/>
                <w:sz w:val="17"/>
              </w:rPr>
              <w:t>What Needs Attention, Why, and Now?</w:t>
            </w:r>
          </w:p>
        </w:tc>
      </w:tr>
    </w:tbl>
    <w:p>
      <w:pPr>
        <w:pStyle w:val="CTALabel"/>
        <w:keepNext/>
      </w:pPr>
      <w:r>
        <w:t>Narration</w:t>
      </w:r>
    </w:p>
    <w:p>
      <w:pPr>
        <w:pStyle w:val="CTANarration"/>
        <w:keepLines/>
        <w:ind w:left="259" w:right="173"/>
      </w:pPr>
      <w:r>
        <w:t>Before planning, state the priority problem in context. Identify the most important need, the factors maintaining it, the client’s strengths and preferences, and the urgency of action. A useful formulation explains why a particular target comes first. It may integrate symptoms, housing, caregiving, trauma, medical risk, or service barriers. The formulation should remain open to revision as new information appears.</w:t>
      </w:r>
    </w:p>
    <w:p>
      <w:pPr>
        <w:pStyle w:val="Heading2"/>
        <w:keepNext/>
      </w:pPr>
      <w:r>
        <w:t>Slide 11: Build a Collaborative and Measurable Plan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plan linking target, action, responsible person, timeline, and outcome measure.</w:t>
            </w:r>
          </w:p>
        </w:tc>
        <w:tc>
          <w:tcPr>
            <w:tcW w:type="dxa" w:w="5112"/>
            <w:shd w:fill="DCEFF6"/>
            <w:tcMar>
              <w:top w:w="90" w:type="dxa"/>
              <w:start w:w="110" w:type="dxa"/>
              <w:bottom w:w="90" w:type="dxa"/>
              <w:end w:w="110" w:type="dxa"/>
            </w:tcMar>
            <w:vAlign w:val="top"/>
          </w:tcPr>
          <w:p>
            <w:pPr>
              <w:keepNext/>
              <w:keepLines/>
            </w:pPr>
            <w:r>
              <w:rPr>
                <w:color w:val="243B53"/>
                <w:sz w:val="17"/>
              </w:rPr>
              <w:t>Goal • Action • Responsibility • Time • Evidence</w:t>
            </w:r>
          </w:p>
        </w:tc>
      </w:tr>
    </w:tbl>
    <w:p>
      <w:pPr>
        <w:pStyle w:val="CTALabel"/>
        <w:keepNext/>
      </w:pPr>
      <w:r>
        <w:t>Narration</w:t>
      </w:r>
    </w:p>
    <w:p>
      <w:pPr>
        <w:pStyle w:val="CTANarration"/>
        <w:keepLines/>
        <w:ind w:left="259" w:right="173"/>
      </w:pPr>
      <w:r>
        <w:t>A strong plan states what will change, what action will be taken, who is responsible, when it will occur, and how progress will be recognized. Goals should be meaningful to the client and realistic within the environment. “Feel better” is too vague. “Use the safety plan and contact two identified supports during escalating suicidal thoughts over the next week” is more measurable. Include clinical, practical, and systems actions when the formulation requires them.</w:t>
      </w:r>
    </w:p>
    <w:p>
      <w:pPr>
        <w:pStyle w:val="Heading2"/>
        <w:keepNext/>
      </w:pPr>
      <w:r>
        <w:t>Slide 12: Match the Intervention to Readiness and Access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An intervention passing through filters for readiness, culture, access, safety, and evidence.</w:t>
            </w:r>
          </w:p>
        </w:tc>
        <w:tc>
          <w:tcPr>
            <w:tcW w:type="dxa" w:w="5112"/>
            <w:shd w:fill="DCEFF6"/>
            <w:tcMar>
              <w:top w:w="90" w:type="dxa"/>
              <w:start w:w="110" w:type="dxa"/>
              <w:bottom w:w="90" w:type="dxa"/>
              <w:end w:w="110" w:type="dxa"/>
            </w:tcMar>
            <w:vAlign w:val="top"/>
          </w:tcPr>
          <w:p>
            <w:pPr>
              <w:keepNext/>
              <w:keepLines/>
            </w:pPr>
            <w:r>
              <w:rPr>
                <w:color w:val="243B53"/>
                <w:sz w:val="17"/>
              </w:rPr>
              <w:t>A Good Plan Must Be Usable</w:t>
            </w:r>
          </w:p>
        </w:tc>
      </w:tr>
    </w:tbl>
    <w:p>
      <w:pPr>
        <w:pStyle w:val="CTALabel"/>
        <w:keepNext/>
      </w:pPr>
      <w:r>
        <w:t>Narration</w:t>
      </w:r>
    </w:p>
    <w:p>
      <w:pPr>
        <w:pStyle w:val="CTANarration"/>
        <w:keepLines/>
        <w:ind w:left="259" w:right="173"/>
      </w:pPr>
      <w:r>
        <w:t>The planned intervention must fit the client’s readiness, culture, language, disability, preferences, risk level, resources, and access. A referral is not complete because the service exists. Confirm eligibility, cost, transportation, scheduling, technology, and who will follow up. If the client is not ready for the ideal intervention, identify the next feasible step rather than labeling the client noncompliant or abandoning the plan.</w:t>
      </w:r>
    </w:p>
    <w:p>
      <w:pPr>
        <w:pStyle w:val="Heading2"/>
        <w:keepNext/>
      </w:pPr>
      <w:r>
        <w:t>Slide 13: Evaluate and Revise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feedback loop from intervention to outcome review and plan adjustment.</w:t>
            </w:r>
          </w:p>
        </w:tc>
        <w:tc>
          <w:tcPr>
            <w:tcW w:type="dxa" w:w="5112"/>
            <w:shd w:fill="DCEFF6"/>
            <w:tcMar>
              <w:top w:w="90" w:type="dxa"/>
              <w:start w:w="110" w:type="dxa"/>
              <w:bottom w:w="90" w:type="dxa"/>
              <w:end w:w="110" w:type="dxa"/>
            </w:tcMar>
            <w:vAlign w:val="top"/>
          </w:tcPr>
          <w:p>
            <w:pPr>
              <w:keepNext/>
              <w:keepLines/>
            </w:pPr>
            <w:r>
              <w:rPr>
                <w:color w:val="243B53"/>
                <w:sz w:val="17"/>
              </w:rPr>
              <w:t>Plan → Act → Measure → Revise</w:t>
            </w:r>
          </w:p>
        </w:tc>
      </w:tr>
    </w:tbl>
    <w:p>
      <w:pPr>
        <w:pStyle w:val="CTALabel"/>
        <w:keepNext/>
      </w:pPr>
      <w:r>
        <w:t>Narration</w:t>
      </w:r>
    </w:p>
    <w:p>
      <w:pPr>
        <w:pStyle w:val="CTANarration"/>
        <w:keepLines/>
        <w:ind w:left="259" w:right="173"/>
      </w:pPr>
      <w:r>
        <w:t>Planning includes follow-up. Decide what outcome will be reviewed, when it will be reviewed, and what will happen if the plan is ineffective or inaccessible. Evaluate symptoms, functioning, safety, service access, client experience, and progress toward the stated goal. Continue, adapt, intensify, refer, or step down based on the evidence. The exam may ask for evaluation or follow-up after an intervention has already occurred.</w:t>
      </w:r>
    </w:p>
    <w:p>
      <w:pPr>
        <w:pStyle w:val="Heading2"/>
        <w:keepNext/>
      </w:pPr>
      <w:r>
        <w:t>Slide 14: Your Assessment-to-Plan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sequence: engage, assess, differentiate, prioritize, plan, evaluate.</w:t>
            </w:r>
          </w:p>
        </w:tc>
        <w:tc>
          <w:tcPr>
            <w:tcW w:type="dxa" w:w="5112"/>
            <w:shd w:fill="DCEFF6"/>
            <w:tcMar>
              <w:top w:w="90" w:type="dxa"/>
              <w:start w:w="110" w:type="dxa"/>
              <w:bottom w:w="90" w:type="dxa"/>
              <w:end w:w="110" w:type="dxa"/>
            </w:tcMar>
            <w:vAlign w:val="top"/>
          </w:tcPr>
          <w:p>
            <w:pPr>
              <w:keepNext/>
              <w:keepLines/>
            </w:pPr>
            <w:r>
              <w:rPr>
                <w:color w:val="243B53"/>
                <w:sz w:val="17"/>
              </w:rPr>
              <w:t>Engage • Assess • Differentiate • Prioritize • Plan • Evaluate</w:t>
            </w:r>
          </w:p>
        </w:tc>
      </w:tr>
    </w:tbl>
    <w:p>
      <w:pPr>
        <w:pStyle w:val="CTALabel"/>
        <w:keepNext/>
      </w:pPr>
      <w:r>
        <w:t>Narration</w:t>
      </w:r>
    </w:p>
    <w:p>
      <w:pPr>
        <w:pStyle w:val="CTANarration"/>
        <w:keepLines/>
        <w:ind w:left="259" w:right="173"/>
      </w:pPr>
      <w:r>
        <w:t>Before answering, ask: Has the role been clarified? What information is still needed? Are there medical, substance, or safety priorities? What competing explanations remain? What is the priority problem in context? What client-centered goal and measurable action fit? How will the result be evaluated? This sequence prevents premature diagnosis and premature intervention while keeping assessment focused on a usable decision.</w:t>
      </w:r>
    </w:p>
    <w:p>
      <w:pPr>
        <w:pStyle w:val="Heading1"/>
      </w:pPr>
      <w:r>
        <w:t>Audio-Only Adaptation Notes</w:t>
      </w:r>
    </w:p>
    <w:p>
      <w:pPr>
        <w:pStyle w:val="ListBullet"/>
        <w:spacing w:after="40"/>
        <w:ind w:left="360" w:hanging="216"/>
      </w:pPr>
      <w:r>
        <w:t>Read the assessment-to-plan sequence slowly near the end.</w:t>
      </w:r>
    </w:p>
    <w:p>
      <w:pPr>
        <w:pStyle w:val="ListBullet"/>
        <w:spacing w:after="40"/>
        <w:ind w:left="360" w:hanging="216"/>
      </w:pPr>
      <w:r>
        <w:t>Emphasize chronology, baseline, and medical or substance exclusions.</w:t>
      </w:r>
    </w:p>
    <w:p>
      <w:pPr>
        <w:pStyle w:val="ListBullet"/>
        <w:spacing w:after="40"/>
        <w:ind w:left="360" w:hanging="216"/>
      </w:pPr>
      <w:r>
        <w:t>Distinguish a working diagnosis from a final conclusion.</w:t>
      </w:r>
    </w:p>
    <w:p>
      <w:pPr>
        <w:pStyle w:val="ListBullet"/>
        <w:spacing w:after="40"/>
        <w:ind w:left="360" w:hanging="216"/>
      </w:pPr>
      <w:r>
        <w:t>End by directing the student to identify the next missing assessment fact in a vignette.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connect the LCSW assessment, diagnosis, and planning workbooks into one repeatable exam sequence that later intervention and evaluation lessons can reference.</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Diagnosis, and Planning</dc:title>
  <dc:subject>CTA LCSW Multimedia Script 03</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