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Crisis, Safety, Abuse, and Neglect</w:t>
      </w:r>
    </w:p>
    <w:p>
      <w:pPr>
        <w:jc w:val="center"/>
      </w:pPr>
      <w:r>
        <w:rPr>
          <w:rFonts w:ascii="Aptos Display" w:hAnsi="Aptos Display"/>
          <w:b/>
          <w:color w:val="2AA7D6"/>
          <w:sz w:val="32"/>
        </w:rPr>
        <w:t>LCSW-Specific Multimedia Script 04</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LCSW candidates to assess immediate danger, determine the required protective or reporting response, stabilize the situation, and document proportionately.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preparing for crisis, suicide, violence, abuse, neglect, medical-risk, and emergency-sequencing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LCSW Profession-Specific Strategy Library, paired with Crisis, Abuse, and Risk Assessment.</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6, with ethical, assessment, planning, and collaboration reinforcement from Workbooks 2, 4, 7, and 10.</w:t>
            </w:r>
          </w:p>
        </w:tc>
      </w:tr>
    </w:tbl>
    <w:p>
      <w:pPr>
        <w:spacing w:after="20"/>
      </w:pPr>
    </w:p>
    <w:p>
      <w:pPr>
        <w:pStyle w:val="Heading1"/>
      </w:pPr>
      <w:r>
        <w:t>Learning Outcomes</w:t>
      </w:r>
    </w:p>
    <w:p>
      <w:pPr>
        <w:pStyle w:val="ListBullet"/>
        <w:spacing w:after="40"/>
        <w:ind w:left="360" w:hanging="216"/>
      </w:pPr>
      <w:r>
        <w:t>Identify immediate safety and medical priorities.</w:t>
      </w:r>
    </w:p>
    <w:p>
      <w:pPr>
        <w:pStyle w:val="ListBullet"/>
        <w:spacing w:after="40"/>
        <w:ind w:left="360" w:hanging="216"/>
      </w:pPr>
      <w:r>
        <w:t>Conduct direct, structured risk assessment.</w:t>
      </w:r>
    </w:p>
    <w:p>
      <w:pPr>
        <w:pStyle w:val="ListBullet"/>
        <w:spacing w:after="40"/>
        <w:ind w:left="360" w:hanging="216"/>
      </w:pPr>
      <w:r>
        <w:t>Distinguish reporting or protective duties from clinical treatment.</w:t>
      </w:r>
    </w:p>
    <w:p>
      <w:pPr>
        <w:pStyle w:val="ListBullet"/>
        <w:spacing w:after="40"/>
        <w:ind w:left="360" w:hanging="216"/>
      </w:pPr>
      <w:r>
        <w:t>Stabilize, coordinate, document, and follow up.</w:t>
      </w:r>
    </w:p>
    <w:p>
      <w:pPr>
        <w:pStyle w:val="Heading1"/>
      </w:pPr>
      <w:r>
        <w:t>Voice and Presentation Direction</w:t>
      </w:r>
    </w:p>
    <w:p>
      <w:pPr>
        <w:pStyle w:val="ListBullet"/>
        <w:spacing w:after="40"/>
        <w:ind w:left="360" w:hanging="216"/>
      </w:pPr>
      <w:r>
        <w:t>Use direct language about suicide, violence, abuse, and neglect.</w:t>
      </w:r>
    </w:p>
    <w:p>
      <w:pPr>
        <w:pStyle w:val="ListBullet"/>
        <w:spacing w:after="40"/>
        <w:ind w:left="360" w:hanging="216"/>
      </w:pPr>
      <w:r>
        <w:t>Do not imply that all concerning situations require the same response.</w:t>
      </w:r>
    </w:p>
    <w:p>
      <w:pPr>
        <w:pStyle w:val="ListBullet"/>
        <w:spacing w:after="40"/>
        <w:ind w:left="360" w:hanging="216"/>
      </w:pPr>
      <w:r>
        <w:t>Reinforce minimum necessary disclosure and client participation when possible.</w:t>
      </w:r>
    </w:p>
    <w:p>
      <w:pPr>
        <w:pStyle w:val="ListBullet"/>
        <w:spacing w:after="40"/>
        <w:ind w:left="360" w:hanging="216"/>
      </w:pPr>
      <w:r>
        <w:t>Emphasize that a report does not complete the clinical response.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steady, non-alarmist tone. Separate assessment, reporting, protection, stabilization, referral, and follow-up. Avoid jurisdiction-specific legal claims unless the question supplies them.</w:t>
            </w:r>
          </w:p>
        </w:tc>
      </w:tr>
    </w:tbl>
    <w:p>
      <w:pPr>
        <w:spacing w:after="20"/>
      </w:pPr>
    </w:p>
    <w:p>
      <w:pPr>
        <w:pStyle w:val="Heading1"/>
      </w:pPr>
      <w:r>
        <w:t>Slide-by-Slide Script</w:t>
      </w:r>
    </w:p>
    <w:p>
      <w:pPr>
        <w:pStyle w:val="Heading2"/>
        <w:keepNext/>
      </w:pPr>
      <w:r>
        <w:t>Slide 1: Safety Changes the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clinical pathway rerouted by an immediate danger signal.</w:t>
            </w:r>
          </w:p>
        </w:tc>
        <w:tc>
          <w:tcPr>
            <w:tcW w:type="dxa" w:w="5112"/>
            <w:shd w:fill="DCEFF6"/>
            <w:tcMar>
              <w:top w:w="90" w:type="dxa"/>
              <w:start w:w="110" w:type="dxa"/>
              <w:bottom w:w="90" w:type="dxa"/>
              <w:end w:w="110" w:type="dxa"/>
            </w:tcMar>
            <w:vAlign w:val="top"/>
          </w:tcPr>
          <w:p>
            <w:pPr>
              <w:keepNext/>
              <w:keepLines/>
            </w:pPr>
            <w:r>
              <w:rPr>
                <w:color w:val="243B53"/>
                <w:sz w:val="17"/>
              </w:rPr>
              <w:t>Danger and Medical Urgency Come First</w:t>
            </w:r>
          </w:p>
        </w:tc>
      </w:tr>
    </w:tbl>
    <w:p>
      <w:pPr>
        <w:pStyle w:val="CTALabel"/>
        <w:keepNext/>
      </w:pPr>
      <w:r>
        <w:t>Narration</w:t>
      </w:r>
    </w:p>
    <w:p>
      <w:pPr>
        <w:pStyle w:val="CTANarration"/>
        <w:keepLines/>
        <w:ind w:left="259" w:right="173"/>
      </w:pPr>
      <w:r>
        <w:t>Crisis questions become easier when you identify what changes the normal sequence. Immediate danger, severe impairment, possible abuse or neglect, or a medical emergency may require action before routine assessment or treatment. The strongest answer does not automatically choose the most dramatic response. It clarifies the supported level of risk, determines what duty or level of care applies, and takes the most protective proportionate step.</w:t>
      </w:r>
    </w:p>
    <w:p>
      <w:pPr>
        <w:pStyle w:val="Heading2"/>
        <w:keepNext/>
      </w:pPr>
      <w:r>
        <w:t>Slide 2: Start With the Immediate Situation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current-time safety scan: person, others, environment, means, medical status.</w:t>
            </w:r>
          </w:p>
        </w:tc>
        <w:tc>
          <w:tcPr>
            <w:tcW w:type="dxa" w:w="5112"/>
            <w:shd w:fill="DCEFF6"/>
            <w:tcMar>
              <w:top w:w="90" w:type="dxa"/>
              <w:start w:w="110" w:type="dxa"/>
              <w:bottom w:w="90" w:type="dxa"/>
              <w:end w:w="110" w:type="dxa"/>
            </w:tcMar>
            <w:vAlign w:val="top"/>
          </w:tcPr>
          <w:p>
            <w:pPr>
              <w:keepNext/>
              <w:keepLines/>
            </w:pPr>
            <w:r>
              <w:rPr>
                <w:color w:val="243B53"/>
                <w:sz w:val="17"/>
              </w:rPr>
              <w:t>What Is Happening Right Now?</w:t>
            </w:r>
          </w:p>
        </w:tc>
      </w:tr>
    </w:tbl>
    <w:p>
      <w:pPr>
        <w:pStyle w:val="CTALabel"/>
        <w:keepNext/>
      </w:pPr>
      <w:r>
        <w:t>Narration</w:t>
      </w:r>
    </w:p>
    <w:p>
      <w:pPr>
        <w:pStyle w:val="CTANarration"/>
        <w:keepLines/>
        <w:ind w:left="259" w:right="173"/>
      </w:pPr>
      <w:r>
        <w:t>Begin with the present. Is the client currently safe? Is anyone else at risk? Are there weapons, medications, substances, unsafe supervision, severe withdrawal, head injury, or altered consciousness? Is the client able to participate in the assessment? Where is the client, who is nearby, and what support is immediately available? Current conditions determine whether the next step is continued assessment, urgent evaluation, emergency response, or a protective action.</w:t>
      </w:r>
    </w:p>
    <w:p>
      <w:pPr>
        <w:pStyle w:val="Heading2"/>
        <w:keepNext/>
      </w:pPr>
      <w:r>
        <w:t>Slide 3: Ask Directly About Suicide and Self-Harm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structured suicide-risk assessment pathway.</w:t>
            </w:r>
          </w:p>
        </w:tc>
        <w:tc>
          <w:tcPr>
            <w:tcW w:type="dxa" w:w="5112"/>
            <w:shd w:fill="DCEFF6"/>
            <w:tcMar>
              <w:top w:w="90" w:type="dxa"/>
              <w:start w:w="110" w:type="dxa"/>
              <w:bottom w:w="90" w:type="dxa"/>
              <w:end w:w="110" w:type="dxa"/>
            </w:tcMar>
            <w:vAlign w:val="top"/>
          </w:tcPr>
          <w:p>
            <w:pPr>
              <w:keepNext/>
              <w:keepLines/>
            </w:pPr>
            <w:r>
              <w:rPr>
                <w:color w:val="243B53"/>
                <w:sz w:val="17"/>
              </w:rPr>
              <w:t>Thoughts • Intent • Plan • Means • History • Protective Factors</w:t>
            </w:r>
          </w:p>
        </w:tc>
      </w:tr>
    </w:tbl>
    <w:p>
      <w:pPr>
        <w:pStyle w:val="CTALabel"/>
        <w:keepNext/>
      </w:pPr>
      <w:r>
        <w:t>Narration</w:t>
      </w:r>
    </w:p>
    <w:p>
      <w:pPr>
        <w:pStyle w:val="CTANarration"/>
        <w:keepLines/>
        <w:ind w:left="259" w:right="173"/>
      </w:pPr>
      <w:r>
        <w:t>When the facts suggest suicide or self-harm, ask direct questions about current thoughts, intent, plan, access to means, timing, past attempts, recent losses, substance use, reasons for living, supports, and willingness to use help. Do not avoid the subject to preserve rapport. A promise to stay safe does not replace assessment. The goal is to understand immediacy, lethality, ability to maintain safety, and the level of intervention required.</w:t>
      </w:r>
    </w:p>
    <w:p>
      <w:pPr>
        <w:pStyle w:val="Heading2"/>
        <w:keepNext/>
      </w:pPr>
      <w:r>
        <w:t>Slide 4: Assess Violence and Danger to Others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violence-risk pathway including target, intent, means, history, and escalation.</w:t>
            </w:r>
          </w:p>
        </w:tc>
        <w:tc>
          <w:tcPr>
            <w:tcW w:type="dxa" w:w="5112"/>
            <w:shd w:fill="DCEFF6"/>
            <w:tcMar>
              <w:top w:w="90" w:type="dxa"/>
              <w:start w:w="110" w:type="dxa"/>
              <w:bottom w:w="90" w:type="dxa"/>
              <w:end w:w="110" w:type="dxa"/>
            </w:tcMar>
            <w:vAlign w:val="top"/>
          </w:tcPr>
          <w:p>
            <w:pPr>
              <w:keepNext/>
              <w:keepLines/>
            </w:pPr>
            <w:r>
              <w:rPr>
                <w:color w:val="243B53"/>
                <w:sz w:val="17"/>
              </w:rPr>
              <w:t>Target • Intent • Plan • Means • History • Escalation</w:t>
            </w:r>
          </w:p>
        </w:tc>
      </w:tr>
    </w:tbl>
    <w:p>
      <w:pPr>
        <w:pStyle w:val="CTALabel"/>
        <w:keepNext/>
      </w:pPr>
      <w:r>
        <w:t>Narration</w:t>
      </w:r>
    </w:p>
    <w:p>
      <w:pPr>
        <w:pStyle w:val="CTANarration"/>
        <w:keepLines/>
        <w:ind w:left="259" w:right="173"/>
      </w:pPr>
      <w:r>
        <w:t>For possible violence, clarify the nature of the threat, whether there is an identifiable target, current intent, plan, means, access, history, substance involvement, triggers, protective factors, and recent escalation. Do not assume that anger equals imminent danger, but do not minimize specific threats. The next response depends on the supported level of risk and any applicable legal or organizational duty stated in the scenario.</w:t>
      </w:r>
    </w:p>
    <w:p>
      <w:pPr>
        <w:pStyle w:val="Heading2"/>
        <w:keepNext/>
      </w:pPr>
      <w:r>
        <w:t>Slide 5: Recognize Medical and Substance Emergencies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Warning signs: confusion, gait change, seizure risk, overdose, severe withdrawal, head injury.</w:t>
            </w:r>
          </w:p>
        </w:tc>
        <w:tc>
          <w:tcPr>
            <w:tcW w:type="dxa" w:w="5112"/>
            <w:shd w:fill="DCEFF6"/>
            <w:tcMar>
              <w:top w:w="90" w:type="dxa"/>
              <w:start w:w="110" w:type="dxa"/>
              <w:bottom w:w="90" w:type="dxa"/>
              <w:end w:w="110" w:type="dxa"/>
            </w:tcMar>
            <w:vAlign w:val="top"/>
          </w:tcPr>
          <w:p>
            <w:pPr>
              <w:keepNext/>
              <w:keepLines/>
            </w:pPr>
            <w:r>
              <w:rPr>
                <w:color w:val="243B53"/>
                <w:sz w:val="17"/>
              </w:rPr>
              <w:t>Medical Risk Before Psychological Interpretation</w:t>
            </w:r>
          </w:p>
        </w:tc>
      </w:tr>
    </w:tbl>
    <w:p>
      <w:pPr>
        <w:pStyle w:val="CTALabel"/>
        <w:keepNext/>
      </w:pPr>
      <w:r>
        <w:t>Narration</w:t>
      </w:r>
    </w:p>
    <w:p>
      <w:pPr>
        <w:pStyle w:val="CTANarration"/>
        <w:keepLines/>
        <w:ind w:left="259" w:right="173"/>
      </w:pPr>
      <w:r>
        <w:t>Confusion, altered consciousness, severe intoxication, possible overdose, abrupt sedative withdrawal, worsening symptoms after a head injury, or new neurological changes require medical prioritization. Assess immediate safety, what was taken, when symptoms began, and whether emergency medical guidance is needed. Do not interpret a potentially medical presentation as resistance, anxiety, or manipulation before urgent health causes have been addressed.</w:t>
      </w:r>
    </w:p>
    <w:p>
      <w:pPr>
        <w:pStyle w:val="Heading2"/>
        <w:keepNext/>
      </w:pPr>
      <w:r>
        <w:t>Slide 6: Assess Abuse and Neglect Without Investigating Beyond Role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disclosure leading to safety assessment, reporting decision, and supportive care rather than an interrogation.</w:t>
            </w:r>
          </w:p>
        </w:tc>
        <w:tc>
          <w:tcPr>
            <w:tcW w:type="dxa" w:w="5112"/>
            <w:shd w:fill="DCEFF6"/>
            <w:tcMar>
              <w:top w:w="90" w:type="dxa"/>
              <w:start w:w="110" w:type="dxa"/>
              <w:bottom w:w="90" w:type="dxa"/>
              <w:end w:w="110" w:type="dxa"/>
            </w:tcMar>
            <w:vAlign w:val="top"/>
          </w:tcPr>
          <w:p>
            <w:pPr>
              <w:keepNext/>
              <w:keepLines/>
            </w:pPr>
            <w:r>
              <w:rPr>
                <w:color w:val="243B53"/>
                <w:sz w:val="17"/>
              </w:rPr>
              <w:t>Clarify Enough to Act Safely</w:t>
            </w:r>
          </w:p>
        </w:tc>
      </w:tr>
    </w:tbl>
    <w:p>
      <w:pPr>
        <w:pStyle w:val="CTALabel"/>
        <w:keepNext/>
      </w:pPr>
      <w:r>
        <w:t>Narration</w:t>
      </w:r>
    </w:p>
    <w:p>
      <w:pPr>
        <w:pStyle w:val="CTANarration"/>
        <w:keepLines/>
        <w:ind w:left="259" w:right="173"/>
      </w:pPr>
      <w:r>
        <w:t>When abuse or neglect is suspected, gather the information needed to assess immediate safety and determine whether a report or protective action is required. Use open, nonleading questions and avoid repeated probing that could contaminate a disclosure or increase distress. The social worker is not conducting a criminal investigation. The task is to recognize the concern, protect the client, follow the applicable duty, and continue appropriate clinical care.</w:t>
      </w:r>
    </w:p>
    <w:p>
      <w:pPr>
        <w:pStyle w:val="Heading2"/>
        <w:keepNext/>
      </w:pPr>
      <w:r>
        <w:t>Slide 7: Separate Reporting From Treatment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Two parallel tracks: legal or protective report and ongoing clinical response.</w:t>
            </w:r>
          </w:p>
        </w:tc>
        <w:tc>
          <w:tcPr>
            <w:tcW w:type="dxa" w:w="5112"/>
            <w:shd w:fill="DCEFF6"/>
            <w:tcMar>
              <w:top w:w="90" w:type="dxa"/>
              <w:start w:w="110" w:type="dxa"/>
              <w:bottom w:w="90" w:type="dxa"/>
              <w:end w:w="110" w:type="dxa"/>
            </w:tcMar>
            <w:vAlign w:val="top"/>
          </w:tcPr>
          <w:p>
            <w:pPr>
              <w:keepNext/>
              <w:keepLines/>
            </w:pPr>
            <w:r>
              <w:rPr>
                <w:color w:val="243B53"/>
                <w:sz w:val="17"/>
              </w:rPr>
              <w:t>A Report Is One Action, Not the Whole Plan</w:t>
            </w:r>
          </w:p>
        </w:tc>
      </w:tr>
    </w:tbl>
    <w:p>
      <w:pPr>
        <w:pStyle w:val="CTALabel"/>
        <w:keepNext/>
      </w:pPr>
      <w:r>
        <w:t>Narration</w:t>
      </w:r>
    </w:p>
    <w:p>
      <w:pPr>
        <w:pStyle w:val="CTANarration"/>
        <w:keepLines/>
        <w:ind w:left="259" w:right="173"/>
      </w:pPr>
      <w:r>
        <w:t>A mandated or protective report does not complete the clinical response. The client may still need safety planning, medical care, emotional support, coordination, documentation, and follow-up. Conversely, providing therapy does not substitute for a required report. On the exam, identify whether the question is asking about assessment, reporting, immediate protection, stabilization, or treatment, because these actions occur at different points in the sequence.</w:t>
      </w:r>
    </w:p>
    <w:p>
      <w:pPr>
        <w:pStyle w:val="Heading2"/>
        <w:keepNext/>
      </w:pPr>
      <w:r>
        <w:t>Slide 8: Determine the Least Restrictive Safe Level of Care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continuum from outpatient support to urgent evaluation and emergency intervention.</w:t>
            </w:r>
          </w:p>
        </w:tc>
        <w:tc>
          <w:tcPr>
            <w:tcW w:type="dxa" w:w="5112"/>
            <w:shd w:fill="DCEFF6"/>
            <w:tcMar>
              <w:top w:w="90" w:type="dxa"/>
              <w:start w:w="110" w:type="dxa"/>
              <w:bottom w:w="90" w:type="dxa"/>
              <w:end w:w="110" w:type="dxa"/>
            </w:tcMar>
            <w:vAlign w:val="top"/>
          </w:tcPr>
          <w:p>
            <w:pPr>
              <w:keepNext/>
              <w:keepLines/>
            </w:pPr>
            <w:r>
              <w:rPr>
                <w:color w:val="243B53"/>
                <w:sz w:val="17"/>
              </w:rPr>
              <w:t>Match the Level of Care to the Supported Risk</w:t>
            </w:r>
          </w:p>
        </w:tc>
      </w:tr>
    </w:tbl>
    <w:p>
      <w:pPr>
        <w:pStyle w:val="CTALabel"/>
        <w:keepNext/>
      </w:pPr>
      <w:r>
        <w:t>Narration</w:t>
      </w:r>
    </w:p>
    <w:p>
      <w:pPr>
        <w:pStyle w:val="CTANarration"/>
        <w:keepLines/>
        <w:ind w:left="259" w:right="173"/>
      </w:pPr>
      <w:r>
        <w:t>Choose the least restrictive level of care that can safely manage the situation. Some clients can remain in outpatient care with a detailed safety plan, reliable supports, reduced access to means, and close follow-up. Others require urgent psychiatric or medical evaluation, crisis services, or emergency intervention. Do not hospitalize automatically because risk exists, and do not rely on outpatient planning when the client cannot maintain safety.</w:t>
      </w:r>
    </w:p>
    <w:p>
      <w:pPr>
        <w:pStyle w:val="Heading2"/>
        <w:keepNext/>
      </w:pPr>
      <w:r>
        <w:t>Slide 9: Stabilize and Mobilize Supports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safety plan connecting coping steps, supportive people, crisis resources, and concrete next actions.</w:t>
            </w:r>
          </w:p>
        </w:tc>
        <w:tc>
          <w:tcPr>
            <w:tcW w:type="dxa" w:w="5112"/>
            <w:shd w:fill="DCEFF6"/>
            <w:tcMar>
              <w:top w:w="90" w:type="dxa"/>
              <w:start w:w="110" w:type="dxa"/>
              <w:bottom w:w="90" w:type="dxa"/>
              <w:end w:w="110" w:type="dxa"/>
            </w:tcMar>
            <w:vAlign w:val="top"/>
          </w:tcPr>
          <w:p>
            <w:pPr>
              <w:keepNext/>
              <w:keepLines/>
            </w:pPr>
            <w:r>
              <w:rPr>
                <w:color w:val="243B53"/>
                <w:sz w:val="17"/>
              </w:rPr>
              <w:t>Reduce Danger • Increase Support • Make the Handoff Explicit</w:t>
            </w:r>
          </w:p>
        </w:tc>
      </w:tr>
    </w:tbl>
    <w:p>
      <w:pPr>
        <w:pStyle w:val="CTALabel"/>
        <w:keepNext/>
      </w:pPr>
      <w:r>
        <w:t>Narration</w:t>
      </w:r>
    </w:p>
    <w:p>
      <w:pPr>
        <w:pStyle w:val="CTANarration"/>
        <w:keepLines/>
        <w:ind w:left="259" w:right="173"/>
      </w:pPr>
      <w:r>
        <w:t>After determining the required response, reduce immediate danger when feasible, identify supportive people, arrange transportation or emergency contact, clarify crisis resources, and make the next handoff explicit. Include the client in decisions whenever possible. A safety plan should be specific, realistic, and connected to the actual risk. It is not a generic worksheet and it is not a substitute for a higher level of care when needed.</w:t>
      </w:r>
    </w:p>
    <w:p>
      <w:pPr>
        <w:pStyle w:val="Heading2"/>
        <w:keepNext/>
      </w:pPr>
      <w:r>
        <w:t>Slide 10: Limit Confidentiality Only as Necessary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narrow disclosure channel from the social worker to the appropriate recipient.</w:t>
            </w:r>
          </w:p>
        </w:tc>
        <w:tc>
          <w:tcPr>
            <w:tcW w:type="dxa" w:w="5112"/>
            <w:shd w:fill="DCEFF6"/>
            <w:tcMar>
              <w:top w:w="90" w:type="dxa"/>
              <w:start w:w="110" w:type="dxa"/>
              <w:bottom w:w="90" w:type="dxa"/>
              <w:end w:w="110" w:type="dxa"/>
            </w:tcMar>
            <w:vAlign w:val="top"/>
          </w:tcPr>
          <w:p>
            <w:pPr>
              <w:keepNext/>
              <w:keepLines/>
            </w:pPr>
            <w:r>
              <w:rPr>
                <w:color w:val="243B53"/>
                <w:sz w:val="17"/>
              </w:rPr>
              <w:t>Share Only What the Safety Purpose Requires</w:t>
            </w:r>
          </w:p>
        </w:tc>
      </w:tr>
    </w:tbl>
    <w:p>
      <w:pPr>
        <w:pStyle w:val="CTALabel"/>
        <w:keepNext/>
      </w:pPr>
      <w:r>
        <w:t>Narration</w:t>
      </w:r>
    </w:p>
    <w:p>
      <w:pPr>
        <w:pStyle w:val="CTANarration"/>
        <w:keepLines/>
        <w:ind w:left="259" w:right="173"/>
      </w:pPr>
      <w:r>
        <w:t>If confidentiality must be limited for safety, reporting, or emergency coordination, disclose only the information needed to the appropriate recipient. Explain the limit to the client when safe and feasible. Document the basis for disclosure, what was shared, with whom, and why. Crisis does not erase privacy, dignity, or the client’s right to understand what is happening.</w:t>
      </w:r>
    </w:p>
    <w:p>
      <w:pPr>
        <w:pStyle w:val="Heading2"/>
        <w:keepNext/>
      </w:pPr>
      <w:r>
        <w:t>Slide 11: Example: Passive Death Statement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client says, “Everyone would be better without me,” while the social worker moves to direct assessment.</w:t>
            </w:r>
          </w:p>
        </w:tc>
        <w:tc>
          <w:tcPr>
            <w:tcW w:type="dxa" w:w="5112"/>
            <w:shd w:fill="DCEFF6"/>
            <w:tcMar>
              <w:top w:w="90" w:type="dxa"/>
              <w:start w:w="110" w:type="dxa"/>
              <w:bottom w:w="90" w:type="dxa"/>
              <w:end w:w="110" w:type="dxa"/>
            </w:tcMar>
            <w:vAlign w:val="top"/>
          </w:tcPr>
          <w:p>
            <w:pPr>
              <w:keepNext/>
              <w:keepLines/>
            </w:pPr>
            <w:r>
              <w:rPr>
                <w:color w:val="243B53"/>
                <w:sz w:val="17"/>
              </w:rPr>
              <w:t>Do Not Reassure or Change the Subject</w:t>
            </w:r>
          </w:p>
        </w:tc>
      </w:tr>
    </w:tbl>
    <w:p>
      <w:pPr>
        <w:pStyle w:val="CTALabel"/>
        <w:keepNext/>
      </w:pPr>
      <w:r>
        <w:t>Narration</w:t>
      </w:r>
    </w:p>
    <w:p>
      <w:pPr>
        <w:pStyle w:val="CTANarration"/>
        <w:keepLines/>
        <w:ind w:left="259" w:right="173"/>
      </w:pPr>
      <w:r>
        <w:t>A client says, “Sometimes I think everyone would be better without me,” and then changes the subject. The social worker should ask directly about current suicidal thoughts, intent, plan, access, past behavior, and protective factors. Following the new topic to preserve rapport leaves a supported safety concern unassessed. Direct inquiry is the next step; the level of intervention comes after the risk is clarified.</w:t>
      </w:r>
    </w:p>
    <w:p>
      <w:pPr>
        <w:pStyle w:val="Heading2"/>
        <w:keepNext/>
      </w:pPr>
      <w:r>
        <w:t>Slide 12: Example: Child Safety and Caregiver Impairment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sedated caregiver, young children, and a home-safety plan.</w:t>
            </w:r>
          </w:p>
        </w:tc>
        <w:tc>
          <w:tcPr>
            <w:tcW w:type="dxa" w:w="5112"/>
            <w:shd w:fill="DCEFF6"/>
            <w:tcMar>
              <w:top w:w="90" w:type="dxa"/>
              <w:start w:w="110" w:type="dxa"/>
              <w:bottom w:w="90" w:type="dxa"/>
              <w:end w:w="110" w:type="dxa"/>
            </w:tcMar>
            <w:vAlign w:val="top"/>
          </w:tcPr>
          <w:p>
            <w:pPr>
              <w:keepNext/>
              <w:keepLines/>
            </w:pPr>
            <w:r>
              <w:rPr>
                <w:color w:val="243B53"/>
                <w:sz w:val="17"/>
              </w:rPr>
              <w:t>Secure Safe Supervision and Assess the Cause</w:t>
            </w:r>
          </w:p>
        </w:tc>
      </w:tr>
    </w:tbl>
    <w:p>
      <w:pPr>
        <w:pStyle w:val="CTALabel"/>
        <w:keepNext/>
      </w:pPr>
      <w:r>
        <w:t>Narration</w:t>
      </w:r>
    </w:p>
    <w:p>
      <w:pPr>
        <w:pStyle w:val="CTANarration"/>
        <w:keepLines/>
        <w:ind w:left="259" w:right="173"/>
      </w:pPr>
      <w:r>
        <w:t>A caregiver reports falling asleep while supervising young children after starting a sedating medication, and a household hazard has already occurred. The social worker should assess the children’s immediate supervision and home safety, the caregiver’s current impairment, available supports, and the need for medical review. Do not direct a medication change, and do not focus only on guilt while the current caregiving risk remains unresolved.</w:t>
      </w:r>
    </w:p>
    <w:p>
      <w:pPr>
        <w:pStyle w:val="Heading2"/>
        <w:keepNext/>
      </w:pPr>
      <w:r>
        <w:t>Slide 13: Common Crisis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Warning signs: vague promise, delayed action, automatic hospitalization, excessive disclosure, and reporting-only response.</w:t>
            </w:r>
          </w:p>
        </w:tc>
        <w:tc>
          <w:tcPr>
            <w:tcW w:type="dxa" w:w="5112"/>
            <w:shd w:fill="DCEFF6"/>
            <w:tcMar>
              <w:top w:w="90" w:type="dxa"/>
              <w:start w:w="110" w:type="dxa"/>
              <w:bottom w:w="90" w:type="dxa"/>
              <w:end w:w="110" w:type="dxa"/>
            </w:tcMar>
            <w:vAlign w:val="top"/>
          </w:tcPr>
          <w:p>
            <w:pPr>
              <w:keepNext/>
              <w:keepLines/>
            </w:pPr>
            <w:r>
              <w:rPr>
                <w:color w:val="243B53"/>
                <w:sz w:val="17"/>
              </w:rPr>
              <w:t>Avoid Underreaction and Overreaction</w:t>
            </w:r>
          </w:p>
        </w:tc>
      </w:tr>
    </w:tbl>
    <w:p>
      <w:pPr>
        <w:pStyle w:val="CTALabel"/>
        <w:keepNext/>
      </w:pPr>
      <w:r>
        <w:t>Narration</w:t>
      </w:r>
    </w:p>
    <w:p>
      <w:pPr>
        <w:pStyle w:val="CTANarration"/>
        <w:keepLines/>
        <w:ind w:left="259" w:right="173"/>
      </w:pPr>
      <w:r>
        <w:t>Common traps include relying on a safety promise, delaying medical care, automatically hospitalizing without assessing risk, disclosing more information than necessary, or treating a report as the complete response. Another trap is beginning therapy techniques while immediate danger remains unclear. Strong answers assess directly, match the response to the supported risk, stabilize, coordinate, and follow up.</w:t>
      </w:r>
    </w:p>
    <w:p>
      <w:pPr>
        <w:pStyle w:val="Heading2"/>
        <w:keepNext/>
      </w:pPr>
      <w:r>
        <w:t>Slide 14: Your Crisis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compact sequence: immediate safety, direct assessment, duty or level of care, stabilization, disclosure, documentation, follow-up.</w:t>
            </w:r>
          </w:p>
        </w:tc>
        <w:tc>
          <w:tcPr>
            <w:tcW w:type="dxa" w:w="5112"/>
            <w:shd w:fill="DCEFF6"/>
            <w:tcMar>
              <w:top w:w="90" w:type="dxa"/>
              <w:start w:w="110" w:type="dxa"/>
              <w:bottom w:w="90" w:type="dxa"/>
              <w:end w:w="110" w:type="dxa"/>
            </w:tcMar>
            <w:vAlign w:val="top"/>
          </w:tcPr>
          <w:p>
            <w:pPr>
              <w:keepNext/>
              <w:keepLines/>
            </w:pPr>
            <w:r>
              <w:rPr>
                <w:color w:val="243B53"/>
                <w:sz w:val="17"/>
              </w:rPr>
              <w:t>Safety → Assess → Protect/Report → Stabilize → Document → Follow Up</w:t>
            </w:r>
          </w:p>
        </w:tc>
      </w:tr>
    </w:tbl>
    <w:p>
      <w:pPr>
        <w:pStyle w:val="CTALabel"/>
        <w:keepNext/>
      </w:pPr>
      <w:r>
        <w:t>Narration</w:t>
      </w:r>
    </w:p>
    <w:p>
      <w:pPr>
        <w:pStyle w:val="CTANarration"/>
        <w:keepLines/>
        <w:ind w:left="259" w:right="173"/>
      </w:pPr>
      <w:r>
        <w:t>Before answering, ask: What is the immediate safety or medical concern? What direct assessment is still needed? Does a reporting, protective, or level-of-care decision apply? How will the situation be stabilized? What disclosure is necessary? What must be documented and followed up? This sequence keeps crisis reasoning proportionate and prevents both dangerous delay and unnecessary overreaction.</w:t>
      </w:r>
    </w:p>
    <w:p>
      <w:pPr>
        <w:pStyle w:val="Heading1"/>
      </w:pPr>
      <w:r>
        <w:t>Audio-Only Adaptation Notes</w:t>
      </w:r>
    </w:p>
    <w:p>
      <w:pPr>
        <w:pStyle w:val="ListBullet"/>
        <w:spacing w:after="40"/>
        <w:ind w:left="360" w:hanging="216"/>
      </w:pPr>
      <w:r>
        <w:t>Read the crisis sequence slowly and clearly.</w:t>
      </w:r>
    </w:p>
    <w:p>
      <w:pPr>
        <w:pStyle w:val="ListBullet"/>
        <w:spacing w:after="40"/>
        <w:ind w:left="360" w:hanging="216"/>
      </w:pPr>
      <w:r>
        <w:t>Use direct terms such as suicide, violence, abuse, and neglect without euphemism.</w:t>
      </w:r>
    </w:p>
    <w:p>
      <w:pPr>
        <w:pStyle w:val="ListBullet"/>
        <w:spacing w:after="40"/>
        <w:ind w:left="360" w:hanging="216"/>
      </w:pPr>
      <w:r>
        <w:t>Emphasize that reporting and treatment are separate responsibilities.</w:t>
      </w:r>
    </w:p>
    <w:p>
      <w:pPr>
        <w:pStyle w:val="ListBullet"/>
        <w:spacing w:after="40"/>
        <w:ind w:left="360" w:hanging="216"/>
      </w:pPr>
      <w:r>
        <w:t>End by asking the student to identify the immediate risk before selecting any intervention.</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anchor all LCSW crisis questions in immediate safety, direct assessment, proportionate protection, stabilization, minimum necessary disclosure, documentation, and follow-up.</w:t>
            </w:r>
          </w:p>
        </w:tc>
      </w:tr>
    </w:tbl>
    <w:p>
      <w:pPr>
        <w:spacing w:after="20"/>
      </w:pPr>
    </w:p>
    <w:p>
      <w:pPr>
        <w:pStyle w:val="CTASmall"/>
        <w:jc w:val="center"/>
      </w:pPr>
      <w:r>
        <w:t>Educational exam-preparation content. CTA is not affiliated with or endorsed by the Association of Social Work Boards, Pearson VUE, or any licensing authority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Safety, Abuse, and Neglect</dc:title>
  <dc:subject>CTA LCSW Multimedia Script 04</dc:subject>
  <dc:creator>Clinical Training Academy</dc:creator>
  <cp:keywords>LCSW, ASWB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