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Intervention, Case Management, and Advocacy</w:t>
      </w:r>
    </w:p>
    <w:p>
      <w:pPr>
        <w:jc w:val="center"/>
      </w:pPr>
      <w:r>
        <w:rPr>
          <w:rFonts w:ascii="Aptos Display" w:hAnsi="Aptos Display"/>
          <w:b/>
          <w:color w:val="2AA7D6"/>
          <w:sz w:val="32"/>
        </w:rPr>
        <w:t>LCSW-Specific Multimedia Script 05</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select the intervention level that matches the problem, coordinate services through completion, and advocate in a client-centered and proportionate manner.</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preparing for intervention, service coordination, resource, case-management, and advocacy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paired with Clinical Interventions, Trauma-Informed Practice, and Case Management, Advocacy, Resources, and Collaboration.</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Workbooks 7, 8, 9, and 10, with ethical and evaluation reinforcement from Workbooks 2 and 11.</w:t>
            </w:r>
          </w:p>
        </w:tc>
      </w:tr>
    </w:tbl>
    <w:p>
      <w:pPr>
        <w:spacing w:after="20"/>
      </w:pPr>
    </w:p>
    <w:p>
      <w:pPr>
        <w:pStyle w:val="Heading1"/>
      </w:pPr>
      <w:r>
        <w:t>Learning Outcomes</w:t>
      </w:r>
    </w:p>
    <w:p>
      <w:pPr>
        <w:pStyle w:val="ListBullet"/>
        <w:spacing w:after="40"/>
        <w:ind w:left="360" w:hanging="216"/>
      </w:pPr>
      <w:r>
        <w:t>Match the intervention level to the stated barrier and client goal.</w:t>
      </w:r>
    </w:p>
    <w:p>
      <w:pPr>
        <w:pStyle w:val="ListBullet"/>
        <w:spacing w:after="40"/>
        <w:ind w:left="360" w:hanging="216"/>
      </w:pPr>
      <w:r>
        <w:t>Distinguish therapy, case management, referral, and advocacy functions.</w:t>
      </w:r>
    </w:p>
    <w:p>
      <w:pPr>
        <w:pStyle w:val="ListBullet"/>
        <w:spacing w:after="40"/>
        <w:ind w:left="360" w:hanging="216"/>
      </w:pPr>
      <w:r>
        <w:t>Use warm handoffs, role clarity, and follow-up.</w:t>
      </w:r>
    </w:p>
    <w:p>
      <w:pPr>
        <w:pStyle w:val="ListBullet"/>
        <w:spacing w:after="40"/>
        <w:ind w:left="360" w:hanging="216"/>
      </w:pPr>
      <w:r>
        <w:t>Choose the least intrusive effective advocacy response.</w:t>
      </w:r>
    </w:p>
    <w:p>
      <w:pPr>
        <w:pStyle w:val="Heading1"/>
      </w:pPr>
      <w:r>
        <w:t>Voice and Presentation Direction</w:t>
      </w:r>
    </w:p>
    <w:p>
      <w:pPr>
        <w:pStyle w:val="ListBullet"/>
        <w:spacing w:after="40"/>
        <w:ind w:left="360" w:hanging="216"/>
      </w:pPr>
      <w:r>
        <w:t>Center client participation in every intervention example.</w:t>
      </w:r>
    </w:p>
    <w:p>
      <w:pPr>
        <w:pStyle w:val="ListBullet"/>
        <w:spacing w:after="40"/>
        <w:ind w:left="360" w:hanging="216"/>
      </w:pPr>
      <w:r>
        <w:t>Explain access and feasibility as part of clinical fit.</w:t>
      </w:r>
    </w:p>
    <w:p>
      <w:pPr>
        <w:pStyle w:val="ListBullet"/>
        <w:spacing w:after="40"/>
        <w:ind w:left="360" w:hanging="216"/>
      </w:pPr>
      <w:r>
        <w:t>Avoid implying that resource provision alone completes case management.</w:t>
      </w:r>
    </w:p>
    <w:p>
      <w:pPr>
        <w:pStyle w:val="ListBullet"/>
        <w:spacing w:after="40"/>
        <w:ind w:left="360" w:hanging="216"/>
      </w:pPr>
      <w:r>
        <w:t>Reinforce evaluation and revision after action.</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practical, action-oriented examples. Distinguish intervention from referral, case management from taking over, and advocacy from imposing the professional’s agenda.</w:t>
            </w:r>
          </w:p>
        </w:tc>
      </w:tr>
    </w:tbl>
    <w:p>
      <w:pPr>
        <w:spacing w:after="20"/>
      </w:pPr>
    </w:p>
    <w:p>
      <w:pPr>
        <w:pStyle w:val="Heading1"/>
      </w:pPr>
      <w:r>
        <w:t>Slide-by-Slide Script</w:t>
      </w:r>
    </w:p>
    <w:p>
      <w:pPr>
        <w:pStyle w:val="Heading2"/>
        <w:keepNext/>
      </w:pPr>
      <w:r>
        <w:t>Slide 1: Choose the Level That Fits the Problem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problem matched to individual, family, group, case-management, organizational, and community interventions.</w:t>
            </w:r>
          </w:p>
        </w:tc>
        <w:tc>
          <w:tcPr>
            <w:tcW w:type="dxa" w:w="5112"/>
            <w:shd w:fill="DCEFF6"/>
            <w:tcMar>
              <w:top w:w="90" w:type="dxa"/>
              <w:start w:w="110" w:type="dxa"/>
              <w:bottom w:w="90" w:type="dxa"/>
              <w:end w:w="110" w:type="dxa"/>
            </w:tcMar>
            <w:vAlign w:val="top"/>
          </w:tcPr>
          <w:p>
            <w:pPr>
              <w:keepNext/>
              <w:keepLines/>
            </w:pPr>
            <w:r>
              <w:rPr>
                <w:color w:val="243B53"/>
                <w:sz w:val="17"/>
              </w:rPr>
              <w:t>The Best Action Targets the Maintaining Barrier</w:t>
            </w:r>
          </w:p>
        </w:tc>
      </w:tr>
    </w:tbl>
    <w:p>
      <w:pPr>
        <w:pStyle w:val="CTALabel"/>
        <w:keepNext/>
      </w:pPr>
      <w:r>
        <w:t>Narration</w:t>
      </w:r>
    </w:p>
    <w:p>
      <w:pPr>
        <w:pStyle w:val="CTANarration"/>
        <w:keepLines/>
        <w:ind w:left="259" w:right="173"/>
      </w:pPr>
      <w:r>
        <w:t>LCSW intervention questions often include several helpful options. The best answer is the one that addresses the stated need at the correct level and time. A coping skill may help distress, but it will not resolve an urgent eviction deadline. A referral may identify a service, but it does not guarantee access. Advocacy may be needed when the barrier is organizational or systemic. First identify what is maintaining the problem and what the client wants to change.</w:t>
      </w:r>
    </w:p>
    <w:p>
      <w:pPr>
        <w:pStyle w:val="Heading2"/>
        <w:keepNext/>
      </w:pPr>
      <w:r>
        <w:t>Slide 2: Link Intervention to Assessment and Plan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Assessment and client goal leading to intervention selection.</w:t>
            </w:r>
          </w:p>
        </w:tc>
        <w:tc>
          <w:tcPr>
            <w:tcW w:type="dxa" w:w="5112"/>
            <w:shd w:fill="DCEFF6"/>
            <w:tcMar>
              <w:top w:w="90" w:type="dxa"/>
              <w:start w:w="110" w:type="dxa"/>
              <w:bottom w:w="90" w:type="dxa"/>
              <w:end w:w="110" w:type="dxa"/>
            </w:tcMar>
            <w:vAlign w:val="top"/>
          </w:tcPr>
          <w:p>
            <w:pPr>
              <w:keepNext/>
              <w:keepLines/>
            </w:pPr>
            <w:r>
              <w:rPr>
                <w:color w:val="243B53"/>
                <w:sz w:val="17"/>
              </w:rPr>
              <w:t>Need + Goal + Context = Intervention</w:t>
            </w:r>
          </w:p>
        </w:tc>
      </w:tr>
    </w:tbl>
    <w:p>
      <w:pPr>
        <w:pStyle w:val="CTALabel"/>
        <w:keepNext/>
      </w:pPr>
      <w:r>
        <w:t>Narration</w:t>
      </w:r>
    </w:p>
    <w:p>
      <w:pPr>
        <w:pStyle w:val="CTANarration"/>
        <w:keepLines/>
        <w:ind w:left="259" w:right="173"/>
      </w:pPr>
      <w:r>
        <w:t>Intervention should follow from the assessment and collaborative plan. Clarify the priority need, the client’s goal, safety, readiness, strengths, and environmental barriers. Then select the action that is most likely to move the stated target. Avoid choosing a technique simply because it is familiar or evidence-based in general. The question is whether it fits this client, this problem, this setting, and this point in the sequence.</w:t>
      </w:r>
    </w:p>
    <w:p>
      <w:pPr>
        <w:pStyle w:val="Heading2"/>
        <w:keepNext/>
      </w:pPr>
      <w:r>
        <w:t>Slide 3: Distinguish Therapy From Case Management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Two overlapping lanes: clinical change and service coordination.</w:t>
            </w:r>
          </w:p>
        </w:tc>
        <w:tc>
          <w:tcPr>
            <w:tcW w:type="dxa" w:w="5112"/>
            <w:shd w:fill="DCEFF6"/>
            <w:tcMar>
              <w:top w:w="90" w:type="dxa"/>
              <w:start w:w="110" w:type="dxa"/>
              <w:bottom w:w="90" w:type="dxa"/>
              <w:end w:w="110" w:type="dxa"/>
            </w:tcMar>
            <w:vAlign w:val="top"/>
          </w:tcPr>
          <w:p>
            <w:pPr>
              <w:keepNext/>
              <w:keepLines/>
            </w:pPr>
            <w:r>
              <w:rPr>
                <w:color w:val="243B53"/>
                <w:sz w:val="17"/>
              </w:rPr>
              <w:t>Therapy Changes Clinical Patterns • Case Management Connects Systems</w:t>
            </w:r>
          </w:p>
        </w:tc>
      </w:tr>
    </w:tbl>
    <w:p>
      <w:pPr>
        <w:pStyle w:val="CTALabel"/>
        <w:keepNext/>
      </w:pPr>
      <w:r>
        <w:t>Narration</w:t>
      </w:r>
    </w:p>
    <w:p>
      <w:pPr>
        <w:pStyle w:val="CTANarration"/>
        <w:keepLines/>
        <w:ind w:left="259" w:right="173"/>
      </w:pPr>
      <w:r>
        <w:t>Therapy focuses on symptoms, coping, relationships, behavior, meaning, and change processes. Case management connects assessment, planning, resources, coordination, monitoring, and continuity across systems. The functions can overlap, but they are not the same. A client may need trauma treatment and also help coordinating housing, benefits, medical care, transportation, and legal resources. The exam may test whether you add the missing coordination function rather than substituting one service for another.</w:t>
      </w:r>
    </w:p>
    <w:p>
      <w:pPr>
        <w:pStyle w:val="Heading2"/>
        <w:keepNext/>
      </w:pPr>
      <w:r>
        <w:t>Slide 4: A Referral Is Not Complete at the Phone Number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referral pathway extending through eligibility, access, handoff, and confirmation.</w:t>
            </w:r>
          </w:p>
        </w:tc>
        <w:tc>
          <w:tcPr>
            <w:tcW w:type="dxa" w:w="5112"/>
            <w:shd w:fill="DCEFF6"/>
            <w:tcMar>
              <w:top w:w="90" w:type="dxa"/>
              <w:start w:w="110" w:type="dxa"/>
              <w:bottom w:w="90" w:type="dxa"/>
              <w:end w:w="110" w:type="dxa"/>
            </w:tcMar>
            <w:vAlign w:val="top"/>
          </w:tcPr>
          <w:p>
            <w:pPr>
              <w:keepNext/>
              <w:keepLines/>
            </w:pPr>
            <w:r>
              <w:rPr>
                <w:color w:val="243B53"/>
                <w:sz w:val="17"/>
              </w:rPr>
              <w:t>Fit • Access • Responsibility • Follow-Through</w:t>
            </w:r>
          </w:p>
        </w:tc>
      </w:tr>
    </w:tbl>
    <w:p>
      <w:pPr>
        <w:pStyle w:val="CTALabel"/>
        <w:keepNext/>
      </w:pPr>
      <w:r>
        <w:t>Narration</w:t>
      </w:r>
    </w:p>
    <w:p>
      <w:pPr>
        <w:pStyle w:val="CTANarration"/>
        <w:keepLines/>
        <w:ind w:left="259" w:right="173"/>
      </w:pPr>
      <w:r>
        <w:t>Effective referral requires more than naming an agency. Confirm that the service matches the need, that the client is eligible, and that cost, language, disability, transportation, scheduling, technology, and safety barriers have been considered. Clarify who will make contact and when. Use a warm handoff when needed and set a follow-up point. The referral is clinically useful only when the client can actually reach and use the service.</w:t>
      </w:r>
    </w:p>
    <w:p>
      <w:pPr>
        <w:pStyle w:val="Heading2"/>
        <w:keepNext/>
      </w:pPr>
      <w:r>
        <w:t>Slide 5: Use the BRIDGE Coordination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The word BRIDGE with six coordination steps.</w:t>
            </w:r>
          </w:p>
        </w:tc>
        <w:tc>
          <w:tcPr>
            <w:tcW w:type="dxa" w:w="5112"/>
            <w:shd w:fill="DCEFF6"/>
            <w:tcMar>
              <w:top w:w="90" w:type="dxa"/>
              <w:start w:w="110" w:type="dxa"/>
              <w:bottom w:w="90" w:type="dxa"/>
              <w:end w:w="110" w:type="dxa"/>
            </w:tcMar>
            <w:vAlign w:val="top"/>
          </w:tcPr>
          <w:p>
            <w:pPr>
              <w:keepNext/>
              <w:keepLines/>
            </w:pPr>
            <w:r>
              <w:rPr>
                <w:color w:val="243B53"/>
                <w:sz w:val="17"/>
              </w:rPr>
              <w:t>Begin • Respect • Identify • Design • Guide • Evaluate</w:t>
            </w:r>
          </w:p>
        </w:tc>
      </w:tr>
    </w:tbl>
    <w:p>
      <w:pPr>
        <w:pStyle w:val="CTALabel"/>
        <w:keepNext/>
      </w:pPr>
      <w:r>
        <w:t>Narration</w:t>
      </w:r>
    </w:p>
    <w:p>
      <w:pPr>
        <w:pStyle w:val="CTANarration"/>
        <w:keepLines/>
        <w:ind w:left="259" w:right="173"/>
      </w:pPr>
      <w:r>
        <w:t>A practical CTA coordination sequence is BRIDGE. Begin with the priority need. Respect the client’s goals, consent, and preferred role. Identify people, systems, eligibility rules, and barriers. Design a plan with clear responsibilities and deadlines. Guide the handoff and communication. Evaluate access, follow-through, and outcomes. This sequence turns case management into an accountable process rather than a collection of disconnected referrals.</w:t>
      </w:r>
    </w:p>
    <w:p>
      <w:pPr>
        <w:pStyle w:val="Heading2"/>
        <w:keepNext/>
      </w:pPr>
      <w:r>
        <w:t>Slide 6: Clarify Roles and Responsibility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responsibility map showing client, social worker, agency, provider, and support person.</w:t>
            </w:r>
          </w:p>
        </w:tc>
        <w:tc>
          <w:tcPr>
            <w:tcW w:type="dxa" w:w="5112"/>
            <w:shd w:fill="DCEFF6"/>
            <w:tcMar>
              <w:top w:w="90" w:type="dxa"/>
              <w:start w:w="110" w:type="dxa"/>
              <w:bottom w:w="90" w:type="dxa"/>
              <w:end w:w="110" w:type="dxa"/>
            </w:tcMar>
            <w:vAlign w:val="top"/>
          </w:tcPr>
          <w:p>
            <w:pPr>
              <w:keepNext/>
              <w:keepLines/>
            </w:pPr>
            <w:r>
              <w:rPr>
                <w:color w:val="243B53"/>
                <w:sz w:val="17"/>
              </w:rPr>
              <w:t>Who Will Do What, By When?</w:t>
            </w:r>
          </w:p>
        </w:tc>
      </w:tr>
    </w:tbl>
    <w:p>
      <w:pPr>
        <w:pStyle w:val="CTALabel"/>
        <w:keepNext/>
      </w:pPr>
      <w:r>
        <w:t>Narration</w:t>
      </w:r>
    </w:p>
    <w:p>
      <w:pPr>
        <w:pStyle w:val="CTANarration"/>
        <w:keepLines/>
        <w:ind w:left="259" w:right="173"/>
      </w:pPr>
      <w:r>
        <w:t>Coordination fails when everyone assumes someone else is responsible. State who will contact the agency, obtain consent, send information, arrange transportation, attend the meeting, and confirm the result. Preserve the client’s agency by asking which steps the client wants to handle and where support is needed. The social worker coordinates and advocates without silently taking over every task or abandoning the client to a confusing system.</w:t>
      </w:r>
    </w:p>
    <w:p>
      <w:pPr>
        <w:pStyle w:val="Heading2"/>
        <w:keepNext/>
      </w:pPr>
      <w:r>
        <w:t>Slide 7: Use Trauma-Informed Intervention Principles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Trauma-informed principles: safety, choice, collaboration, trust, empowerment, and cultural responsiveness.</w:t>
            </w:r>
          </w:p>
        </w:tc>
        <w:tc>
          <w:tcPr>
            <w:tcW w:type="dxa" w:w="5112"/>
            <w:shd w:fill="DCEFF6"/>
            <w:tcMar>
              <w:top w:w="90" w:type="dxa"/>
              <w:start w:w="110" w:type="dxa"/>
              <w:bottom w:w="90" w:type="dxa"/>
              <w:end w:w="110" w:type="dxa"/>
            </w:tcMar>
            <w:vAlign w:val="top"/>
          </w:tcPr>
          <w:p>
            <w:pPr>
              <w:keepNext/>
              <w:keepLines/>
            </w:pPr>
            <w:r>
              <w:rPr>
                <w:color w:val="243B53"/>
                <w:sz w:val="17"/>
              </w:rPr>
              <w:t>Safety • Choice • Collaboration • Empowerment</w:t>
            </w:r>
          </w:p>
        </w:tc>
      </w:tr>
    </w:tbl>
    <w:p>
      <w:pPr>
        <w:pStyle w:val="CTALabel"/>
        <w:keepNext/>
      </w:pPr>
      <w:r>
        <w:t>Narration</w:t>
      </w:r>
    </w:p>
    <w:p>
      <w:pPr>
        <w:pStyle w:val="CTANarration"/>
        <w:keepLines/>
        <w:ind w:left="259" w:right="173"/>
      </w:pPr>
      <w:r>
        <w:t>Trauma-informed practice emphasizes physical and emotional safety, transparency, choice, collaboration, strengths, cultural responsiveness, and avoidance of unnecessary coercion. It does not mean avoiding difficult topics or assuming every behavior is caused by trauma. The intervention should reduce preventable power struggles, explain what will happen, support control where possible, and pace exposure or disclosure according to readiness and safety.</w:t>
      </w:r>
    </w:p>
    <w:p>
      <w:pPr>
        <w:pStyle w:val="Heading2"/>
        <w:keepNext/>
      </w:pPr>
      <w:r>
        <w:t>Slide 8: Match Modality to the Clinical Target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Individual, family, couple, group, and community formats matched to targets.</w:t>
            </w:r>
          </w:p>
        </w:tc>
        <w:tc>
          <w:tcPr>
            <w:tcW w:type="dxa" w:w="5112"/>
            <w:shd w:fill="DCEFF6"/>
            <w:tcMar>
              <w:top w:w="90" w:type="dxa"/>
              <w:start w:w="110" w:type="dxa"/>
              <w:bottom w:w="90" w:type="dxa"/>
              <w:end w:w="110" w:type="dxa"/>
            </w:tcMar>
            <w:vAlign w:val="top"/>
          </w:tcPr>
          <w:p>
            <w:pPr>
              <w:keepNext/>
              <w:keepLines/>
            </w:pPr>
            <w:r>
              <w:rPr>
                <w:color w:val="243B53"/>
                <w:sz w:val="17"/>
              </w:rPr>
              <w:t>Choose the Format That Can Change the Target</w:t>
            </w:r>
          </w:p>
        </w:tc>
      </w:tr>
    </w:tbl>
    <w:p>
      <w:pPr>
        <w:pStyle w:val="CTALabel"/>
        <w:keepNext/>
      </w:pPr>
      <w:r>
        <w:t>Narration</w:t>
      </w:r>
    </w:p>
    <w:p>
      <w:pPr>
        <w:pStyle w:val="CTANarration"/>
        <w:keepLines/>
        <w:ind w:left="259" w:right="173"/>
      </w:pPr>
      <w:r>
        <w:t>Individual intervention may target coping or symptoms. Family or couple work may address interactional patterns. Group intervention may provide skills, support, universality, or interpersonal learning. Community or organizational action may address a shared barrier. Choose the format that can realistically change the target, considering safety, consent, readiness, and access. Do not select conjoint work when coercion or retaliation makes participation unsafe.</w:t>
      </w:r>
    </w:p>
    <w:p>
      <w:pPr>
        <w:pStyle w:val="Heading2"/>
        <w:keepNext/>
      </w:pPr>
      <w:r>
        <w:t>Slide 9: Advocate at the Least Intrusive Effective Level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An advocacy ladder: information, coaching, direct contact, organizational escalation, systems action.</w:t>
            </w:r>
          </w:p>
        </w:tc>
        <w:tc>
          <w:tcPr>
            <w:tcW w:type="dxa" w:w="5112"/>
            <w:shd w:fill="DCEFF6"/>
            <w:tcMar>
              <w:top w:w="90" w:type="dxa"/>
              <w:start w:w="110" w:type="dxa"/>
              <w:bottom w:w="90" w:type="dxa"/>
              <w:end w:w="110" w:type="dxa"/>
            </w:tcMar>
            <w:vAlign w:val="top"/>
          </w:tcPr>
          <w:p>
            <w:pPr>
              <w:keepNext/>
              <w:keepLines/>
            </w:pPr>
            <w:r>
              <w:rPr>
                <w:color w:val="243B53"/>
                <w:sz w:val="17"/>
              </w:rPr>
              <w:t>Start With the Client’s Goal and the Smallest Effective Step</w:t>
            </w:r>
          </w:p>
        </w:tc>
      </w:tr>
    </w:tbl>
    <w:p>
      <w:pPr>
        <w:pStyle w:val="CTALabel"/>
        <w:keepNext/>
      </w:pPr>
      <w:r>
        <w:t>Narration</w:t>
      </w:r>
    </w:p>
    <w:p>
      <w:pPr>
        <w:pStyle w:val="CTANarration"/>
        <w:keepLines/>
        <w:ind w:left="259" w:right="173"/>
      </w:pPr>
      <w:r>
        <w:t>Advocacy begins with the client’s goal, the barrier, the risks, and the client’s desired level of participation. The least intrusive effective action may be helping the client prepare, clarifying a policy, making a supported call, requesting an accommodation, escalating within an organization, or pursuing broader systems change. Do not assume that the most confrontational action is strongest. Match the advocacy level to the barrier and preserve privacy and client control.</w:t>
      </w:r>
    </w:p>
    <w:p>
      <w:pPr>
        <w:pStyle w:val="Heading2"/>
        <w:keepNext/>
      </w:pPr>
      <w:r>
        <w:t>Slide 10: Address Access Before Labeling Noncompliance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blocked service path with practical barriers being assessed.</w:t>
            </w:r>
          </w:p>
        </w:tc>
        <w:tc>
          <w:tcPr>
            <w:tcW w:type="dxa" w:w="5112"/>
            <w:shd w:fill="DCEFF6"/>
            <w:tcMar>
              <w:top w:w="90" w:type="dxa"/>
              <w:start w:w="110" w:type="dxa"/>
              <w:bottom w:w="90" w:type="dxa"/>
              <w:end w:w="110" w:type="dxa"/>
            </w:tcMar>
            <w:vAlign w:val="top"/>
          </w:tcPr>
          <w:p>
            <w:pPr>
              <w:keepNext/>
              <w:keepLines/>
            </w:pPr>
            <w:r>
              <w:rPr>
                <w:color w:val="243B53"/>
                <w:sz w:val="17"/>
              </w:rPr>
              <w:t>Test the System Before Blaming the Client</w:t>
            </w:r>
          </w:p>
        </w:tc>
      </w:tr>
    </w:tbl>
    <w:p>
      <w:pPr>
        <w:pStyle w:val="CTALabel"/>
        <w:keepNext/>
      </w:pPr>
      <w:r>
        <w:t>Narration</w:t>
      </w:r>
    </w:p>
    <w:p>
      <w:pPr>
        <w:pStyle w:val="CTANarration"/>
        <w:keepLines/>
        <w:ind w:left="259" w:right="173"/>
      </w:pPr>
      <w:r>
        <w:t>When a client does not follow through, assess whether the plan was understandable, accessible, affordable, culturally responsive, and aligned with the client’s priorities. Ask about transportation, technology, language, disability, work, childcare, fear, and prior experiences with the system. Revise the plan when the barrier is practical or systemic. Accountability matters, but it should be based on accurate assessment rather than moral judgment.</w:t>
      </w:r>
    </w:p>
    <w:p>
      <w:pPr>
        <w:pStyle w:val="Heading2"/>
        <w:keepNext/>
      </w:pPr>
      <w:r>
        <w:t>Slide 11: Example: Multiple Urgent Needs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client facing medical risk, housing instability, and fragmented services.</w:t>
            </w:r>
          </w:p>
        </w:tc>
        <w:tc>
          <w:tcPr>
            <w:tcW w:type="dxa" w:w="5112"/>
            <w:shd w:fill="DCEFF6"/>
            <w:tcMar>
              <w:top w:w="90" w:type="dxa"/>
              <w:start w:w="110" w:type="dxa"/>
              <w:bottom w:w="90" w:type="dxa"/>
              <w:end w:w="110" w:type="dxa"/>
            </w:tcMar>
            <w:vAlign w:val="top"/>
          </w:tcPr>
          <w:p>
            <w:pPr>
              <w:keepNext/>
              <w:keepLines/>
            </w:pPr>
            <w:r>
              <w:rPr>
                <w:color w:val="243B53"/>
                <w:sz w:val="17"/>
              </w:rPr>
              <w:t>Prioritize, Coordinate, and Set Follow-Up</w:t>
            </w:r>
          </w:p>
        </w:tc>
      </w:tr>
    </w:tbl>
    <w:p>
      <w:pPr>
        <w:pStyle w:val="CTALabel"/>
        <w:keepNext/>
      </w:pPr>
      <w:r>
        <w:t>Narration</w:t>
      </w:r>
    </w:p>
    <w:p>
      <w:pPr>
        <w:pStyle w:val="CTANarration"/>
        <w:keepLines/>
        <w:ind w:left="259" w:right="173"/>
      </w:pPr>
      <w:r>
        <w:t>A client has worsening medical symptoms, unstable housing, and several unconnected referrals. The best response is not to give another list or transfer the entire case. Prioritize medical and housing safety with the client, map the relevant providers and barriers, obtain consent for necessary coordination, begin accessible warm handoffs, assign responsibility, and set a follow-up point. The intervention integrates clinical urgency with practical continuity.</w:t>
      </w:r>
    </w:p>
    <w:p>
      <w:pPr>
        <w:pStyle w:val="Heading2"/>
        <w:keepNext/>
      </w:pPr>
      <w:r>
        <w:t>Slide 12: Example: Denied Accommodation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client and social worker reviewing a denied disability accommodation and escalation options.</w:t>
            </w:r>
          </w:p>
        </w:tc>
        <w:tc>
          <w:tcPr>
            <w:tcW w:type="dxa" w:w="5112"/>
            <w:shd w:fill="DCEFF6"/>
            <w:tcMar>
              <w:top w:w="90" w:type="dxa"/>
              <w:start w:w="110" w:type="dxa"/>
              <w:bottom w:w="90" w:type="dxa"/>
              <w:end w:w="110" w:type="dxa"/>
            </w:tcMar>
            <w:vAlign w:val="top"/>
          </w:tcPr>
          <w:p>
            <w:pPr>
              <w:keepNext/>
              <w:keepLines/>
            </w:pPr>
            <w:r>
              <w:rPr>
                <w:color w:val="243B53"/>
                <w:sz w:val="17"/>
              </w:rPr>
              <w:t>Clarify the Goal, Policy, Evidence, and Next Level</w:t>
            </w:r>
          </w:p>
        </w:tc>
      </w:tr>
    </w:tbl>
    <w:p>
      <w:pPr>
        <w:pStyle w:val="CTALabel"/>
        <w:keepNext/>
      </w:pPr>
      <w:r>
        <w:t>Narration</w:t>
      </w:r>
    </w:p>
    <w:p>
      <w:pPr>
        <w:pStyle w:val="CTANarration"/>
        <w:keepLines/>
        <w:ind w:left="259" w:right="173"/>
      </w:pPr>
      <w:r>
        <w:t>A client reports that an agency denied a needed disability accommodation. Begin by clarifying what the client requested, the stated reason for denial, relevant documentation, risks, and the client’s preferred role. The next action may be to help the client make a clearer request, contact the appropriate office with consent, or escalate through a grievance process. Media or legal action may be considered later, but not automatically as the first step.</w:t>
      </w:r>
    </w:p>
    <w:p>
      <w:pPr>
        <w:pStyle w:val="Heading2"/>
        <w:keepNext/>
      </w:pPr>
      <w:r>
        <w:t>Slide 13: Common Intervention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Warning signs: technique before assessment, referral list only, taking over, and over-escalating advocacy.</w:t>
            </w:r>
          </w:p>
        </w:tc>
        <w:tc>
          <w:tcPr>
            <w:tcW w:type="dxa" w:w="5112"/>
            <w:shd w:fill="DCEFF6"/>
            <w:tcMar>
              <w:top w:w="90" w:type="dxa"/>
              <w:start w:w="110" w:type="dxa"/>
              <w:bottom w:w="90" w:type="dxa"/>
              <w:end w:w="110" w:type="dxa"/>
            </w:tcMar>
            <w:vAlign w:val="top"/>
          </w:tcPr>
          <w:p>
            <w:pPr>
              <w:keepNext/>
              <w:keepLines/>
            </w:pPr>
            <w:r>
              <w:rPr>
                <w:color w:val="243B53"/>
                <w:sz w:val="17"/>
              </w:rPr>
              <w:t>Avoid Premature, Incomplete, and Overcontrolling Actions</w:t>
            </w:r>
          </w:p>
        </w:tc>
      </w:tr>
    </w:tbl>
    <w:p>
      <w:pPr>
        <w:pStyle w:val="CTALabel"/>
        <w:keepNext/>
      </w:pPr>
      <w:r>
        <w:t>Narration</w:t>
      </w:r>
    </w:p>
    <w:p>
      <w:pPr>
        <w:pStyle w:val="CTANarration"/>
        <w:keepLines/>
        <w:ind w:left="259" w:right="173"/>
      </w:pPr>
      <w:r>
        <w:t>Common traps include choosing a therapy technique before clarifying the target, treating a resource list as case management, assuming responsibility that belongs to another provider, excluding the client from coordination, or escalating advocacy before understanding the barrier and risk. Another trap is failing to evaluate whether the intervention worked. Strong answers connect assessment, action, responsibility, access, and follow-up.</w:t>
      </w:r>
    </w:p>
    <w:p>
      <w:pPr>
        <w:pStyle w:val="Heading2"/>
        <w:keepNext/>
      </w:pPr>
      <w:r>
        <w:t>Slide 14: Your Intervention and Advocacy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compact check: target, level, fit, access, responsibility, follow-up.</w:t>
            </w:r>
          </w:p>
        </w:tc>
        <w:tc>
          <w:tcPr>
            <w:tcW w:type="dxa" w:w="5112"/>
            <w:shd w:fill="DCEFF6"/>
            <w:tcMar>
              <w:top w:w="90" w:type="dxa"/>
              <w:start w:w="110" w:type="dxa"/>
              <w:bottom w:w="90" w:type="dxa"/>
              <w:end w:w="110" w:type="dxa"/>
            </w:tcMar>
            <w:vAlign w:val="top"/>
          </w:tcPr>
          <w:p>
            <w:pPr>
              <w:keepNext/>
              <w:keepLines/>
            </w:pPr>
            <w:r>
              <w:rPr>
                <w:color w:val="243B53"/>
                <w:sz w:val="17"/>
              </w:rPr>
              <w:t>Target • Level • Fit • Access • Responsibility • Follow-Up</w:t>
            </w:r>
          </w:p>
        </w:tc>
      </w:tr>
    </w:tbl>
    <w:p>
      <w:pPr>
        <w:pStyle w:val="CTALabel"/>
        <w:keepNext/>
      </w:pPr>
      <w:r>
        <w:t>Narration</w:t>
      </w:r>
    </w:p>
    <w:p>
      <w:pPr>
        <w:pStyle w:val="CTANarration"/>
        <w:keepLines/>
        <w:ind w:left="259" w:right="173"/>
      </w:pPr>
      <w:r>
        <w:t>Before answering, ask: What is the priority target? At what level is the maintaining barrier? Does the intervention fit the client’s goals, readiness, culture, and safety? Can the service be accessed? Who is responsible for each step? How will follow-through and outcome be evaluated? This check helps you distinguish a helpful idea from a complete, well-timed social work intervention.</w:t>
      </w:r>
    </w:p>
    <w:p>
      <w:pPr>
        <w:pStyle w:val="Heading1"/>
      </w:pPr>
      <w:r>
        <w:t>Audio-Only Adaptation Notes</w:t>
      </w:r>
    </w:p>
    <w:p>
      <w:pPr>
        <w:pStyle w:val="ListBullet"/>
        <w:spacing w:after="40"/>
        <w:ind w:left="360" w:hanging="216"/>
      </w:pPr>
      <w:r>
        <w:t>Spell out the BRIDGE sequence and pause briefly between each step.</w:t>
      </w:r>
    </w:p>
    <w:p>
      <w:pPr>
        <w:pStyle w:val="ListBullet"/>
        <w:spacing w:after="40"/>
        <w:ind w:left="360" w:hanging="216"/>
      </w:pPr>
      <w:r>
        <w:t>Describe the difference between therapy and case management clearly.</w:t>
      </w:r>
    </w:p>
    <w:p>
      <w:pPr>
        <w:pStyle w:val="ListBullet"/>
        <w:spacing w:after="40"/>
        <w:ind w:left="360" w:hanging="216"/>
      </w:pPr>
      <w:r>
        <w:t>Emphasize that referral includes access and follow-up.</w:t>
      </w:r>
    </w:p>
    <w:p>
      <w:pPr>
        <w:pStyle w:val="ListBullet"/>
        <w:spacing w:after="40"/>
        <w:ind w:left="360" w:hanging="216"/>
      </w:pPr>
      <w:r>
        <w:t>End by asking the student to identify the level of intervention in the next vignette.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connect LCSW intervention, case management, referral, advocacy, and evaluation into one accountable, client-centered sequence.</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Intervention, Case Management, and Advocacy</dc:title>
  <dc:subject>CTA LCSW Multimedia Script 05</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