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Collaboration and Interdisciplinary Practice</w:t>
      </w:r>
    </w:p>
    <w:p>
      <w:pPr>
        <w:jc w:val="center"/>
      </w:pPr>
      <w:r>
        <w:rPr>
          <w:rFonts w:ascii="Aptos Display" w:hAnsi="Aptos Display"/>
          <w:b/>
          <w:color w:val="2AA7D6"/>
          <w:sz w:val="32"/>
        </w:rPr>
        <w:t>LCSW-Specific Multimedia Script 06</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LCSW candidates to collaborate across professions and systems while preserving role clarity, consent, privacy, client participation, and accountable follow-through.</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preparing for interdisciplinary, care-coordination, supervision, consultation, and organizational-practice questions.</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LCSW Profession-Specific Strategy Library, paired with Case Management, Advocacy, Resources, and Collaboration and Practice Evaluation, Research, Supervision, and Administration.</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Workbooks 10 and 11, with ethical and planning reinforcement from Workbooks 2 and 7.</w:t>
            </w:r>
          </w:p>
        </w:tc>
      </w:tr>
    </w:tbl>
    <w:p>
      <w:pPr>
        <w:spacing w:after="20"/>
      </w:pPr>
    </w:p>
    <w:p>
      <w:pPr>
        <w:pStyle w:val="Heading1"/>
      </w:pPr>
      <w:r>
        <w:t>Learning Outcomes</w:t>
      </w:r>
    </w:p>
    <w:p>
      <w:pPr>
        <w:pStyle w:val="ListBullet"/>
        <w:spacing w:after="40"/>
        <w:ind w:left="360" w:hanging="216"/>
      </w:pPr>
      <w:r>
        <w:t>Clarify the purpose, roles, authority, and responsibilities of collaboration.</w:t>
      </w:r>
    </w:p>
    <w:p>
      <w:pPr>
        <w:pStyle w:val="ListBullet"/>
        <w:spacing w:after="40"/>
        <w:ind w:left="360" w:hanging="216"/>
      </w:pPr>
      <w:r>
        <w:t>Obtain appropriate consent and limit information sharing.</w:t>
      </w:r>
    </w:p>
    <w:p>
      <w:pPr>
        <w:pStyle w:val="ListBullet"/>
        <w:spacing w:after="40"/>
        <w:ind w:left="360" w:hanging="216"/>
      </w:pPr>
      <w:r>
        <w:t>Use consultation, supervision, and team communication effectively.</w:t>
      </w:r>
    </w:p>
    <w:p>
      <w:pPr>
        <w:pStyle w:val="ListBullet"/>
        <w:spacing w:after="40"/>
        <w:ind w:left="360" w:hanging="216"/>
      </w:pPr>
      <w:r>
        <w:t>Confirm handoffs, resolve disagreement, and evaluate coordinated care.</w:t>
      </w:r>
    </w:p>
    <w:p>
      <w:pPr>
        <w:pStyle w:val="Heading1"/>
      </w:pPr>
      <w:r>
        <w:t>Voice and Presentation Direction</w:t>
      </w:r>
    </w:p>
    <w:p>
      <w:pPr>
        <w:pStyle w:val="ListBullet"/>
        <w:spacing w:after="40"/>
        <w:ind w:left="360" w:hanging="216"/>
      </w:pPr>
      <w:r>
        <w:t>Keep the client at the center of every team example.</w:t>
      </w:r>
    </w:p>
    <w:p>
      <w:pPr>
        <w:pStyle w:val="ListBullet"/>
        <w:spacing w:after="40"/>
        <w:ind w:left="360" w:hanging="216"/>
      </w:pPr>
      <w:r>
        <w:t>Distinguish consultation from transfer of responsibility.</w:t>
      </w:r>
    </w:p>
    <w:p>
      <w:pPr>
        <w:pStyle w:val="ListBullet"/>
        <w:spacing w:after="40"/>
        <w:ind w:left="360" w:hanging="216"/>
      </w:pPr>
      <w:r>
        <w:t>Use respectful language about other disciplines and organizational roles.</w:t>
      </w:r>
    </w:p>
    <w:p>
      <w:pPr>
        <w:pStyle w:val="ListBullet"/>
        <w:spacing w:after="40"/>
        <w:ind w:left="360" w:hanging="216"/>
      </w:pPr>
      <w:r>
        <w:t>Reinforce documentation of decisions, tasks, and follow-up.</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practical team examples. Emphasize that collaboration does not erase professional scope, confidentiality, client choice, or responsibility for follow-through.</w:t>
            </w:r>
          </w:p>
        </w:tc>
      </w:tr>
    </w:tbl>
    <w:p>
      <w:pPr>
        <w:spacing w:after="20"/>
      </w:pPr>
    </w:p>
    <w:p>
      <w:pPr>
        <w:pStyle w:val="Heading1"/>
      </w:pPr>
      <w:r>
        <w:t>Slide-by-Slide Script</w:t>
      </w:r>
    </w:p>
    <w:p>
      <w:pPr>
        <w:pStyle w:val="Heading2"/>
        <w:keepNext/>
      </w:pPr>
      <w:r>
        <w:t>Slide 1: Collaboration Is a Clinical Skill</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client-centered team map with clear communication and responsibility lines.</w:t>
            </w:r>
          </w:p>
        </w:tc>
        <w:tc>
          <w:tcPr>
            <w:tcW w:type="dxa" w:w="5112"/>
            <w:shd w:fill="DCEFF6"/>
            <w:tcMar>
              <w:top w:w="90" w:type="dxa"/>
              <w:start w:w="110" w:type="dxa"/>
              <w:bottom w:w="90" w:type="dxa"/>
              <w:end w:w="110" w:type="dxa"/>
            </w:tcMar>
            <w:vAlign w:val="top"/>
          </w:tcPr>
          <w:p>
            <w:pPr>
              <w:keepNext/>
              <w:keepLines/>
            </w:pPr>
            <w:r>
              <w:rPr>
                <w:color w:val="243B53"/>
                <w:sz w:val="17"/>
              </w:rPr>
              <w:t>Shared Work Requires Clear Roles</w:t>
            </w:r>
          </w:p>
        </w:tc>
      </w:tr>
    </w:tbl>
    <w:p>
      <w:pPr>
        <w:pStyle w:val="CTALabel"/>
        <w:keepNext/>
      </w:pPr>
      <w:r>
        <w:t>Narration</w:t>
      </w:r>
    </w:p>
    <w:p>
      <w:pPr>
        <w:pStyle w:val="CTANarration"/>
        <w:keepLines/>
        <w:ind w:left="259" w:right="173"/>
      </w:pPr>
      <w:r>
        <w:t>Collaboration is more than being agreeable with other professionals. It requires a shared purpose, clear roles, appropriate information sharing, client participation, and follow-through. The exam may present a physician, school, probation officer, family member, agency, or community provider. The best answer identifies who has authority and responsibility, what consent is needed, and what coordinated action will move the client’s goal forward.</w:t>
      </w:r>
    </w:p>
    <w:p>
      <w:pPr>
        <w:pStyle w:val="Heading2"/>
        <w:keepNext/>
      </w:pPr>
      <w:r>
        <w:t>Slide 2: Start With the Purpose of Collaboration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meeting agenda centered on a specific client need and outcome.</w:t>
            </w:r>
          </w:p>
        </w:tc>
        <w:tc>
          <w:tcPr>
            <w:tcW w:type="dxa" w:w="5112"/>
            <w:shd w:fill="DCEFF6"/>
            <w:tcMar>
              <w:top w:w="90" w:type="dxa"/>
              <w:start w:w="110" w:type="dxa"/>
              <w:bottom w:w="90" w:type="dxa"/>
              <w:end w:w="110" w:type="dxa"/>
            </w:tcMar>
            <w:vAlign w:val="top"/>
          </w:tcPr>
          <w:p>
            <w:pPr>
              <w:keepNext/>
              <w:keepLines/>
            </w:pPr>
            <w:r>
              <w:rPr>
                <w:color w:val="243B53"/>
                <w:sz w:val="17"/>
              </w:rPr>
              <w:t>Why Are We Coordinating?</w:t>
            </w:r>
          </w:p>
        </w:tc>
      </w:tr>
    </w:tbl>
    <w:p>
      <w:pPr>
        <w:pStyle w:val="CTALabel"/>
        <w:keepNext/>
      </w:pPr>
      <w:r>
        <w:t>Narration</w:t>
      </w:r>
    </w:p>
    <w:p>
      <w:pPr>
        <w:pStyle w:val="CTANarration"/>
        <w:keepLines/>
        <w:ind w:left="259" w:right="173"/>
      </w:pPr>
      <w:r>
        <w:t>Before contacting another person or convening a team, clarify the purpose. Is the goal to exchange assessment information, coordinate medication and symptoms, plan discharge, address school functioning, arrange housing, manage safety, or clarify service eligibility? A specific purpose determines who should be involved, what information is relevant, and what outcome should result. Collaboration without a defined purpose can create unnecessary disclosure and confusion.</w:t>
      </w:r>
    </w:p>
    <w:p>
      <w:pPr>
        <w:pStyle w:val="Heading2"/>
        <w:keepNext/>
      </w:pPr>
      <w:r>
        <w:t>Slide 3: Clarify Roles, Authority, and Scope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team role map showing social worker, medical provider, school, agency, client, and support person.</w:t>
            </w:r>
          </w:p>
        </w:tc>
        <w:tc>
          <w:tcPr>
            <w:tcW w:type="dxa" w:w="5112"/>
            <w:shd w:fill="DCEFF6"/>
            <w:tcMar>
              <w:top w:w="90" w:type="dxa"/>
              <w:start w:w="110" w:type="dxa"/>
              <w:bottom w:w="90" w:type="dxa"/>
              <w:end w:w="110" w:type="dxa"/>
            </w:tcMar>
            <w:vAlign w:val="top"/>
          </w:tcPr>
          <w:p>
            <w:pPr>
              <w:keepNext/>
              <w:keepLines/>
            </w:pPr>
            <w:r>
              <w:rPr>
                <w:color w:val="243B53"/>
                <w:sz w:val="17"/>
              </w:rPr>
              <w:t>Who Can Decide? Who Must Act?</w:t>
            </w:r>
          </w:p>
        </w:tc>
      </w:tr>
    </w:tbl>
    <w:p>
      <w:pPr>
        <w:pStyle w:val="CTALabel"/>
        <w:keepNext/>
      </w:pPr>
      <w:r>
        <w:t>Narration</w:t>
      </w:r>
    </w:p>
    <w:p>
      <w:pPr>
        <w:pStyle w:val="CTANarration"/>
        <w:keepLines/>
        <w:ind w:left="259" w:right="173"/>
      </w:pPr>
      <w:r>
        <w:t>Different team members hold different authority and expertise. The physician manages medical treatment, the school controls educational services, the agency determines eligibility, and the social worker may assess, coordinate, advocate, or provide treatment within role. Clarify who can make each decision and who is responsible for the next task. Do not assume that participation in a team meeting transfers another professional’s duty to the social worker.</w:t>
      </w:r>
    </w:p>
    <w:p>
      <w:pPr>
        <w:pStyle w:val="Heading2"/>
        <w:keepNext/>
      </w:pPr>
      <w:r>
        <w:t>Slide 4: Obtain Consent and Explain Information Sharing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consent pathway defining recipient, purpose, information, and time.</w:t>
            </w:r>
          </w:p>
        </w:tc>
        <w:tc>
          <w:tcPr>
            <w:tcW w:type="dxa" w:w="5112"/>
            <w:shd w:fill="DCEFF6"/>
            <w:tcMar>
              <w:top w:w="90" w:type="dxa"/>
              <w:start w:w="110" w:type="dxa"/>
              <w:bottom w:w="90" w:type="dxa"/>
              <w:end w:w="110" w:type="dxa"/>
            </w:tcMar>
            <w:vAlign w:val="top"/>
          </w:tcPr>
          <w:p>
            <w:pPr>
              <w:keepNext/>
              <w:keepLines/>
            </w:pPr>
            <w:r>
              <w:rPr>
                <w:color w:val="243B53"/>
                <w:sz w:val="17"/>
              </w:rPr>
              <w:t>Who • What • Why • How Long</w:t>
            </w:r>
          </w:p>
        </w:tc>
      </w:tr>
    </w:tbl>
    <w:p>
      <w:pPr>
        <w:pStyle w:val="CTALabel"/>
        <w:keepNext/>
      </w:pPr>
      <w:r>
        <w:t>Narration</w:t>
      </w:r>
    </w:p>
    <w:p>
      <w:pPr>
        <w:pStyle w:val="CTANarration"/>
        <w:keepLines/>
        <w:ind w:left="259" w:right="173"/>
      </w:pPr>
      <w:r>
        <w:t>When consent is required, make it meaningful. Explain who will receive information, what will be shared, why it is needed, how long authorization lasts, and any foreseeable consequences. The client should understand that consent can often be limited or revoked, subject to applicable law and the service context. Avoid broad releases merely for convenience. If an exception allows disclosure, share only what serves the specific purpose.</w:t>
      </w:r>
    </w:p>
    <w:p>
      <w:pPr>
        <w:pStyle w:val="Heading2"/>
        <w:keepNext/>
      </w:pPr>
      <w:r>
        <w:t>Slide 5: Use Minimum Necessary Communication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large case record narrowed to a small relevant information set.</w:t>
            </w:r>
          </w:p>
        </w:tc>
        <w:tc>
          <w:tcPr>
            <w:tcW w:type="dxa" w:w="5112"/>
            <w:shd w:fill="DCEFF6"/>
            <w:tcMar>
              <w:top w:w="90" w:type="dxa"/>
              <w:start w:w="110" w:type="dxa"/>
              <w:bottom w:w="90" w:type="dxa"/>
              <w:end w:w="110" w:type="dxa"/>
            </w:tcMar>
            <w:vAlign w:val="top"/>
          </w:tcPr>
          <w:p>
            <w:pPr>
              <w:keepNext/>
              <w:keepLines/>
            </w:pPr>
            <w:r>
              <w:rPr>
                <w:color w:val="243B53"/>
                <w:sz w:val="17"/>
              </w:rPr>
              <w:t>Relevant, Authorized, and No Broader Than Needed</w:t>
            </w:r>
          </w:p>
        </w:tc>
      </w:tr>
    </w:tbl>
    <w:p>
      <w:pPr>
        <w:pStyle w:val="CTALabel"/>
        <w:keepNext/>
      </w:pPr>
      <w:r>
        <w:t>Narration</w:t>
      </w:r>
    </w:p>
    <w:p>
      <w:pPr>
        <w:pStyle w:val="CTANarration"/>
        <w:keepLines/>
        <w:ind w:left="259" w:right="173"/>
      </w:pPr>
      <w:r>
        <w:t>Team members do not automatically need the entire clinical record. Share the information relevant to the collaborative task. A housing provider may need functional or accommodation information, not a complete trauma history. A medical provider may need symptom timing, medication adherence, or safety concerns. Minimum necessary communication protects privacy while still allowing effective coordination.</w:t>
      </w:r>
    </w:p>
    <w:p>
      <w:pPr>
        <w:pStyle w:val="Heading2"/>
        <w:keepNext/>
      </w:pPr>
      <w:r>
        <w:t>Slide 6: Keep the Client in the Team</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The client actively participating in a care conference rather than being discussed outside the circle.</w:t>
            </w:r>
          </w:p>
        </w:tc>
        <w:tc>
          <w:tcPr>
            <w:tcW w:type="dxa" w:w="5112"/>
            <w:shd w:fill="DCEFF6"/>
            <w:tcMar>
              <w:top w:w="90" w:type="dxa"/>
              <w:start w:w="110" w:type="dxa"/>
              <w:bottom w:w="90" w:type="dxa"/>
              <w:end w:w="110" w:type="dxa"/>
            </w:tcMar>
            <w:vAlign w:val="top"/>
          </w:tcPr>
          <w:p>
            <w:pPr>
              <w:keepNext/>
              <w:keepLines/>
            </w:pPr>
            <w:r>
              <w:rPr>
                <w:color w:val="243B53"/>
                <w:sz w:val="17"/>
              </w:rPr>
              <w:t>Nothing About the Client Without the Client When Feasible</w:t>
            </w:r>
          </w:p>
        </w:tc>
      </w:tr>
    </w:tbl>
    <w:p>
      <w:pPr>
        <w:pStyle w:val="CTALabel"/>
        <w:keepNext/>
      </w:pPr>
      <w:r>
        <w:t>Narration</w:t>
      </w:r>
    </w:p>
    <w:p>
      <w:pPr>
        <w:pStyle w:val="CTANarration"/>
        <w:keepLines/>
        <w:ind w:left="259" w:right="173"/>
      </w:pPr>
      <w:r>
        <w:t>Collaboration should not turn the client into an object of professional discussion. Ask how the client wants to participate, what information the client wants emphasized, and what concerns the client has about the team. Prepare the client for meetings and review decisions afterward. In some urgent or legally defined situations, full participation may not be possible, but the social worker should preserve transparency and involvement to the greatest safe extent.</w:t>
      </w:r>
    </w:p>
    <w:p>
      <w:pPr>
        <w:pStyle w:val="Heading2"/>
        <w:keepNext/>
      </w:pPr>
      <w:r>
        <w:t>Slide 7: Use Consultation and Supervision Correctly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social worker bringing a focused question and relevant facts to consultation.</w:t>
            </w:r>
          </w:p>
        </w:tc>
        <w:tc>
          <w:tcPr>
            <w:tcW w:type="dxa" w:w="5112"/>
            <w:shd w:fill="DCEFF6"/>
            <w:tcMar>
              <w:top w:w="90" w:type="dxa"/>
              <w:start w:w="110" w:type="dxa"/>
              <w:bottom w:w="90" w:type="dxa"/>
              <w:end w:w="110" w:type="dxa"/>
            </w:tcMar>
            <w:vAlign w:val="top"/>
          </w:tcPr>
          <w:p>
            <w:pPr>
              <w:keepNext/>
              <w:keepLines/>
            </w:pPr>
            <w:r>
              <w:rPr>
                <w:color w:val="243B53"/>
                <w:sz w:val="17"/>
              </w:rPr>
              <w:t>Clarify the Question • Bring the Facts • Retain Responsibility</w:t>
            </w:r>
          </w:p>
        </w:tc>
      </w:tr>
    </w:tbl>
    <w:p>
      <w:pPr>
        <w:pStyle w:val="CTALabel"/>
        <w:keepNext/>
      </w:pPr>
      <w:r>
        <w:t>Narration</w:t>
      </w:r>
    </w:p>
    <w:p>
      <w:pPr>
        <w:pStyle w:val="CTANarration"/>
        <w:keepLines/>
        <w:ind w:left="259" w:right="173"/>
      </w:pPr>
      <w:r>
        <w:t>Effective consultation begins with a focused question, relevant facts, identified uncertainty, and awareness of role and risk. Supervision can support competence, policy interpretation, and ethical reasoning. Consultation does not transfer responsibility for the final professional decision. Document the guidance received, how it informed the action, and any remaining steps. In emergencies, do not delay necessary protection while waiting for routine consultation.</w:t>
      </w:r>
    </w:p>
    <w:p>
      <w:pPr>
        <w:pStyle w:val="Heading2"/>
        <w:keepNext/>
      </w:pPr>
      <w:r>
        <w:t>Slide 8: Communicate in a Structured Way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structured handoff: situation, background, assessment, request, responsibility, follow-up.</w:t>
            </w:r>
          </w:p>
        </w:tc>
        <w:tc>
          <w:tcPr>
            <w:tcW w:type="dxa" w:w="5112"/>
            <w:shd w:fill="DCEFF6"/>
            <w:tcMar>
              <w:top w:w="90" w:type="dxa"/>
              <w:start w:w="110" w:type="dxa"/>
              <w:bottom w:w="90" w:type="dxa"/>
              <w:end w:w="110" w:type="dxa"/>
            </w:tcMar>
            <w:vAlign w:val="top"/>
          </w:tcPr>
          <w:p>
            <w:pPr>
              <w:keepNext/>
              <w:keepLines/>
            </w:pPr>
            <w:r>
              <w:rPr>
                <w:color w:val="243B53"/>
                <w:sz w:val="17"/>
              </w:rPr>
              <w:t>Situation • Relevant Background • Assessment • Request • Next Step</w:t>
            </w:r>
          </w:p>
        </w:tc>
      </w:tr>
    </w:tbl>
    <w:p>
      <w:pPr>
        <w:pStyle w:val="CTALabel"/>
        <w:keepNext/>
      </w:pPr>
      <w:r>
        <w:t>Narration</w:t>
      </w:r>
    </w:p>
    <w:p>
      <w:pPr>
        <w:pStyle w:val="CTANarration"/>
        <w:keepLines/>
        <w:ind w:left="259" w:right="173"/>
      </w:pPr>
      <w:r>
        <w:t>Team communication should be concise and actionable. State the current situation, relevant background, your assessment within role, the specific request, and what response or next step is needed. Confirm who will act and by when. Avoid vague messages such as “Please follow up” when the task is urgent. Structured communication reduces missed information, duplicated effort, and assumptions about responsibility.</w:t>
      </w:r>
    </w:p>
    <w:p>
      <w:pPr>
        <w:pStyle w:val="Heading2"/>
        <w:keepNext/>
      </w:pPr>
      <w:r>
        <w:t>Slide 9: Make Warm Handoffs and Close the Loop</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handoff moving from contact to acceptance, appointment, attendance, and outcome.</w:t>
            </w:r>
          </w:p>
        </w:tc>
        <w:tc>
          <w:tcPr>
            <w:tcW w:type="dxa" w:w="5112"/>
            <w:shd w:fill="DCEFF6"/>
            <w:tcMar>
              <w:top w:w="90" w:type="dxa"/>
              <w:start w:w="110" w:type="dxa"/>
              <w:bottom w:w="90" w:type="dxa"/>
              <w:end w:w="110" w:type="dxa"/>
            </w:tcMar>
            <w:vAlign w:val="top"/>
          </w:tcPr>
          <w:p>
            <w:pPr>
              <w:keepNext/>
              <w:keepLines/>
            </w:pPr>
            <w:r>
              <w:rPr>
                <w:color w:val="243B53"/>
                <w:sz w:val="17"/>
              </w:rPr>
              <w:t>Contact → Acceptance → Appointment → Follow-Up</w:t>
            </w:r>
          </w:p>
        </w:tc>
      </w:tr>
    </w:tbl>
    <w:p>
      <w:pPr>
        <w:pStyle w:val="CTALabel"/>
        <w:keepNext/>
      </w:pPr>
      <w:r>
        <w:t>Narration</w:t>
      </w:r>
    </w:p>
    <w:p>
      <w:pPr>
        <w:pStyle w:val="CTANarration"/>
        <w:keepLines/>
        <w:ind w:left="259" w:right="173"/>
      </w:pPr>
      <w:r>
        <w:t>A handoff is not complete when a referral is sent. Confirm that the receiving service accepted the referral, that the client understands the next step, that access barriers are addressed, and that someone will verify the result. A warm handoff may involve a joint call, introduction, transfer of relevant information with consent, and a scheduled follow-up. Closing the loop protects continuity and reveals when the plan needs revision.</w:t>
      </w:r>
    </w:p>
    <w:p>
      <w:pPr>
        <w:pStyle w:val="Heading2"/>
        <w:keepNext/>
      </w:pPr>
      <w:r>
        <w:t>Slide 10: Resolve Team Disagreement Professionally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Two professionals comparing evidence, role, policy, and client goals at a decision table.</w:t>
            </w:r>
          </w:p>
        </w:tc>
        <w:tc>
          <w:tcPr>
            <w:tcW w:type="dxa" w:w="5112"/>
            <w:shd w:fill="DCEFF6"/>
            <w:tcMar>
              <w:top w:w="90" w:type="dxa"/>
              <w:start w:w="110" w:type="dxa"/>
              <w:bottom w:w="90" w:type="dxa"/>
              <w:end w:w="110" w:type="dxa"/>
            </w:tcMar>
            <w:vAlign w:val="top"/>
          </w:tcPr>
          <w:p>
            <w:pPr>
              <w:keepNext/>
              <w:keepLines/>
            </w:pPr>
            <w:r>
              <w:rPr>
                <w:color w:val="243B53"/>
                <w:sz w:val="17"/>
              </w:rPr>
              <w:t>Clarify Facts, Roles, Risk, and the Client’s Goal</w:t>
            </w:r>
          </w:p>
        </w:tc>
      </w:tr>
    </w:tbl>
    <w:p>
      <w:pPr>
        <w:pStyle w:val="CTALabel"/>
        <w:keepNext/>
      </w:pPr>
      <w:r>
        <w:t>Narration</w:t>
      </w:r>
    </w:p>
    <w:p>
      <w:pPr>
        <w:pStyle w:val="CTANarration"/>
        <w:keepLines/>
        <w:ind w:left="259" w:right="173"/>
      </w:pPr>
      <w:r>
        <w:t>When team members disagree, avoid personalizing the conflict or simply deferring to the highest-status professional. Clarify the facts, each role, the client’s goals, safety concerns, applicable policy, and the evidence supporting each position. Seek a shared plan or appropriate escalation path. If the disagreement creates risk or an ethical concern, consult supervision and document the issue, proposed resolution, and follow-up.</w:t>
      </w:r>
    </w:p>
    <w:p>
      <w:pPr>
        <w:pStyle w:val="Heading2"/>
        <w:keepNext/>
      </w:pPr>
      <w:r>
        <w:t>Slide 11: Example: Hospital Discharge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A discharge team coordinating medication, housing, follow-up care, transportation, and client preferences.</w:t>
            </w:r>
          </w:p>
        </w:tc>
        <w:tc>
          <w:tcPr>
            <w:tcW w:type="dxa" w:w="5112"/>
            <w:shd w:fill="DCEFF6"/>
            <w:tcMar>
              <w:top w:w="90" w:type="dxa"/>
              <w:start w:w="110" w:type="dxa"/>
              <w:bottom w:w="90" w:type="dxa"/>
              <w:end w:w="110" w:type="dxa"/>
            </w:tcMar>
            <w:vAlign w:val="top"/>
          </w:tcPr>
          <w:p>
            <w:pPr>
              <w:keepNext/>
              <w:keepLines/>
            </w:pPr>
            <w:r>
              <w:rPr>
                <w:color w:val="243B53"/>
                <w:sz w:val="17"/>
              </w:rPr>
              <w:t>A Safe Discharge Requires More Than an Appointment</w:t>
            </w:r>
          </w:p>
        </w:tc>
      </w:tr>
    </w:tbl>
    <w:p>
      <w:pPr>
        <w:pStyle w:val="CTALabel"/>
        <w:keepNext/>
      </w:pPr>
      <w:r>
        <w:t>Narration</w:t>
      </w:r>
    </w:p>
    <w:p>
      <w:pPr>
        <w:pStyle w:val="CTANarration"/>
        <w:keepLines/>
        <w:ind w:left="259" w:right="173"/>
      </w:pPr>
      <w:r>
        <w:t>A hospitalized client is medically ready for discharge but has unstable housing, limited transportation, and several medication changes. The social worker should clarify the client’s goals and consent, coordinate with medical staff and community services, confirm medication understanding, arrange feasible follow-up and transportation, identify housing or shelter options, assign responsibility, and establish a check-in point. A discharge date alone does not establish continuity or safety.</w:t>
      </w:r>
    </w:p>
    <w:p>
      <w:pPr>
        <w:pStyle w:val="Heading2"/>
        <w:keepNext/>
      </w:pPr>
      <w:r>
        <w:t>Slide 12: Example: School and Family Coordination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student, caregiver, school team, and social worker reviewing roles and consent.</w:t>
            </w:r>
          </w:p>
        </w:tc>
        <w:tc>
          <w:tcPr>
            <w:tcW w:type="dxa" w:w="5112"/>
            <w:shd w:fill="DCEFF6"/>
            <w:tcMar>
              <w:top w:w="90" w:type="dxa"/>
              <w:start w:w="110" w:type="dxa"/>
              <w:bottom w:w="90" w:type="dxa"/>
              <w:end w:w="110" w:type="dxa"/>
            </w:tcMar>
            <w:vAlign w:val="top"/>
          </w:tcPr>
          <w:p>
            <w:pPr>
              <w:keepNext/>
              <w:keepLines/>
            </w:pPr>
            <w:r>
              <w:rPr>
                <w:color w:val="243B53"/>
                <w:sz w:val="17"/>
              </w:rPr>
              <w:t>Protect the Student’s Voice and Clarify Each System’s Role</w:t>
            </w:r>
          </w:p>
        </w:tc>
      </w:tr>
    </w:tbl>
    <w:p>
      <w:pPr>
        <w:pStyle w:val="CTALabel"/>
        <w:keepNext/>
      </w:pPr>
      <w:r>
        <w:t>Narration</w:t>
      </w:r>
    </w:p>
    <w:p>
      <w:pPr>
        <w:pStyle w:val="CTANarration"/>
        <w:keepLines/>
        <w:ind w:left="259" w:right="173"/>
      </w:pPr>
      <w:r>
        <w:t>A school requests detailed therapy information about an adolescent with attendance problems. The social worker should clarify the purpose, review authorization and confidentiality, involve the adolescent and caregiver appropriately, and share only information necessary for the educational coordination. The school can address attendance and accommodations, while the clinician addresses treatment. Collaboration should support the student without turning therapy into unrestricted school reporting.</w:t>
      </w:r>
    </w:p>
    <w:p>
      <w:pPr>
        <w:pStyle w:val="Heading2"/>
        <w:keepNext/>
      </w:pPr>
      <w:r>
        <w:t>Slide 13: Common Collaboration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Warning signs: broad release, vague handoff, status-based deference, and client exclusion.</w:t>
            </w:r>
          </w:p>
        </w:tc>
        <w:tc>
          <w:tcPr>
            <w:tcW w:type="dxa" w:w="5112"/>
            <w:shd w:fill="DCEFF6"/>
            <w:tcMar>
              <w:top w:w="90" w:type="dxa"/>
              <w:start w:w="110" w:type="dxa"/>
              <w:bottom w:w="90" w:type="dxa"/>
              <w:end w:w="110" w:type="dxa"/>
            </w:tcMar>
            <w:vAlign w:val="top"/>
          </w:tcPr>
          <w:p>
            <w:pPr>
              <w:keepNext/>
              <w:keepLines/>
            </w:pPr>
            <w:r>
              <w:rPr>
                <w:color w:val="243B53"/>
                <w:sz w:val="17"/>
              </w:rPr>
              <w:t>Avoid Over-Sharing, Assumed Roles, and Open Loops</w:t>
            </w:r>
          </w:p>
        </w:tc>
      </w:tr>
    </w:tbl>
    <w:p>
      <w:pPr>
        <w:pStyle w:val="CTALabel"/>
        <w:keepNext/>
      </w:pPr>
      <w:r>
        <w:t>Narration</w:t>
      </w:r>
    </w:p>
    <w:p>
      <w:pPr>
        <w:pStyle w:val="CTANarration"/>
        <w:keepLines/>
        <w:ind w:left="259" w:right="173"/>
      </w:pPr>
      <w:r>
        <w:t>Common traps include obtaining an overly broad release, sharing the entire record, assuming another provider will follow up, taking over decisions outside scope, excluding the client, or yielding to authority without examining risk and evidence. Another trap is confusing a team recommendation with informed client agreement. Strong answers clarify purpose, consent, role, task, timeline, and outcome.</w:t>
      </w:r>
    </w:p>
    <w:p>
      <w:pPr>
        <w:pStyle w:val="Heading2"/>
        <w:keepNext/>
      </w:pPr>
      <w:r>
        <w:t>Slide 14: Your Collaboration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compact check: purpose, consent, roles, relevant information, responsibility, closed loop.</w:t>
            </w:r>
          </w:p>
        </w:tc>
        <w:tc>
          <w:tcPr>
            <w:tcW w:type="dxa" w:w="5112"/>
            <w:shd w:fill="DCEFF6"/>
            <w:tcMar>
              <w:top w:w="90" w:type="dxa"/>
              <w:start w:w="110" w:type="dxa"/>
              <w:bottom w:w="90" w:type="dxa"/>
              <w:end w:w="110" w:type="dxa"/>
            </w:tcMar>
            <w:vAlign w:val="top"/>
          </w:tcPr>
          <w:p>
            <w:pPr>
              <w:keepNext/>
              <w:keepLines/>
            </w:pPr>
            <w:r>
              <w:rPr>
                <w:color w:val="243B53"/>
                <w:sz w:val="17"/>
              </w:rPr>
              <w:t>Purpose • Consent • Roles • Information • Responsibility • Follow-Up</w:t>
            </w:r>
          </w:p>
        </w:tc>
      </w:tr>
    </w:tbl>
    <w:p>
      <w:pPr>
        <w:pStyle w:val="CTALabel"/>
        <w:keepNext/>
      </w:pPr>
      <w:r>
        <w:t>Narration</w:t>
      </w:r>
    </w:p>
    <w:p>
      <w:pPr>
        <w:pStyle w:val="CTANarration"/>
        <w:keepLines/>
        <w:ind w:left="259" w:right="173"/>
      </w:pPr>
      <w:r>
        <w:t>Before answering, ask: What is the purpose of collaboration? What consent or authority applies? Who has the relevant role and decision-making power? What information is necessary? Who will do what and by when? How will the handoff and outcome be confirmed? This check keeps interdisciplinary work client-centered, private, efficient, and accountable.</w:t>
      </w:r>
    </w:p>
    <w:p>
      <w:pPr>
        <w:pStyle w:val="Heading1"/>
      </w:pPr>
      <w:r>
        <w:t>Audio-Only Adaptation Notes</w:t>
      </w:r>
    </w:p>
    <w:p>
      <w:pPr>
        <w:pStyle w:val="ListBullet"/>
        <w:spacing w:after="40"/>
        <w:ind w:left="360" w:hanging="216"/>
      </w:pPr>
      <w:r>
        <w:t>Read the collaboration check as a six-part sequence.</w:t>
      </w:r>
    </w:p>
    <w:p>
      <w:pPr>
        <w:pStyle w:val="ListBullet"/>
        <w:spacing w:after="40"/>
        <w:ind w:left="360" w:hanging="216"/>
      </w:pPr>
      <w:r>
        <w:t>Emphasize that consultation does not transfer responsibility.</w:t>
      </w:r>
    </w:p>
    <w:p>
      <w:pPr>
        <w:pStyle w:val="ListBullet"/>
        <w:spacing w:after="40"/>
        <w:ind w:left="360" w:hanging="216"/>
      </w:pPr>
      <w:r>
        <w:t>Describe a warm handoff as a process with confirmation and follow-up.</w:t>
      </w:r>
    </w:p>
    <w:p>
      <w:pPr>
        <w:pStyle w:val="ListBullet"/>
        <w:spacing w:after="40"/>
        <w:ind w:left="360" w:hanging="216"/>
      </w:pPr>
      <w:r>
        <w:t>End by asking the student to identify the missing role or responsibility in the next team vignette.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establish collaboration as an accountable clinical process built on purpose, consent, role clarity, minimum necessary communication, explicit responsibility, and closed-loop follow-up.</w:t>
            </w:r>
          </w:p>
        </w:tc>
      </w:tr>
    </w:tbl>
    <w:p>
      <w:pPr>
        <w:spacing w:after="20"/>
      </w:pPr>
    </w:p>
    <w:p>
      <w:pPr>
        <w:pStyle w:val="CTASmall"/>
        <w:jc w:val="center"/>
      </w:pPr>
      <w:r>
        <w:t>Educational exam-preparation content. CTA is not affiliated with or endorsed by the Association of Social Work Boards, Pearson VUE, or any licensing authority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Collaboration and Interdisciplinary Practice</dc:title>
  <dc:subject>CTA LCSW Multimedia Script 06</dc:subject>
  <dc:creator>Clinical Training Academy</dc:creator>
  <cp:keywords>LCSW, ASWB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