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Three-Option and Four-Option Question Strategy</w:t>
      </w:r>
    </w:p>
    <w:p>
      <w:pPr>
        <w:jc w:val="center"/>
      </w:pPr>
      <w:r>
        <w:rPr>
          <w:rFonts w:ascii="Aptos Display" w:hAnsi="Aptos Display"/>
          <w:b/>
          <w:color w:val="2AA7D6"/>
          <w:sz w:val="32"/>
        </w:rPr>
        <w:t>LCSW-Specific Multimedia Script 07</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reason accurately across both three-option and four-option ASWB-style items without inventing a missing choice or changing the clinical sequence.</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preparing for mixed-option ASWB Clinical practice questions and comprehensive simulations.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used before question banks and Forms A and B.</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1, all 17-question banks, the 2026 comprehensive simulations, and integrated review in Workbook 12.</w:t>
            </w:r>
          </w:p>
        </w:tc>
      </w:tr>
    </w:tbl>
    <w:p>
      <w:pPr>
        <w:spacing w:after="20"/>
      </w:pPr>
    </w:p>
    <w:p>
      <w:pPr>
        <w:pStyle w:val="Heading1"/>
      </w:pPr>
      <w:r>
        <w:t>Learning Outcomes</w:t>
      </w:r>
    </w:p>
    <w:p>
      <w:pPr>
        <w:pStyle w:val="ListBullet"/>
        <w:spacing w:after="40"/>
        <w:ind w:left="360" w:hanging="216"/>
      </w:pPr>
      <w:r>
        <w:t>Use the same clinical reasoning process for three- and four-option items.</w:t>
      </w:r>
    </w:p>
    <w:p>
      <w:pPr>
        <w:pStyle w:val="ListBullet"/>
        <w:spacing w:after="40"/>
        <w:ind w:left="360" w:hanging="216"/>
      </w:pPr>
      <w:r>
        <w:t>Compare only the choices actually presented.</w:t>
      </w:r>
    </w:p>
    <w:p>
      <w:pPr>
        <w:pStyle w:val="ListBullet"/>
        <w:spacing w:after="40"/>
        <w:ind w:left="360" w:hanging="216"/>
      </w:pPr>
      <w:r>
        <w:t>Identify timing, scope, and priority errors efficiently.</w:t>
      </w:r>
    </w:p>
    <w:p>
      <w:pPr>
        <w:pStyle w:val="ListBullet"/>
        <w:spacing w:after="40"/>
        <w:ind w:left="360" w:hanging="216"/>
      </w:pPr>
      <w:r>
        <w:t>Use confidence and error-log review to improve mixed-format performance.</w:t>
      </w:r>
    </w:p>
    <w:p>
      <w:pPr>
        <w:pStyle w:val="Heading1"/>
      </w:pPr>
      <w:r>
        <w:t>Voice and Presentation Direction</w:t>
      </w:r>
    </w:p>
    <w:p>
      <w:pPr>
        <w:pStyle w:val="ListBullet"/>
        <w:spacing w:after="40"/>
        <w:ind w:left="360" w:hanging="216"/>
      </w:pPr>
      <w:r>
        <w:t>Normalize the unfamiliarity of three-option questions.</w:t>
      </w:r>
    </w:p>
    <w:p>
      <w:pPr>
        <w:pStyle w:val="ListBullet"/>
        <w:spacing w:after="40"/>
        <w:ind w:left="360" w:hanging="216"/>
      </w:pPr>
      <w:r>
        <w:t>Reinforce FIRST, NEXT, BEST, and MOST task words.</w:t>
      </w:r>
    </w:p>
    <w:p>
      <w:pPr>
        <w:pStyle w:val="ListBullet"/>
        <w:spacing w:after="40"/>
        <w:ind w:left="360" w:hanging="216"/>
      </w:pPr>
      <w:r>
        <w:t>Avoid teaching answer-position guessing or test myths.</w:t>
      </w:r>
    </w:p>
    <w:p>
      <w:pPr>
        <w:pStyle w:val="ListBullet"/>
        <w:spacing w:after="40"/>
        <w:ind w:left="360" w:hanging="216"/>
      </w:pPr>
      <w:r>
        <w:t>Keep the method focused on clinical sequencing and evidence in the stem.</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practical exam-coaching tone. Emphasize that option count changes the comparison set, not the clinical reasoning method. Do not suggest that one format is inherently easier.</w:t>
            </w:r>
          </w:p>
        </w:tc>
      </w:tr>
    </w:tbl>
    <w:p>
      <w:pPr>
        <w:spacing w:after="20"/>
      </w:pPr>
    </w:p>
    <w:p>
      <w:pPr>
        <w:pStyle w:val="Heading1"/>
      </w:pPr>
      <w:r>
        <w:t>Slide-by-Slide Script</w:t>
      </w:r>
    </w:p>
    <w:p>
      <w:pPr>
        <w:pStyle w:val="Heading2"/>
        <w:keepNext/>
      </w:pPr>
      <w:r>
        <w:t>Slide 1: The Option Count Changes, Not the Reasoning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The same clinical reasoning pathway leading to either three or four answer choices.</w:t>
            </w:r>
          </w:p>
        </w:tc>
        <w:tc>
          <w:tcPr>
            <w:tcW w:type="dxa" w:w="5112"/>
            <w:shd w:fill="DCEFF6"/>
            <w:tcMar>
              <w:top w:w="90" w:type="dxa"/>
              <w:start w:w="110" w:type="dxa"/>
              <w:bottom w:w="90" w:type="dxa"/>
              <w:end w:w="110" w:type="dxa"/>
            </w:tcMar>
            <w:vAlign w:val="top"/>
          </w:tcPr>
          <w:p>
            <w:pPr>
              <w:keepNext/>
              <w:keepLines/>
            </w:pPr>
            <w:r>
              <w:rPr>
                <w:color w:val="243B53"/>
                <w:sz w:val="17"/>
              </w:rPr>
              <w:t>Same Method • Different Number of Choices</w:t>
            </w:r>
          </w:p>
        </w:tc>
      </w:tr>
    </w:tbl>
    <w:p>
      <w:pPr>
        <w:pStyle w:val="CTALabel"/>
        <w:keepNext/>
      </w:pPr>
      <w:r>
        <w:t>Narration</w:t>
      </w:r>
    </w:p>
    <w:p>
      <w:pPr>
        <w:pStyle w:val="CTANarration"/>
        <w:keepLines/>
        <w:ind w:left="259" w:right="173"/>
      </w:pPr>
      <w:r>
        <w:t>LCSW candidates may encounter practice items with three options and others with four. The number of choices changes the comparison set, but it does not change the clinical reasoning method. Read the task word, identify the priority, determine what information is available, and compare the answers for timing, scope, and fit. Do not assume a three-option item is missing a fourth answer or that a four-option item must contain a special distractor pattern.</w:t>
      </w:r>
    </w:p>
    <w:p>
      <w:pPr>
        <w:pStyle w:val="Heading2"/>
        <w:keepNext/>
      </w:pPr>
      <w:r>
        <w:t>Slide 2: Read the Stem Before Studying the Options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The stem highlighted before the answer choices appear.</w:t>
            </w:r>
          </w:p>
        </w:tc>
        <w:tc>
          <w:tcPr>
            <w:tcW w:type="dxa" w:w="5112"/>
            <w:shd w:fill="DCEFF6"/>
            <w:tcMar>
              <w:top w:w="90" w:type="dxa"/>
              <w:start w:w="110" w:type="dxa"/>
              <w:bottom w:w="90" w:type="dxa"/>
              <w:end w:w="110" w:type="dxa"/>
            </w:tcMar>
            <w:vAlign w:val="top"/>
          </w:tcPr>
          <w:p>
            <w:pPr>
              <w:keepNext/>
              <w:keepLines/>
            </w:pPr>
            <w:r>
              <w:rPr>
                <w:color w:val="243B53"/>
                <w:sz w:val="17"/>
              </w:rPr>
              <w:t>What Is the Question Asking You to Do?</w:t>
            </w:r>
          </w:p>
        </w:tc>
      </w:tr>
    </w:tbl>
    <w:p>
      <w:pPr>
        <w:pStyle w:val="CTALabel"/>
        <w:keepNext/>
      </w:pPr>
      <w:r>
        <w:t>Narration</w:t>
      </w:r>
    </w:p>
    <w:p>
      <w:pPr>
        <w:pStyle w:val="CTANarration"/>
        <w:keepLines/>
        <w:ind w:left="259" w:right="173"/>
      </w:pPr>
      <w:r>
        <w:t>Begin with the stem. Identify who the professional is, what has already happened, what the immediate concern is, and whether the question asks for the first, next, best, most appropriate, or most likely response. Decide whether the task is assessment, intervention, reporting, consultation, referral, evaluation, or follow-up. This prevents the options from pulling you toward an answer that is helpful but mistimed.</w:t>
      </w:r>
    </w:p>
    <w:p>
      <w:pPr>
        <w:pStyle w:val="Heading2"/>
        <w:keepNext/>
      </w:pPr>
      <w:r>
        <w:t>Slide 3: Use the Task Word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FIRST, NEXT, BEST, and MOST displayed along a sequence.</w:t>
            </w:r>
          </w:p>
        </w:tc>
        <w:tc>
          <w:tcPr>
            <w:tcW w:type="dxa" w:w="5112"/>
            <w:shd w:fill="DCEFF6"/>
            <w:tcMar>
              <w:top w:w="90" w:type="dxa"/>
              <w:start w:w="110" w:type="dxa"/>
              <w:bottom w:w="90" w:type="dxa"/>
              <w:end w:w="110" w:type="dxa"/>
            </w:tcMar>
            <w:vAlign w:val="top"/>
          </w:tcPr>
          <w:p>
            <w:pPr>
              <w:keepNext/>
              <w:keepLines/>
            </w:pPr>
            <w:r>
              <w:rPr>
                <w:color w:val="243B53"/>
                <w:sz w:val="17"/>
              </w:rPr>
              <w:t>FIRST/NEXT = Sequence • BEST/MOST = Comparison</w:t>
            </w:r>
          </w:p>
        </w:tc>
      </w:tr>
    </w:tbl>
    <w:p>
      <w:pPr>
        <w:pStyle w:val="CTALabel"/>
        <w:keepNext/>
      </w:pPr>
      <w:r>
        <w:t>Narration</w:t>
      </w:r>
    </w:p>
    <w:p>
      <w:pPr>
        <w:pStyle w:val="CTANarration"/>
        <w:keepLines/>
        <w:ind w:left="259" w:right="173"/>
      </w:pPr>
      <w:r>
        <w:t>FIRST and NEXT questions focus heavily on sequence. Ask what must happen before the later actions can be safe or effective. BEST and MOST questions compare the quality of available responses, including accuracy, proportionality, client participation, and scope. The task word does not replace clinical judgment, but it tells you how to compare the choices. A later intervention can be correct in general and still be wrong for a FIRST question.</w:t>
      </w:r>
    </w:p>
    <w:p>
      <w:pPr>
        <w:pStyle w:val="Heading2"/>
        <w:keepNext/>
      </w:pPr>
      <w:r>
        <w:t>Slide 4: Do Not Invent a Missing Option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three-option item with an imaginary fourth option crossed out.</w:t>
            </w:r>
          </w:p>
        </w:tc>
        <w:tc>
          <w:tcPr>
            <w:tcW w:type="dxa" w:w="5112"/>
            <w:shd w:fill="DCEFF6"/>
            <w:tcMar>
              <w:top w:w="90" w:type="dxa"/>
              <w:start w:w="110" w:type="dxa"/>
              <w:bottom w:w="90" w:type="dxa"/>
              <w:end w:w="110" w:type="dxa"/>
            </w:tcMar>
            <w:vAlign w:val="top"/>
          </w:tcPr>
          <w:p>
            <w:pPr>
              <w:keepNext/>
              <w:keepLines/>
            </w:pPr>
            <w:r>
              <w:rPr>
                <w:color w:val="243B53"/>
                <w:sz w:val="17"/>
              </w:rPr>
              <w:t>Choose From the Answers That Exist</w:t>
            </w:r>
          </w:p>
        </w:tc>
      </w:tr>
    </w:tbl>
    <w:p>
      <w:pPr>
        <w:pStyle w:val="CTALabel"/>
        <w:keepNext/>
      </w:pPr>
      <w:r>
        <w:t>Narration</w:t>
      </w:r>
    </w:p>
    <w:p>
      <w:pPr>
        <w:pStyle w:val="CTANarration"/>
        <w:keepLines/>
        <w:ind w:left="259" w:right="173"/>
      </w:pPr>
      <w:r>
        <w:t>When an item has three options, compare those three. Do not spend time imagining the answer you wish had been included. The best available option may be less detailed than the response you would write in practice, but it can still be clearly superior to the other choices. Exam reasoning asks which presented answer is best, not whether the item contains every action that might eventually occur.</w:t>
      </w:r>
    </w:p>
    <w:p>
      <w:pPr>
        <w:pStyle w:val="Heading2"/>
        <w:keepNext/>
      </w:pPr>
      <w:r>
        <w:t>Slide 5: Eliminate by Timing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Answer choices placed too early, correctly timed, and too late on a timeline.</w:t>
            </w:r>
          </w:p>
        </w:tc>
        <w:tc>
          <w:tcPr>
            <w:tcW w:type="dxa" w:w="5112"/>
            <w:shd w:fill="DCEFF6"/>
            <w:tcMar>
              <w:top w:w="90" w:type="dxa"/>
              <w:start w:w="110" w:type="dxa"/>
              <w:bottom w:w="90" w:type="dxa"/>
              <w:end w:w="110" w:type="dxa"/>
            </w:tcMar>
            <w:vAlign w:val="top"/>
          </w:tcPr>
          <w:p>
            <w:pPr>
              <w:keepNext/>
              <w:keepLines/>
            </w:pPr>
            <w:r>
              <w:rPr>
                <w:color w:val="243B53"/>
                <w:sz w:val="17"/>
              </w:rPr>
              <w:t>Helpful Later Can Be Wrong Now</w:t>
            </w:r>
          </w:p>
        </w:tc>
      </w:tr>
    </w:tbl>
    <w:p>
      <w:pPr>
        <w:pStyle w:val="CTALabel"/>
        <w:keepNext/>
      </w:pPr>
      <w:r>
        <w:t>Narration</w:t>
      </w:r>
    </w:p>
    <w:p>
      <w:pPr>
        <w:pStyle w:val="CTANarration"/>
        <w:keepLines/>
        <w:ind w:left="259" w:right="173"/>
      </w:pPr>
      <w:r>
        <w:t>The most common distractor is a clinically reasonable action offered too early. Treatment techniques may appear before essential assessment. A report may appear before the facts support a duty, or a detailed plan may appear before the priority problem is clear. Mark each option as assessment, action, or follow-up and ask whether it belongs at this point in the scenario. Timing often eliminates one or two choices quickly.</w:t>
      </w:r>
    </w:p>
    <w:p>
      <w:pPr>
        <w:pStyle w:val="Heading2"/>
        <w:keepNext/>
      </w:pPr>
      <w:r>
        <w:t>Slide 6: Eliminate by Scope and Role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scope boundary separating appropriate social work actions from prescribing or unauthorized decisions.</w:t>
            </w:r>
          </w:p>
        </w:tc>
        <w:tc>
          <w:tcPr>
            <w:tcW w:type="dxa" w:w="5112"/>
            <w:shd w:fill="DCEFF6"/>
            <w:tcMar>
              <w:top w:w="90" w:type="dxa"/>
              <w:start w:w="110" w:type="dxa"/>
              <w:bottom w:w="90" w:type="dxa"/>
              <w:end w:w="110" w:type="dxa"/>
            </w:tcMar>
            <w:vAlign w:val="top"/>
          </w:tcPr>
          <w:p>
            <w:pPr>
              <w:keepNext/>
              <w:keepLines/>
            </w:pPr>
            <w:r>
              <w:rPr>
                <w:color w:val="243B53"/>
                <w:sz w:val="17"/>
              </w:rPr>
              <w:t>Stay Within Role and Authority</w:t>
            </w:r>
          </w:p>
        </w:tc>
      </w:tr>
    </w:tbl>
    <w:p>
      <w:pPr>
        <w:pStyle w:val="CTALabel"/>
        <w:keepNext/>
      </w:pPr>
      <w:r>
        <w:t>Narration</w:t>
      </w:r>
    </w:p>
    <w:p>
      <w:pPr>
        <w:pStyle w:val="CTANarration"/>
        <w:keepLines/>
        <w:ind w:left="259" w:right="173"/>
      </w:pPr>
      <w:r>
        <w:t>Reject options that exceed the social worker’s role or authority. The clinician may assess medication effects and coordinate medical review but should not direct dosage changes. The social worker may advocate but should not make another agency’s eligibility decision. A treating clinician should not assume a forensic role without appropriate authority and competence. Scope errors remain wrong whether the item has three or four options.</w:t>
      </w:r>
    </w:p>
    <w:p>
      <w:pPr>
        <w:pStyle w:val="Heading2"/>
        <w:keepNext/>
      </w:pPr>
      <w:r>
        <w:t>Slide 7: Eliminate Absolutes and Unsupported Assumptions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Words such as always, never, immediately, and prove highlighted as warning signs.</w:t>
            </w:r>
          </w:p>
        </w:tc>
        <w:tc>
          <w:tcPr>
            <w:tcW w:type="dxa" w:w="5112"/>
            <w:shd w:fill="DCEFF6"/>
            <w:tcMar>
              <w:top w:w="90" w:type="dxa"/>
              <w:start w:w="110" w:type="dxa"/>
              <w:bottom w:w="90" w:type="dxa"/>
              <w:end w:w="110" w:type="dxa"/>
            </w:tcMar>
            <w:vAlign w:val="top"/>
          </w:tcPr>
          <w:p>
            <w:pPr>
              <w:keepNext/>
              <w:keepLines/>
            </w:pPr>
            <w:r>
              <w:rPr>
                <w:color w:val="243B53"/>
                <w:sz w:val="17"/>
              </w:rPr>
              <w:t>Test the Evidence Before Accepting Certainty</w:t>
            </w:r>
          </w:p>
        </w:tc>
      </w:tr>
    </w:tbl>
    <w:p>
      <w:pPr>
        <w:pStyle w:val="CTALabel"/>
        <w:keepNext/>
      </w:pPr>
      <w:r>
        <w:t>Narration</w:t>
      </w:r>
    </w:p>
    <w:p>
      <w:pPr>
        <w:pStyle w:val="CTANarration"/>
        <w:keepLines/>
        <w:ind w:left="259" w:right="173"/>
      </w:pPr>
      <w:r>
        <w:t>Be cautious with absolute promises, automatic conclusions, and unsupported motives. A diagnosis does not prove incapacity. Missed appointments do not prove resistance. Family concern does not automatically authorize disclosure. Strong answers gather relevant information, use qualified language, and match the response to the evidence. An absolute can be correct when a clear rule applies, but the stem must support it.</w:t>
      </w:r>
    </w:p>
    <w:p>
      <w:pPr>
        <w:pStyle w:val="Heading2"/>
        <w:keepNext/>
      </w:pPr>
      <w:r>
        <w:t>Slide 8: Compare the Strongest Two Answers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Two finalist options compared across priority, timing, role, client participation, and completeness.</w:t>
            </w:r>
          </w:p>
        </w:tc>
        <w:tc>
          <w:tcPr>
            <w:tcW w:type="dxa" w:w="5112"/>
            <w:shd w:fill="DCEFF6"/>
            <w:tcMar>
              <w:top w:w="90" w:type="dxa"/>
              <w:start w:w="110" w:type="dxa"/>
              <w:bottom w:w="90" w:type="dxa"/>
              <w:end w:w="110" w:type="dxa"/>
            </w:tcMar>
            <w:vAlign w:val="top"/>
          </w:tcPr>
          <w:p>
            <w:pPr>
              <w:keepNext/>
              <w:keepLines/>
            </w:pPr>
            <w:r>
              <w:rPr>
                <w:color w:val="243B53"/>
                <w:sz w:val="17"/>
              </w:rPr>
              <w:t>Priority • Timing • Role • Participation • Completeness</w:t>
            </w:r>
          </w:p>
        </w:tc>
      </w:tr>
    </w:tbl>
    <w:p>
      <w:pPr>
        <w:pStyle w:val="CTALabel"/>
        <w:keepNext/>
      </w:pPr>
      <w:r>
        <w:t>Narration</w:t>
      </w:r>
    </w:p>
    <w:p>
      <w:pPr>
        <w:pStyle w:val="CTANarration"/>
        <w:keepLines/>
        <w:ind w:left="259" w:right="173"/>
      </w:pPr>
      <w:r>
        <w:t>After eliminating weak choices, compare the strongest two. Which one addresses the highest priority? Which is better timed? Which stays within role? Which preserves client participation and dignity? Which is complete enough to manage the stated concern? This structured comparison is especially useful when a three-option item leaves two plausible choices or a four-option item contains two answers that could both occur eventually.</w:t>
      </w:r>
    </w:p>
    <w:p>
      <w:pPr>
        <w:pStyle w:val="Heading2"/>
        <w:keepNext/>
      </w:pPr>
      <w:r>
        <w:t>Slide 9: Three Options Can Increase Precision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Three choices with less visual clutter and a close comparison between two plausible answers.</w:t>
            </w:r>
          </w:p>
        </w:tc>
        <w:tc>
          <w:tcPr>
            <w:tcW w:type="dxa" w:w="5112"/>
            <w:shd w:fill="DCEFF6"/>
            <w:tcMar>
              <w:top w:w="90" w:type="dxa"/>
              <w:start w:w="110" w:type="dxa"/>
              <w:bottom w:w="90" w:type="dxa"/>
              <w:end w:w="110" w:type="dxa"/>
            </w:tcMar>
            <w:vAlign w:val="top"/>
          </w:tcPr>
          <w:p>
            <w:pPr>
              <w:keepNext/>
              <w:keepLines/>
            </w:pPr>
            <w:r>
              <w:rPr>
                <w:color w:val="243B53"/>
                <w:sz w:val="17"/>
              </w:rPr>
              <w:t>Fewer Choices Still Require Careful Discrimination</w:t>
            </w:r>
          </w:p>
        </w:tc>
      </w:tr>
    </w:tbl>
    <w:p>
      <w:pPr>
        <w:pStyle w:val="CTALabel"/>
        <w:keepNext/>
      </w:pPr>
      <w:r>
        <w:t>Narration</w:t>
      </w:r>
    </w:p>
    <w:p>
      <w:pPr>
        <w:pStyle w:val="CTANarration"/>
        <w:keepLines/>
        <w:ind w:left="259" w:right="173"/>
      </w:pPr>
      <w:r>
        <w:t>A three-option item may feel easier because there is one less distractor, but the remaining options can be closely matched. Do not rush. Use the same sequence and comparison process. The absence of a fourth choice does not signal that the answer is obvious. It simply means the test is asking you to discriminate among the options that remain.</w:t>
      </w:r>
    </w:p>
    <w:p>
      <w:pPr>
        <w:pStyle w:val="Heading2"/>
        <w:keepNext/>
      </w:pPr>
      <w:r>
        <w:t>Slide 10: Example: Three-Option Assessment Item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brief three-option vignette about a new cognitive change after a medication adjustment.</w:t>
            </w:r>
          </w:p>
        </w:tc>
        <w:tc>
          <w:tcPr>
            <w:tcW w:type="dxa" w:w="5112"/>
            <w:shd w:fill="DCEFF6"/>
            <w:tcMar>
              <w:top w:w="90" w:type="dxa"/>
              <w:start w:w="110" w:type="dxa"/>
              <w:bottom w:w="90" w:type="dxa"/>
              <w:end w:w="110" w:type="dxa"/>
            </w:tcMar>
            <w:vAlign w:val="top"/>
          </w:tcPr>
          <w:p>
            <w:pPr>
              <w:keepNext/>
              <w:keepLines/>
            </w:pPr>
            <w:r>
              <w:rPr>
                <w:color w:val="243B53"/>
                <w:sz w:val="17"/>
              </w:rPr>
              <w:t>New Change + Medication = Assess and Coordinate</w:t>
            </w:r>
          </w:p>
        </w:tc>
      </w:tr>
    </w:tbl>
    <w:p>
      <w:pPr>
        <w:pStyle w:val="CTALabel"/>
        <w:keepNext/>
      </w:pPr>
      <w:r>
        <w:t>Narration</w:t>
      </w:r>
    </w:p>
    <w:p>
      <w:pPr>
        <w:pStyle w:val="CTANarration"/>
        <w:keepLines/>
        <w:ind w:left="259" w:right="173"/>
      </w:pPr>
      <w:r>
        <w:t>Suppose a client develops new confusion after a medication change. The options are to interpret the change as resistance, continue routine therapy, or assess chronology and safety and coordinate medical evaluation. There is no fourth option, and none is needed. The third choice is best because a new cognitive change may be medically significant and must be assessed before psychological interpretation or routine treatment continues.</w:t>
      </w:r>
    </w:p>
    <w:p>
      <w:pPr>
        <w:pStyle w:val="Heading2"/>
        <w:keepNext/>
      </w:pPr>
      <w:r>
        <w:t>Slide 11: Example: Four-Option Sequencing Item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four-option vignette about a passive suicidal statement.</w:t>
            </w:r>
          </w:p>
        </w:tc>
        <w:tc>
          <w:tcPr>
            <w:tcW w:type="dxa" w:w="5112"/>
            <w:shd w:fill="DCEFF6"/>
            <w:tcMar>
              <w:top w:w="90" w:type="dxa"/>
              <w:start w:w="110" w:type="dxa"/>
              <w:bottom w:w="90" w:type="dxa"/>
              <w:end w:w="110" w:type="dxa"/>
            </w:tcMar>
            <w:vAlign w:val="top"/>
          </w:tcPr>
          <w:p>
            <w:pPr>
              <w:keepNext/>
              <w:keepLines/>
            </w:pPr>
            <w:r>
              <w:rPr>
                <w:color w:val="243B53"/>
                <w:sz w:val="17"/>
              </w:rPr>
              <w:t>Direct Risk Assessment Comes Before Reassurance or Planning</w:t>
            </w:r>
          </w:p>
        </w:tc>
      </w:tr>
    </w:tbl>
    <w:p>
      <w:pPr>
        <w:pStyle w:val="CTALabel"/>
        <w:keepNext/>
      </w:pPr>
      <w:r>
        <w:t>Narration</w:t>
      </w:r>
    </w:p>
    <w:p>
      <w:pPr>
        <w:pStyle w:val="CTANarration"/>
        <w:keepLines/>
        <w:ind w:left="259" w:right="173"/>
      </w:pPr>
      <w:r>
        <w:t>A client says that everyone would be better without them. Four options include reassurance, changing the subject, obtaining a safety promise, or asking directly about suicidal thoughts, intent, plan, means, history, and protective factors. The direct assessment is best. The other choices may appear supportive, but none establishes the level of risk. The fourth option does not change the method; it simply adds another distractor to compare.</w:t>
      </w:r>
    </w:p>
    <w:p>
      <w:pPr>
        <w:pStyle w:val="Heading2"/>
        <w:keepNext/>
      </w:pPr>
      <w:r>
        <w:t>Slide 12: Manage Time Without Guessing by Format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pacing bar with a consistent decision process for both item types.</w:t>
            </w:r>
          </w:p>
        </w:tc>
        <w:tc>
          <w:tcPr>
            <w:tcW w:type="dxa" w:w="5112"/>
            <w:shd w:fill="DCEFF6"/>
            <w:tcMar>
              <w:top w:w="90" w:type="dxa"/>
              <w:start w:w="110" w:type="dxa"/>
              <w:bottom w:w="90" w:type="dxa"/>
              <w:end w:w="110" w:type="dxa"/>
            </w:tcMar>
            <w:vAlign w:val="top"/>
          </w:tcPr>
          <w:p>
            <w:pPr>
              <w:keepNext/>
              <w:keepLines/>
            </w:pPr>
            <w:r>
              <w:rPr>
                <w:color w:val="243B53"/>
                <w:sz w:val="17"/>
              </w:rPr>
              <w:t>Read • Decide • Compare • Commit • Move</w:t>
            </w:r>
          </w:p>
        </w:tc>
      </w:tr>
    </w:tbl>
    <w:p>
      <w:pPr>
        <w:pStyle w:val="CTALabel"/>
        <w:keepNext/>
      </w:pPr>
      <w:r>
        <w:t>Narration</w:t>
      </w:r>
    </w:p>
    <w:p>
      <w:pPr>
        <w:pStyle w:val="CTANarration"/>
        <w:keepLines/>
        <w:ind w:left="259" w:right="173"/>
      </w:pPr>
      <w:r>
        <w:t>Do not give three-option items less care or four-option items excessive time. Use a consistent process: read the stem, identify the task, decide the likely sequence before looking deeply at options, compare the strongest choices, commit, and move on. If uncertain, mark the item according to your testing plan and return only if time remains. Option count should not control your confidence or pacing.</w:t>
      </w:r>
    </w:p>
    <w:p>
      <w:pPr>
        <w:pStyle w:val="Heading2"/>
        <w:keepNext/>
      </w:pPr>
      <w:r>
        <w:t>Slide 13: Use Mixed-Format Errors for Remediation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An error log with columns for option count, task word, error type, and correction rule.</w:t>
            </w:r>
          </w:p>
        </w:tc>
        <w:tc>
          <w:tcPr>
            <w:tcW w:type="dxa" w:w="5112"/>
            <w:shd w:fill="DCEFF6"/>
            <w:tcMar>
              <w:top w:w="90" w:type="dxa"/>
              <w:start w:w="110" w:type="dxa"/>
              <w:bottom w:w="90" w:type="dxa"/>
              <w:end w:w="110" w:type="dxa"/>
            </w:tcMar>
            <w:vAlign w:val="top"/>
          </w:tcPr>
          <w:p>
            <w:pPr>
              <w:keepNext/>
              <w:keepLines/>
            </w:pPr>
            <w:r>
              <w:rPr>
                <w:color w:val="243B53"/>
                <w:sz w:val="17"/>
              </w:rPr>
              <w:t>Track Why You Missed It, Not Just the Answer</w:t>
            </w:r>
          </w:p>
        </w:tc>
      </w:tr>
    </w:tbl>
    <w:p>
      <w:pPr>
        <w:pStyle w:val="CTALabel"/>
        <w:keepNext/>
      </w:pPr>
      <w:r>
        <w:t>Narration</w:t>
      </w:r>
    </w:p>
    <w:p>
      <w:pPr>
        <w:pStyle w:val="CTANarration"/>
        <w:keepLines/>
        <w:ind w:left="259" w:right="173"/>
      </w:pPr>
      <w:r>
        <w:t>In the error log, record whether the item had three or four options, but focus on the actual reasoning error. Did you invent a missing choice, miss the task word, choose a premature intervention, exceed scope, or misread the priority? Write a correction rule such as, “Compare only presented options,” or, “New cognitive change requires medical assessment before interpretation.” This turns format discomfort into a specific skill target.</w:t>
      </w:r>
    </w:p>
    <w:p>
      <w:pPr>
        <w:pStyle w:val="Heading2"/>
        <w:keepNext/>
      </w:pPr>
      <w:r>
        <w:t>Slide 14: Your Mixed-Option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compact checklist: stem, task, priority, presented choices, finalist comparison, commit.</w:t>
            </w:r>
          </w:p>
        </w:tc>
        <w:tc>
          <w:tcPr>
            <w:tcW w:type="dxa" w:w="5112"/>
            <w:shd w:fill="DCEFF6"/>
            <w:tcMar>
              <w:top w:w="90" w:type="dxa"/>
              <w:start w:w="110" w:type="dxa"/>
              <w:bottom w:w="90" w:type="dxa"/>
              <w:end w:w="110" w:type="dxa"/>
            </w:tcMar>
            <w:vAlign w:val="top"/>
          </w:tcPr>
          <w:p>
            <w:pPr>
              <w:keepNext/>
              <w:keepLines/>
            </w:pPr>
            <w:r>
              <w:rPr>
                <w:color w:val="243B53"/>
                <w:sz w:val="17"/>
              </w:rPr>
              <w:t>Stem • Task • Priority • Presented Options • Compare • Commit</w:t>
            </w:r>
          </w:p>
        </w:tc>
      </w:tr>
    </w:tbl>
    <w:p>
      <w:pPr>
        <w:pStyle w:val="CTALabel"/>
        <w:keepNext/>
      </w:pPr>
      <w:r>
        <w:t>Narration</w:t>
      </w:r>
    </w:p>
    <w:p>
      <w:pPr>
        <w:pStyle w:val="CTANarration"/>
        <w:keepLines/>
        <w:ind w:left="259" w:right="173"/>
      </w:pPr>
      <w:r>
        <w:t>Before selecting an answer, ask: What is the task word? What is the priority and sequence? Am I comparing only the choices presented? Which options fail because of timing, scope, assumptions, or incompleteness? Between the finalists, which answer best fits the facts and role? Then commit and move on. The option count is a format detail; disciplined clinical reasoning remains the core skill.</w:t>
      </w:r>
    </w:p>
    <w:p>
      <w:pPr>
        <w:pStyle w:val="Heading1"/>
      </w:pPr>
      <w:r>
        <w:t>Audio-Only Adaptation Notes</w:t>
      </w:r>
    </w:p>
    <w:p>
      <w:pPr>
        <w:pStyle w:val="ListBullet"/>
        <w:spacing w:after="40"/>
        <w:ind w:left="360" w:hanging="216"/>
      </w:pPr>
      <w:r>
        <w:t>Say “compare only the choices presented” slowly and repeat it near the end.</w:t>
      </w:r>
    </w:p>
    <w:p>
      <w:pPr>
        <w:pStyle w:val="ListBullet"/>
        <w:spacing w:after="40"/>
        <w:ind w:left="360" w:hanging="216"/>
      </w:pPr>
      <w:r>
        <w:t>Contrast FIRST/NEXT with BEST/MOST clearly.</w:t>
      </w:r>
    </w:p>
    <w:p>
      <w:pPr>
        <w:pStyle w:val="ListBullet"/>
        <w:spacing w:after="40"/>
        <w:ind w:left="360" w:hanging="216"/>
      </w:pPr>
      <w:r>
        <w:t>Read both example items without relying on the visual option layout.</w:t>
      </w:r>
    </w:p>
    <w:p>
      <w:pPr>
        <w:pStyle w:val="ListBullet"/>
        <w:spacing w:after="40"/>
        <w:ind w:left="360" w:hanging="216"/>
      </w:pPr>
      <w:r>
        <w:t>End by directing the student to record format-related mistakes by reasoning type, not answer position.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normalize mixed three- and four-option items and reinforce one consistent CTA reasoning process across all LCSW question banks and comprehensive simulations.</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Three-Option and Four-Option Question Strategy</dc:title>
  <dc:subject>CTA LCSW Multimedia Script 07</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