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How to Eliminate Plausible but Premature Answers</w:t>
      </w:r>
    </w:p>
    <w:p>
      <w:pPr>
        <w:jc w:val="center"/>
      </w:pPr>
      <w:r>
        <w:rPr>
          <w:rFonts w:ascii="Aptos Display" w:hAnsi="Aptos Display"/>
          <w:b/>
          <w:color w:val="2AA7D6"/>
          <w:sz w:val="32"/>
        </w:rPr>
        <w:t>Shared LMFT &amp; LCSW Multimedia Script 05</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candidates to identify distractors that may be clinically reasonable later but are unsupported, disproportionate, or mistimed in the current scenario.</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LMFT and LCSW candidates learning to compare plausible answer choices.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9-12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Define a premature answer in terms of missing prerequisites and timing.</w:t>
      </w:r>
    </w:p>
    <w:p>
      <w:pPr>
        <w:pStyle w:val="ListBullet"/>
        <w:spacing w:after="40"/>
        <w:ind w:left="360" w:hanging="216"/>
      </w:pPr>
      <w:r>
        <w:t>Recognize common forms of premature escalation, referral, collaboration, diagnosis, and technique selection.</w:t>
      </w:r>
    </w:p>
    <w:p>
      <w:pPr>
        <w:pStyle w:val="ListBullet"/>
        <w:spacing w:after="40"/>
        <w:ind w:left="360" w:hanging="216"/>
      </w:pPr>
      <w:r>
        <w:t>Use the now-or-later test and premature-answer checklist.</w:t>
      </w:r>
    </w:p>
    <w:p>
      <w:pPr>
        <w:pStyle w:val="ListBullet"/>
        <w:spacing w:after="40"/>
        <w:ind w:left="360" w:hanging="216"/>
      </w:pPr>
      <w:r>
        <w:t>Convert a timing error into a reusable sequencing rule.</w:t>
      </w:r>
    </w:p>
    <w:p>
      <w:pPr>
        <w:pStyle w:val="Heading1"/>
      </w:pPr>
      <w:r>
        <w:t>Voice and Presentation Direction</w:t>
      </w:r>
    </w:p>
    <w:p>
      <w:pPr>
        <w:pStyle w:val="ListBullet"/>
        <w:spacing w:after="40"/>
        <w:ind w:left="360" w:hanging="216"/>
      </w:pPr>
      <w:r>
        <w:t>Coaching-oriented and comparison-focused.</w:t>
      </w:r>
    </w:p>
    <w:p>
      <w:pPr>
        <w:pStyle w:val="ListBullet"/>
        <w:spacing w:after="40"/>
        <w:ind w:left="360" w:hanging="216"/>
      </w:pPr>
      <w:r>
        <w:t>Acknowledge that distractors may describe good clinical actions at another time.</w:t>
      </w:r>
    </w:p>
    <w:p>
      <w:pPr>
        <w:pStyle w:val="ListBullet"/>
        <w:spacing w:after="40"/>
        <w:ind w:left="360" w:hanging="216"/>
      </w:pPr>
      <w:r>
        <w:t>Avoid teaching the least intensive answer as an automatic rule.</w:t>
      </w:r>
    </w:p>
    <w:p>
      <w:pPr>
        <w:pStyle w:val="ListBullet"/>
        <w:spacing w:after="40"/>
        <w:ind w:left="360" w:hanging="216"/>
      </w:pPr>
      <w:r>
        <w:t>Reinforce proportionality, role, consent, and the facts provided.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Why Premature Answers Are So Tempting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30-40 seconds</w:t>
            </w:r>
          </w:p>
        </w:tc>
        <w:tc>
          <w:tcPr>
            <w:tcW w:type="dxa" w:w="3528"/>
            <w:shd w:fill="F3F8FA"/>
            <w:tcMar>
              <w:top w:w="90" w:type="dxa"/>
              <w:start w:w="110" w:type="dxa"/>
              <w:bottom w:w="90" w:type="dxa"/>
              <w:end w:w="110" w:type="dxa"/>
            </w:tcMar>
            <w:vAlign w:val="top"/>
          </w:tcPr>
          <w:p>
            <w:r>
              <w:rPr>
                <w:color w:val="243B53"/>
                <w:sz w:val="17"/>
              </w:rPr>
              <w:t>Several clinically reasonable answer cards, one marked “right action, wrong time.”</w:t>
            </w:r>
          </w:p>
        </w:tc>
        <w:tc>
          <w:tcPr>
            <w:tcW w:type="dxa" w:w="5112"/>
            <w:shd w:fill="DCEFF6"/>
            <w:tcMar>
              <w:top w:w="90" w:type="dxa"/>
              <w:start w:w="110" w:type="dxa"/>
              <w:bottom w:w="90" w:type="dxa"/>
              <w:end w:w="110" w:type="dxa"/>
            </w:tcMar>
            <w:vAlign w:val="top"/>
          </w:tcPr>
          <w:p>
            <w:r>
              <w:rPr>
                <w:color w:val="243B53"/>
                <w:sz w:val="17"/>
              </w:rPr>
              <w:t>Clinically Reasonable Can Still Be Premature</w:t>
            </w:r>
          </w:p>
        </w:tc>
      </w:tr>
    </w:tbl>
    <w:p>
      <w:pPr>
        <w:pStyle w:val="CTALabel"/>
      </w:pPr>
      <w:r>
        <w:t>Narration</w:t>
      </w:r>
    </w:p>
    <w:p>
      <w:pPr>
        <w:pStyle w:val="CTANarration"/>
        <w:ind w:left="259" w:right="173"/>
      </w:pPr>
      <w:r>
        <w:t>A common exam trap is the answer that would be clinically reasonable later, but is not appropriate yet. These distractors are tempting because they sound helpful, ethical, or decisive. The problem is timing. The exam is testing whether you can identify the action that fits the current stage, not whether you recognize every action that might eventually be useful.</w:t>
      </w:r>
    </w:p>
    <w:p>
      <w:pPr>
        <w:pStyle w:val="Heading2"/>
      </w:pPr>
      <w:r>
        <w:t>Slide 2: Premature Means the Prerequisite Is Missing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Staircase with missing lower step highlighted.</w:t>
            </w:r>
          </w:p>
        </w:tc>
        <w:tc>
          <w:tcPr>
            <w:tcW w:type="dxa" w:w="5112"/>
            <w:shd w:fill="DCEFF6"/>
            <w:tcMar>
              <w:top w:w="90" w:type="dxa"/>
              <w:start w:w="110" w:type="dxa"/>
              <w:bottom w:w="90" w:type="dxa"/>
              <w:end w:w="110" w:type="dxa"/>
            </w:tcMar>
            <w:vAlign w:val="top"/>
          </w:tcPr>
          <w:p>
            <w:r>
              <w:rPr>
                <w:color w:val="243B53"/>
                <w:sz w:val="17"/>
              </w:rPr>
              <w:t>Ask: What Must Happen Before This?</w:t>
            </w:r>
          </w:p>
        </w:tc>
      </w:tr>
    </w:tbl>
    <w:p>
      <w:pPr>
        <w:pStyle w:val="CTALabel"/>
      </w:pPr>
      <w:r>
        <w:t>Narration</w:t>
      </w:r>
    </w:p>
    <w:p>
      <w:pPr>
        <w:pStyle w:val="CTANarration"/>
        <w:ind w:left="259" w:right="173"/>
      </w:pPr>
      <w:r>
        <w:t>An answer is premature when a prerequisite has not been completed. Before referring, the clinician may need to clarify the problem and the reason for referral. Before involving another person, the clinician may need consent or a safety-based exception. Before changing treatment, the clinician may need to evaluate what is not working. Ask what must happen before the option could be appropriate.</w:t>
      </w:r>
    </w:p>
    <w:p>
      <w:pPr>
        <w:pStyle w:val="Heading2"/>
      </w:pPr>
      <w:r>
        <w:t>Slide 3: Premature Escalation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Intensity ladder from routine care to emergency action.</w:t>
            </w:r>
          </w:p>
        </w:tc>
        <w:tc>
          <w:tcPr>
            <w:tcW w:type="dxa" w:w="5112"/>
            <w:shd w:fill="DCEFF6"/>
            <w:tcMar>
              <w:top w:w="90" w:type="dxa"/>
              <w:start w:w="110" w:type="dxa"/>
              <w:bottom w:w="90" w:type="dxa"/>
              <w:end w:w="110" w:type="dxa"/>
            </w:tcMar>
            <w:vAlign w:val="top"/>
          </w:tcPr>
          <w:p>
            <w:r>
              <w:rPr>
                <w:color w:val="243B53"/>
                <w:sz w:val="17"/>
              </w:rPr>
              <w:t>Do Not Choose the Most Intensive Answer Without Support</w:t>
            </w:r>
          </w:p>
        </w:tc>
      </w:tr>
    </w:tbl>
    <w:p>
      <w:pPr>
        <w:pStyle w:val="CTALabel"/>
      </w:pPr>
      <w:r>
        <w:t>Narration</w:t>
      </w:r>
    </w:p>
    <w:p>
      <w:pPr>
        <w:pStyle w:val="CTANarration"/>
        <w:ind w:left="259" w:right="173"/>
      </w:pPr>
      <w:r>
        <w:t>Premature escalation occurs when an answer jumps to emergency action, hospitalization, reporting, termination, or another high-intensity response without facts that support it. Strong clinical judgment is proportional. Choose the level of response that matches the risk and information provided. More intensive does not automatically mean safer or better.</w:t>
      </w:r>
    </w:p>
    <w:p>
      <w:pPr>
        <w:pStyle w:val="Heading2"/>
      </w:pPr>
      <w:r>
        <w:t>Slide 4: Premature Referral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Referral arrow paused by questions about competence, fit, and client preference.</w:t>
            </w:r>
          </w:p>
        </w:tc>
        <w:tc>
          <w:tcPr>
            <w:tcW w:type="dxa" w:w="5112"/>
            <w:shd w:fill="DCEFF6"/>
            <w:tcMar>
              <w:top w:w="90" w:type="dxa"/>
              <w:start w:w="110" w:type="dxa"/>
              <w:bottom w:w="90" w:type="dxa"/>
              <w:end w:w="110" w:type="dxa"/>
            </w:tcMar>
            <w:vAlign w:val="top"/>
          </w:tcPr>
          <w:p>
            <w:r>
              <w:rPr>
                <w:color w:val="243B53"/>
                <w:sz w:val="17"/>
              </w:rPr>
              <w:t>Clarify the Need Before Referring</w:t>
            </w:r>
          </w:p>
        </w:tc>
      </w:tr>
    </w:tbl>
    <w:p>
      <w:pPr>
        <w:pStyle w:val="CTALabel"/>
      </w:pPr>
      <w:r>
        <w:t>Narration</w:t>
      </w:r>
    </w:p>
    <w:p>
      <w:pPr>
        <w:pStyle w:val="CTANarration"/>
        <w:ind w:left="259" w:right="173"/>
      </w:pPr>
      <w:r>
        <w:t>Referral may be appropriate when the client needs a service outside the clinician’s competence, when a different level of care is indicated, or when treatment fit cannot be improved. But immediate referral may be premature if the clinician has not explored the concern, assessed the need, considered consultation, or discussed options with the client. Referral should solve an identified problem, not replace assessment.</w:t>
      </w:r>
    </w:p>
    <w:p>
      <w:pPr>
        <w:pStyle w:val="Heading2"/>
      </w:pPr>
      <w:r>
        <w:t>Slide 5: Premature Involvement of Others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Client at center; family, partner, school, and provider icons outside a consent boundary.</w:t>
            </w:r>
          </w:p>
        </w:tc>
        <w:tc>
          <w:tcPr>
            <w:tcW w:type="dxa" w:w="5112"/>
            <w:shd w:fill="DCEFF6"/>
            <w:tcMar>
              <w:top w:w="90" w:type="dxa"/>
              <w:start w:w="110" w:type="dxa"/>
              <w:bottom w:w="90" w:type="dxa"/>
              <w:end w:w="110" w:type="dxa"/>
            </w:tcMar>
            <w:vAlign w:val="top"/>
          </w:tcPr>
          <w:p>
            <w:r>
              <w:rPr>
                <w:color w:val="243B53"/>
                <w:sz w:val="17"/>
              </w:rPr>
              <w:t>Role + Consent + Need</w:t>
            </w:r>
          </w:p>
        </w:tc>
      </w:tr>
    </w:tbl>
    <w:p>
      <w:pPr>
        <w:pStyle w:val="CTALabel"/>
      </w:pPr>
      <w:r>
        <w:t>Narration</w:t>
      </w:r>
    </w:p>
    <w:p>
      <w:pPr>
        <w:pStyle w:val="CTANarration"/>
        <w:ind w:left="259" w:right="173"/>
      </w:pPr>
      <w:r>
        <w:t>Involving family members, partners, schools, employers, or other providers can be helpful. It can also be premature when the stem does not establish consent, a legal basis, an emergency, or a clear treatment need. Before choosing collaboration, identify the client’s preferences, the clinician’s role, and the rules governing information sharing. Helpful coordination still requires appropriate authorization and timing.</w:t>
      </w:r>
    </w:p>
    <w:p>
      <w:pPr>
        <w:pStyle w:val="Heading2"/>
      </w:pPr>
      <w:r>
        <w:t>Slide 6: Premature Diagnosis or Interpretation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Diagnostic label blocked by missing duration, impairment, exclusions, and history.</w:t>
            </w:r>
          </w:p>
        </w:tc>
        <w:tc>
          <w:tcPr>
            <w:tcW w:type="dxa" w:w="5112"/>
            <w:shd w:fill="DCEFF6"/>
            <w:tcMar>
              <w:top w:w="90" w:type="dxa"/>
              <w:start w:w="110" w:type="dxa"/>
              <w:bottom w:w="90" w:type="dxa"/>
              <w:end w:w="110" w:type="dxa"/>
            </w:tcMar>
            <w:vAlign w:val="top"/>
          </w:tcPr>
          <w:p>
            <w:r>
              <w:rPr>
                <w:color w:val="243B53"/>
                <w:sz w:val="17"/>
              </w:rPr>
              <w:t>Do Not Label Before the Criteria Are Supported</w:t>
            </w:r>
          </w:p>
        </w:tc>
      </w:tr>
    </w:tbl>
    <w:p>
      <w:pPr>
        <w:pStyle w:val="CTALabel"/>
      </w:pPr>
      <w:r>
        <w:t>Narration</w:t>
      </w:r>
    </w:p>
    <w:p>
      <w:pPr>
        <w:pStyle w:val="CTANarration"/>
        <w:ind w:left="259" w:right="173"/>
      </w:pPr>
      <w:r>
        <w:t>A diagnosis, interpretation, or case formulation may be premature when the stem lacks duration, impairment, exclusions, developmental context, or competing explanations. Do not select a label because one symptom sounds familiar. First determine whether the necessary evidence is present. The same principle applies to interpretations of resistance, motivation, family roles, or personality patterns.</w:t>
      </w:r>
    </w:p>
    <w:p>
      <w:pPr>
        <w:pStyle w:val="Heading2"/>
      </w:pPr>
      <w:r>
        <w:t>Slide 7: Premature Technique Selection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Toolbox of interventions with an assessment card in front.</w:t>
            </w:r>
          </w:p>
        </w:tc>
        <w:tc>
          <w:tcPr>
            <w:tcW w:type="dxa" w:w="5112"/>
            <w:shd w:fill="DCEFF6"/>
            <w:tcMar>
              <w:top w:w="90" w:type="dxa"/>
              <w:start w:w="110" w:type="dxa"/>
              <w:bottom w:w="90" w:type="dxa"/>
              <w:end w:w="110" w:type="dxa"/>
            </w:tcMar>
            <w:vAlign w:val="top"/>
          </w:tcPr>
          <w:p>
            <w:r>
              <w:rPr>
                <w:color w:val="243B53"/>
                <w:sz w:val="17"/>
              </w:rPr>
              <w:t>Match the Technique to the Assessed Problem</w:t>
            </w:r>
          </w:p>
        </w:tc>
      </w:tr>
    </w:tbl>
    <w:p>
      <w:pPr>
        <w:pStyle w:val="CTALabel"/>
      </w:pPr>
      <w:r>
        <w:t>Narration</w:t>
      </w:r>
    </w:p>
    <w:p>
      <w:pPr>
        <w:pStyle w:val="CTANarration"/>
        <w:ind w:left="259" w:right="173"/>
      </w:pPr>
      <w:r>
        <w:t>A specific technique can be a distractor when the question has not yet established the target, readiness, safety, diagnosis, treatment goal, or client preference. The technique may be evidence-based and still be premature. First identify the problem the technique is intended to address and whether the stem supports using it now.</w:t>
      </w:r>
    </w:p>
    <w:p>
      <w:pPr>
        <w:pStyle w:val="Heading2"/>
      </w:pPr>
      <w:r>
        <w:t>Slide 8: Premature Documentation or Consultation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Documentation and consultation cards placed after the immediate clinical action.</w:t>
            </w:r>
          </w:p>
        </w:tc>
        <w:tc>
          <w:tcPr>
            <w:tcW w:type="dxa" w:w="5112"/>
            <w:shd w:fill="DCEFF6"/>
            <w:tcMar>
              <w:top w:w="90" w:type="dxa"/>
              <w:start w:w="110" w:type="dxa"/>
              <w:bottom w:w="90" w:type="dxa"/>
              <w:end w:w="110" w:type="dxa"/>
            </w:tcMar>
            <w:vAlign w:val="top"/>
          </w:tcPr>
          <w:p>
            <w:r>
              <w:rPr>
                <w:color w:val="243B53"/>
                <w:sz w:val="17"/>
              </w:rPr>
              <w:t>Important Does Not Always Mean First</w:t>
            </w:r>
          </w:p>
        </w:tc>
      </w:tr>
    </w:tbl>
    <w:p>
      <w:pPr>
        <w:pStyle w:val="CTALabel"/>
      </w:pPr>
      <w:r>
        <w:t>Narration</w:t>
      </w:r>
    </w:p>
    <w:p>
      <w:pPr>
        <w:pStyle w:val="CTANarration"/>
        <w:ind w:left="259" w:right="173"/>
      </w:pPr>
      <w:r>
        <w:t>Documentation and consultation are important, but they are not always the first answer. If a client is in immediate danger, the clinician addresses safety before completing routine documentation. If the clinician can take an appropriate action within competence, consultation may support the decision rather than replace it. Ask whether the option responds to the client’s immediate need or merely describes an important professional task.</w:t>
      </w:r>
    </w:p>
    <w:p>
      <w:pPr>
        <w:pStyle w:val="Heading2"/>
      </w:pPr>
      <w:r>
        <w:t>Slide 9: Example: Client Requests a Major Change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70-80 seconds</w:t>
            </w:r>
          </w:p>
        </w:tc>
        <w:tc>
          <w:tcPr>
            <w:tcW w:type="dxa" w:w="3528"/>
            <w:shd w:fill="F3F8FA"/>
            <w:tcMar>
              <w:top w:w="90" w:type="dxa"/>
              <w:start w:w="110" w:type="dxa"/>
              <w:bottom w:w="90" w:type="dxa"/>
              <w:end w:w="110" w:type="dxa"/>
            </w:tcMar>
            <w:vAlign w:val="top"/>
          </w:tcPr>
          <w:p>
            <w:r>
              <w:rPr>
                <w:color w:val="243B53"/>
                <w:sz w:val="17"/>
              </w:rPr>
              <w:t>Client request leads first to clarification, then options.</w:t>
            </w:r>
          </w:p>
        </w:tc>
        <w:tc>
          <w:tcPr>
            <w:tcW w:type="dxa" w:w="5112"/>
            <w:shd w:fill="DCEFF6"/>
            <w:tcMar>
              <w:top w:w="90" w:type="dxa"/>
              <w:start w:w="110" w:type="dxa"/>
              <w:bottom w:w="90" w:type="dxa"/>
              <w:end w:w="110" w:type="dxa"/>
            </w:tcMar>
            <w:vAlign w:val="top"/>
          </w:tcPr>
          <w:p>
            <w:r>
              <w:rPr>
                <w:color w:val="243B53"/>
                <w:sz w:val="17"/>
              </w:rPr>
              <w:t>Explore the Request Before Acting on It</w:t>
            </w:r>
          </w:p>
        </w:tc>
      </w:tr>
    </w:tbl>
    <w:p>
      <w:pPr>
        <w:pStyle w:val="CTALabel"/>
      </w:pPr>
      <w:r>
        <w:t>Narration</w:t>
      </w:r>
    </w:p>
    <w:p>
      <w:pPr>
        <w:pStyle w:val="CTANarration"/>
        <w:ind w:left="259" w:right="173"/>
      </w:pPr>
      <w:r>
        <w:t>Imagine a client asks to stop the current treatment and begin a very different approach. Immediate agreement, refusal, termination, or referral may all be premature. The clinician should first explore the client’s reasons, goals, experience of the current treatment, expectations, and relevant risks. Once the concern is understood, the clinician can collaboratively decide whether to modify, continue, consult, or refer.</w:t>
      </w:r>
    </w:p>
    <w:p>
      <w:pPr>
        <w:pStyle w:val="Heading2"/>
      </w:pPr>
      <w:r>
        <w:t>Slide 10: Example: Conflict in a Family Session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70-80 seconds</w:t>
            </w:r>
          </w:p>
        </w:tc>
        <w:tc>
          <w:tcPr>
            <w:tcW w:type="dxa" w:w="3528"/>
            <w:shd w:fill="F3F8FA"/>
            <w:tcMar>
              <w:top w:w="90" w:type="dxa"/>
              <w:start w:w="110" w:type="dxa"/>
              <w:bottom w:w="90" w:type="dxa"/>
              <w:end w:w="110" w:type="dxa"/>
            </w:tcMar>
            <w:vAlign w:val="top"/>
          </w:tcPr>
          <w:p>
            <w:r>
              <w:rPr>
                <w:color w:val="243B53"/>
                <w:sz w:val="17"/>
              </w:rPr>
              <w:t>Escalating family conflict; options to assess safety, terminate, remove a member, or interpret dynamics.</w:t>
            </w:r>
          </w:p>
        </w:tc>
        <w:tc>
          <w:tcPr>
            <w:tcW w:type="dxa" w:w="5112"/>
            <w:shd w:fill="DCEFF6"/>
            <w:tcMar>
              <w:top w:w="90" w:type="dxa"/>
              <w:start w:w="110" w:type="dxa"/>
              <w:bottom w:w="90" w:type="dxa"/>
              <w:end w:w="110" w:type="dxa"/>
            </w:tcMar>
            <w:vAlign w:val="top"/>
          </w:tcPr>
          <w:p>
            <w:r>
              <w:rPr>
                <w:color w:val="243B53"/>
                <w:sz w:val="17"/>
              </w:rPr>
              <w:t>Stabilize and Clarify Before Making a Major Treatment Change</w:t>
            </w:r>
          </w:p>
        </w:tc>
      </w:tr>
    </w:tbl>
    <w:p>
      <w:pPr>
        <w:pStyle w:val="CTALabel"/>
      </w:pPr>
      <w:r>
        <w:t>Narration</w:t>
      </w:r>
    </w:p>
    <w:p>
      <w:pPr>
        <w:pStyle w:val="CTANarration"/>
        <w:ind w:left="259" w:right="173"/>
      </w:pPr>
      <w:r>
        <w:t>Suppose conflict escalates during a family session. Immediately ending family treatment, assigning blame, or removing one member may be premature unless safety requires it. The clinician first manages the immediate interaction, assesses safety, clarifies what occurred, and restores enough structure to determine the next step. Major treatment decisions should follow the assessment of the event.</w:t>
      </w:r>
    </w:p>
    <w:p>
      <w:pPr>
        <w:pStyle w:val="Heading2"/>
      </w:pPr>
      <w:r>
        <w:t>Slide 11: Use the “Now or Later?” Test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Two columns: appropriate now versus possibly appropriate later.</w:t>
            </w:r>
          </w:p>
        </w:tc>
        <w:tc>
          <w:tcPr>
            <w:tcW w:type="dxa" w:w="5112"/>
            <w:shd w:fill="DCEFF6"/>
            <w:tcMar>
              <w:top w:w="90" w:type="dxa"/>
              <w:start w:w="110" w:type="dxa"/>
              <w:bottom w:w="90" w:type="dxa"/>
              <w:end w:w="110" w:type="dxa"/>
            </w:tcMar>
            <w:vAlign w:val="top"/>
          </w:tcPr>
          <w:p>
            <w:r>
              <w:rPr>
                <w:color w:val="243B53"/>
                <w:sz w:val="17"/>
              </w:rPr>
              <w:t>Could This Be Right Later, but Not Yet?</w:t>
            </w:r>
          </w:p>
        </w:tc>
      </w:tr>
    </w:tbl>
    <w:p>
      <w:pPr>
        <w:pStyle w:val="CTALabel"/>
      </w:pPr>
      <w:r>
        <w:t>Narration</w:t>
      </w:r>
    </w:p>
    <w:p>
      <w:pPr>
        <w:pStyle w:val="CTANarration"/>
        <w:ind w:left="259" w:right="173"/>
      </w:pPr>
      <w:r>
        <w:t>Use the now-or-later test. For each tempting option, ask whether it could be appropriate after more assessment, consent, stabilization, collaboration, or evaluation. If the answer is yes, the option may be a later step rather than the current answer. Then identify what must happen now to make that later step clinically sound.</w:t>
      </w:r>
    </w:p>
    <w:p>
      <w:pPr>
        <w:pStyle w:val="Heading2"/>
      </w:pPr>
      <w:r>
        <w:t>Slide 12: Use the Least Assumptive Effective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Funnel from many assumptions to one focused next action.</w:t>
            </w:r>
          </w:p>
        </w:tc>
        <w:tc>
          <w:tcPr>
            <w:tcW w:type="dxa" w:w="5112"/>
            <w:shd w:fill="DCEFF6"/>
            <w:tcMar>
              <w:top w:w="90" w:type="dxa"/>
              <w:start w:w="110" w:type="dxa"/>
              <w:bottom w:w="90" w:type="dxa"/>
              <w:end w:w="110" w:type="dxa"/>
            </w:tcMar>
            <w:vAlign w:val="top"/>
          </w:tcPr>
          <w:p>
            <w:r>
              <w:rPr>
                <w:color w:val="243B53"/>
                <w:sz w:val="17"/>
              </w:rPr>
              <w:t>Choose the Step Supported by the Facts</w:t>
            </w:r>
          </w:p>
        </w:tc>
      </w:tr>
    </w:tbl>
    <w:p>
      <w:pPr>
        <w:pStyle w:val="CTALabel"/>
      </w:pPr>
      <w:r>
        <w:t>Narration</w:t>
      </w:r>
    </w:p>
    <w:p>
      <w:pPr>
        <w:pStyle w:val="CTANarration"/>
        <w:ind w:left="259" w:right="173"/>
      </w:pPr>
      <w:r>
        <w:t>When several options are plausible, prefer the effective step that requires the fewest unsupported assumptions. That does not mean always choosing the least intensive response. It means choosing the action justified by the facts. If danger is established, act decisively. If key facts are missing, clarify them. If the stage is evaluation, review outcomes before changing the plan.</w:t>
      </w:r>
    </w:p>
    <w:p>
      <w:pPr>
        <w:pStyle w:val="Heading2"/>
      </w:pPr>
      <w:r>
        <w:t>Slide 13: The Premature-Answer Checklist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Checklist with five questions.</w:t>
            </w:r>
          </w:p>
        </w:tc>
        <w:tc>
          <w:tcPr>
            <w:tcW w:type="dxa" w:w="5112"/>
            <w:shd w:fill="DCEFF6"/>
            <w:tcMar>
              <w:top w:w="90" w:type="dxa"/>
              <w:start w:w="110" w:type="dxa"/>
              <w:bottom w:w="90" w:type="dxa"/>
              <w:end w:w="110" w:type="dxa"/>
            </w:tcMar>
            <w:vAlign w:val="top"/>
          </w:tcPr>
          <w:p>
            <w:r>
              <w:rPr>
                <w:color w:val="243B53"/>
                <w:sz w:val="17"/>
              </w:rPr>
              <w:t>Prerequisite?</w:t>
              <w:br/>
              <w:t>Enough Facts?</w:t>
              <w:br/>
              <w:t>Right Stage?</w:t>
              <w:br/>
              <w:t>Role and Consent?</w:t>
              <w:br/>
              <w:t>Proportional?</w:t>
            </w:r>
          </w:p>
        </w:tc>
      </w:tr>
    </w:tbl>
    <w:p>
      <w:pPr>
        <w:pStyle w:val="CTALabel"/>
      </w:pPr>
      <w:r>
        <w:t>Narration</w:t>
      </w:r>
    </w:p>
    <w:p>
      <w:pPr>
        <w:pStyle w:val="CTANarration"/>
        <w:ind w:left="259" w:right="173"/>
      </w:pPr>
      <w:r>
        <w:t>Before choosing a strong-sounding answer, run this checklist. Has the prerequisite been completed? Are there enough facts? Is this the correct stage? Does the option fit the clinician’s role and the client’s consent or safety needs? Is the response proportional to the situation? If one of those questions is unanswered, the option may be premature.</w:t>
      </w:r>
    </w:p>
    <w:p>
      <w:pPr>
        <w:pStyle w:val="Heading2"/>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Error log category labeled “premature action.”</w:t>
            </w:r>
          </w:p>
        </w:tc>
        <w:tc>
          <w:tcPr>
            <w:tcW w:type="dxa" w:w="5112"/>
            <w:shd w:fill="DCEFF6"/>
            <w:tcMar>
              <w:top w:w="90" w:type="dxa"/>
              <w:start w:w="110" w:type="dxa"/>
              <w:bottom w:w="90" w:type="dxa"/>
              <w:end w:w="110" w:type="dxa"/>
            </w:tcMar>
            <w:vAlign w:val="top"/>
          </w:tcPr>
          <w:p>
            <w:r>
              <w:rPr>
                <w:color w:val="243B53"/>
                <w:sz w:val="17"/>
              </w:rPr>
              <w:t>Next: Mark “Premature Action” When Timing Caused the Miss</w:t>
            </w:r>
          </w:p>
        </w:tc>
      </w:tr>
    </w:tbl>
    <w:p>
      <w:pPr>
        <w:pStyle w:val="CTALabel"/>
      </w:pPr>
      <w:r>
        <w:t>Narration</w:t>
      </w:r>
    </w:p>
    <w:p>
      <w:pPr>
        <w:pStyle w:val="CTANarration"/>
        <w:ind w:left="259" w:right="173"/>
      </w:pPr>
      <w:r>
        <w:t>During your next practice set, mark any missed item caused by choosing a later step too soon. Write what needed to happen first and when the tempting option would become appropriate. This turns a missed question into a reusable sequencing rule instead of a memorized answer.</w:t>
      </w:r>
    </w:p>
    <w:p>
      <w:pPr>
        <w:pStyle w:val="Heading1"/>
      </w:pPr>
      <w:r>
        <w:t>Audio-Only Adaptation Notes</w:t>
      </w:r>
    </w:p>
    <w:p>
      <w:pPr>
        <w:pStyle w:val="ListBullet"/>
        <w:spacing w:after="40"/>
        <w:ind w:left="360" w:hanging="216"/>
      </w:pPr>
      <w:r>
        <w:t>When presenting each premature-answer type, state the missing prerequisite aloud.</w:t>
      </w:r>
    </w:p>
    <w:p>
      <w:pPr>
        <w:pStyle w:val="ListBullet"/>
        <w:spacing w:after="40"/>
        <w:ind w:left="360" w:hanging="216"/>
      </w:pPr>
      <w:r>
        <w:t>Describe the now-or-later test in complete sentences for audio listeners.</w:t>
      </w:r>
    </w:p>
    <w:p>
      <w:pPr>
        <w:pStyle w:val="ListBullet"/>
        <w:spacing w:after="40"/>
        <w:ind w:left="360" w:hanging="216"/>
      </w:pPr>
      <w:r>
        <w:t>Emphasize that immediate danger can justify intensive action.</w:t>
      </w:r>
    </w:p>
    <w:p>
      <w:pPr>
        <w:pStyle w:val="ListBullet"/>
        <w:spacing w:after="40"/>
        <w:ind w:left="360" w:hanging="216"/>
      </w:pPr>
      <w:r>
        <w:t>End by directing the student to use the premature-action category in the error log.</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central lesson is timing: a high-quality action can still be the wrong answer when the case has not reached that stage. The recording should help students reject attractive distractors without becoming overly cautious.</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Eliminate Plausible but Premature Answers</dc:title>
  <dc:subject>Shared LMFT &amp; LCSW Multimedia Script 05</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