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How to Use Rationales and Build an Error Log</w:t>
      </w:r>
    </w:p>
    <w:p>
      <w:pPr>
        <w:jc w:val="center"/>
      </w:pPr>
      <w:r>
        <w:rPr>
          <w:rFonts w:ascii="Aptos Display" w:hAnsi="Aptos Display"/>
          <w:b/>
          <w:color w:val="2AA7D6"/>
          <w:sz w:val="32"/>
        </w:rPr>
        <w:t>Shared LMFT &amp; LCSW Multimedia Script 06</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students to turn every practice item into structured feedback, identify recurring error patterns, and create targeted remediation rather than merely checking answer letters.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Students using CTA workbook banks and comprehensive simulations.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9-12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Shared Core Strategy Library in both the LMFT and LCSW programs.</w:t>
            </w:r>
          </w:p>
        </w:tc>
      </w:tr>
      <w:tr>
        <w:tc>
          <w:tcPr>
            <w:tcW w:type="dxa" w:w="2448"/>
            <w:tcMar>
              <w:top w:w="90" w:type="dxa"/>
              <w:start w:w="110" w:type="dxa"/>
              <w:bottom w:w="90" w:type="dxa"/>
              <w:end w:w="110" w:type="dxa"/>
            </w:tcMar>
            <w:vAlign w:val="top"/>
          </w:tcPr>
          <w:p>
            <w:pPr>
              <w:spacing w:after="40"/>
            </w:pPr>
            <w:r>
              <w:rPr>
                <w:color w:val="243B53"/>
                <w:sz w:val="17"/>
              </w:rPr>
              <w:t>Script Use</w:t>
            </w:r>
          </w:p>
        </w:tc>
        <w:tc>
          <w:tcPr>
            <w:tcW w:type="dxa" w:w="8208"/>
            <w:tcMar>
              <w:top w:w="90" w:type="dxa"/>
              <w:start w:w="110" w:type="dxa"/>
              <w:bottom w:w="90" w:type="dxa"/>
              <w:end w:w="110" w:type="dxa"/>
            </w:tcMar>
            <w:vAlign w:val="top"/>
          </w:tcPr>
          <w:p>
            <w:pPr>
              <w:spacing w:after="40"/>
            </w:pPr>
            <w:r>
              <w:rPr>
                <w:color w:val="243B53"/>
                <w:sz w:val="17"/>
              </w:rPr>
              <w:t>The narration below also serves as the caption and transcript source after final recording edits.</w:t>
            </w:r>
          </w:p>
        </w:tc>
      </w:tr>
    </w:tbl>
    <w:p>
      <w:pPr>
        <w:spacing w:after="20"/>
      </w:pPr>
    </w:p>
    <w:p>
      <w:pPr>
        <w:pStyle w:val="Heading1"/>
      </w:pPr>
      <w:r>
        <w:t>Learning Outcomes</w:t>
      </w:r>
    </w:p>
    <w:p>
      <w:pPr>
        <w:pStyle w:val="ListBullet"/>
        <w:spacing w:after="40"/>
        <w:ind w:left="360" w:hanging="216"/>
      </w:pPr>
      <w:r>
        <w:t>Review correct and incorrect responses using the full rationale.</w:t>
      </w:r>
    </w:p>
    <w:p>
      <w:pPr>
        <w:pStyle w:val="ListBullet"/>
        <w:spacing w:after="40"/>
        <w:ind w:left="360" w:hanging="216"/>
      </w:pPr>
      <w:r>
        <w:t>Classify errors by content, task word, stage, timing, role, assumption, and test behavior.</w:t>
      </w:r>
    </w:p>
    <w:p>
      <w:pPr>
        <w:pStyle w:val="ListBullet"/>
        <w:spacing w:after="40"/>
        <w:ind w:left="360" w:hanging="216"/>
      </w:pPr>
      <w:r>
        <w:t>Write a specific corrected decision rule.</w:t>
      </w:r>
    </w:p>
    <w:p>
      <w:pPr>
        <w:pStyle w:val="ListBullet"/>
        <w:spacing w:after="40"/>
        <w:ind w:left="360" w:hanging="216"/>
      </w:pPr>
      <w:r>
        <w:t>Use spaced review and pattern analysis to plan remediation.</w:t>
      </w:r>
    </w:p>
    <w:p>
      <w:pPr>
        <w:pStyle w:val="Heading1"/>
      </w:pPr>
      <w:r>
        <w:t>Voice and Presentation Direction</w:t>
      </w:r>
    </w:p>
    <w:p>
      <w:pPr>
        <w:pStyle w:val="ListBullet"/>
        <w:spacing w:after="40"/>
        <w:ind w:left="360" w:hanging="216"/>
      </w:pPr>
      <w:r>
        <w:t>Supportive, practical, and nonjudgmental.</w:t>
      </w:r>
    </w:p>
    <w:p>
      <w:pPr>
        <w:pStyle w:val="ListBullet"/>
        <w:spacing w:after="40"/>
        <w:ind w:left="360" w:hanging="216"/>
      </w:pPr>
      <w:r>
        <w:t>Treat mistakes as data rather than evidence of failure.</w:t>
      </w:r>
    </w:p>
    <w:p>
      <w:pPr>
        <w:pStyle w:val="ListBullet"/>
        <w:spacing w:after="40"/>
        <w:ind w:left="360" w:hanging="216"/>
      </w:pPr>
      <w:r>
        <w:t>Model specific error-log language.</w:t>
      </w:r>
    </w:p>
    <w:p>
      <w:pPr>
        <w:pStyle w:val="ListBullet"/>
        <w:spacing w:after="40"/>
        <w:ind w:left="360" w:hanging="216"/>
      </w:pPr>
      <w:r>
        <w:t>Emphasize transfer of reasoning instead of memorizing answer positions.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Speak naturally and directly to one candidate. Do not read the slide text word for word. Pause briefly after important decision rules and use a calm, confident pace.</w:t>
            </w:r>
          </w:p>
        </w:tc>
      </w:tr>
    </w:tbl>
    <w:p>
      <w:pPr>
        <w:spacing w:after="20"/>
      </w:pPr>
    </w:p>
    <w:p>
      <w:pPr>
        <w:pStyle w:val="Heading1"/>
      </w:pPr>
      <w:r>
        <w:t>Slide-by-Slide Script</w:t>
      </w:r>
    </w:p>
    <w:p>
      <w:pPr>
        <w:pStyle w:val="Heading2"/>
      </w:pPr>
      <w:r>
        <w:t>Slide 1: The Rationale Is Part of the Lesson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30-40 seconds</w:t>
            </w:r>
          </w:p>
        </w:tc>
        <w:tc>
          <w:tcPr>
            <w:tcW w:type="dxa" w:w="3528"/>
            <w:shd w:fill="F3F8FA"/>
            <w:tcMar>
              <w:top w:w="90" w:type="dxa"/>
              <w:start w:w="110" w:type="dxa"/>
              <w:bottom w:w="90" w:type="dxa"/>
              <w:end w:w="110" w:type="dxa"/>
            </w:tcMar>
            <w:vAlign w:val="top"/>
          </w:tcPr>
          <w:p>
            <w:r>
              <w:rPr>
                <w:color w:val="243B53"/>
                <w:sz w:val="17"/>
              </w:rPr>
              <w:t>Question card connected to rationale, strategy, and error log.</w:t>
            </w:r>
          </w:p>
        </w:tc>
        <w:tc>
          <w:tcPr>
            <w:tcW w:type="dxa" w:w="5112"/>
            <w:shd w:fill="DCEFF6"/>
            <w:tcMar>
              <w:top w:w="90" w:type="dxa"/>
              <w:start w:w="110" w:type="dxa"/>
              <w:bottom w:w="90" w:type="dxa"/>
              <w:end w:w="110" w:type="dxa"/>
            </w:tcMar>
            <w:vAlign w:val="top"/>
          </w:tcPr>
          <w:p>
            <w:r>
              <w:rPr>
                <w:color w:val="243B53"/>
                <w:sz w:val="17"/>
              </w:rPr>
              <w:t>Practice Is Not Complete Until the Rationale Is Reviewed</w:t>
            </w:r>
          </w:p>
        </w:tc>
      </w:tr>
    </w:tbl>
    <w:p>
      <w:pPr>
        <w:pStyle w:val="CTALabel"/>
      </w:pPr>
      <w:r>
        <w:t>Narration</w:t>
      </w:r>
    </w:p>
    <w:p>
      <w:pPr>
        <w:pStyle w:val="CTANarration"/>
        <w:ind w:left="259" w:right="173"/>
      </w:pPr>
      <w:r>
        <w:t>A practice question is not complete when you select an answer. The learning happens when you review why the best answer fits, why the distractors are weaker, and what decision rule you can use again. The rationale is not merely an answer key. It is the coaching portion of the item.</w:t>
      </w:r>
    </w:p>
    <w:p>
      <w:pPr>
        <w:pStyle w:val="Heading2"/>
      </w:pPr>
      <w:r>
        <w:t>Slide 2: Review Correct Answers Too</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Correct answer marked with two paths: sound reasoning versus lucky guess.</w:t>
            </w:r>
          </w:p>
        </w:tc>
        <w:tc>
          <w:tcPr>
            <w:tcW w:type="dxa" w:w="5112"/>
            <w:shd w:fill="DCEFF6"/>
            <w:tcMar>
              <w:top w:w="90" w:type="dxa"/>
              <w:start w:w="110" w:type="dxa"/>
              <w:bottom w:w="90" w:type="dxa"/>
              <w:end w:w="110" w:type="dxa"/>
            </w:tcMar>
            <w:vAlign w:val="top"/>
          </w:tcPr>
          <w:p>
            <w:r>
              <w:rPr>
                <w:color w:val="243B53"/>
                <w:sz w:val="17"/>
              </w:rPr>
              <w:t>Correct Letter ≠ Correct Reasoning</w:t>
            </w:r>
          </w:p>
        </w:tc>
      </w:tr>
    </w:tbl>
    <w:p>
      <w:pPr>
        <w:pStyle w:val="CTALabel"/>
      </w:pPr>
      <w:r>
        <w:t>Narration</w:t>
      </w:r>
    </w:p>
    <w:p>
      <w:pPr>
        <w:pStyle w:val="CTANarration"/>
        <w:ind w:left="259" w:right="173"/>
      </w:pPr>
      <w:r>
        <w:t>Review items you answered correctly as well as items you missed. A correct answer may come from strong reasoning, partial knowledge, guessing, or eliminating options for the wrong reason. Ask yourself whether you could explain the answer without seeing the rationale. If not, the item still has something to teach you.</w:t>
      </w:r>
    </w:p>
    <w:p>
      <w:pPr>
        <w:pStyle w:val="Heading2"/>
      </w:pPr>
      <w:r>
        <w:t>Slide 3: Read the Best-Answer Explanation First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Rationale sections highlighted in order.</w:t>
            </w:r>
          </w:p>
        </w:tc>
        <w:tc>
          <w:tcPr>
            <w:tcW w:type="dxa" w:w="5112"/>
            <w:shd w:fill="DCEFF6"/>
            <w:tcMar>
              <w:top w:w="90" w:type="dxa"/>
              <w:start w:w="110" w:type="dxa"/>
              <w:bottom w:w="90" w:type="dxa"/>
              <w:end w:w="110" w:type="dxa"/>
            </w:tcMar>
            <w:vAlign w:val="top"/>
          </w:tcPr>
          <w:p>
            <w:r>
              <w:rPr>
                <w:color w:val="243B53"/>
                <w:sz w:val="17"/>
              </w:rPr>
              <w:t>1. Why the Best Answer Fits</w:t>
              <w:br/>
              <w:t>2. Why the Others Are Weaker</w:t>
              <w:br/>
              <w:t>3. CTA Exam Strategy</w:t>
            </w:r>
          </w:p>
        </w:tc>
      </w:tr>
    </w:tbl>
    <w:p>
      <w:pPr>
        <w:pStyle w:val="CTALabel"/>
      </w:pPr>
      <w:r>
        <w:t>Narration</w:t>
      </w:r>
    </w:p>
    <w:p>
      <w:pPr>
        <w:pStyle w:val="CTANarration"/>
        <w:ind w:left="259" w:right="173"/>
      </w:pPr>
      <w:r>
        <w:t>Begin with the explanation of the best answer. Identify the fact, task word, stage, role, or priority that makes it strongest. Then review every other option. Finish with the CTA Exam Strategy and convert the explanation into a short rule you can apply to a new question.</w:t>
      </w:r>
    </w:p>
    <w:p>
      <w:pPr>
        <w:pStyle w:val="Heading2"/>
      </w:pPr>
      <w:r>
        <w:t>Slide 4: Study Why Each Distractor Fails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Distractor labels: premature, unsupported, wrong role, too broad, wrong stage.</w:t>
            </w:r>
          </w:p>
        </w:tc>
        <w:tc>
          <w:tcPr>
            <w:tcW w:type="dxa" w:w="5112"/>
            <w:shd w:fill="DCEFF6"/>
            <w:tcMar>
              <w:top w:w="90" w:type="dxa"/>
              <w:start w:w="110" w:type="dxa"/>
              <w:bottom w:w="90" w:type="dxa"/>
              <w:end w:w="110" w:type="dxa"/>
            </w:tcMar>
            <w:vAlign w:val="top"/>
          </w:tcPr>
          <w:p>
            <w:r>
              <w:rPr>
                <w:color w:val="243B53"/>
                <w:sz w:val="17"/>
              </w:rPr>
              <w:t>Distractors Reveal the Tested Distinction</w:t>
            </w:r>
          </w:p>
        </w:tc>
      </w:tr>
    </w:tbl>
    <w:p>
      <w:pPr>
        <w:pStyle w:val="CTALabel"/>
      </w:pPr>
      <w:r>
        <w:t>Narration</w:t>
      </w:r>
    </w:p>
    <w:p>
      <w:pPr>
        <w:pStyle w:val="CTANarration"/>
        <w:ind w:left="259" w:right="173"/>
      </w:pPr>
      <w:r>
        <w:t>Distractors often reveal exactly what the question is testing. One may be premature. Another may assume facts not provided. Another may be outside the clinician’s role, too broad, overly intensive, or appropriate at a different stage. Learning the reason each distractor fails helps you recognize the same pattern when the content changes.</w:t>
      </w:r>
    </w:p>
    <w:p>
      <w:pPr>
        <w:pStyle w:val="Heading2"/>
      </w:pPr>
      <w:r>
        <w:t>Slide 5: Use an Error Log for Patterns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Error-log columns: item, concept, chosen answer, best answer, error type, rule, review date.</w:t>
            </w:r>
          </w:p>
        </w:tc>
        <w:tc>
          <w:tcPr>
            <w:tcW w:type="dxa" w:w="5112"/>
            <w:shd w:fill="DCEFF6"/>
            <w:tcMar>
              <w:top w:w="90" w:type="dxa"/>
              <w:start w:w="110" w:type="dxa"/>
              <w:bottom w:w="90" w:type="dxa"/>
              <w:end w:w="110" w:type="dxa"/>
            </w:tcMar>
            <w:vAlign w:val="top"/>
          </w:tcPr>
          <w:p>
            <w:r>
              <w:rPr>
                <w:color w:val="243B53"/>
                <w:sz w:val="17"/>
              </w:rPr>
              <w:t>Track the Pattern, Not Just the Score</w:t>
            </w:r>
          </w:p>
        </w:tc>
      </w:tr>
    </w:tbl>
    <w:p>
      <w:pPr>
        <w:pStyle w:val="CTALabel"/>
      </w:pPr>
      <w:r>
        <w:t>Narration</w:t>
      </w:r>
    </w:p>
    <w:p>
      <w:pPr>
        <w:pStyle w:val="CTANarration"/>
        <w:ind w:left="259" w:right="173"/>
      </w:pPr>
      <w:r>
        <w:t>An error log turns individual misses into patterns. Record the item or topic, what you chose, the best answer, the type of error, the corrected decision rule, and the date you will review it. The log should help you see whether your main problem is content knowledge, sequencing, task words, over-assumption, pacing, or something else.</w:t>
      </w:r>
    </w:p>
    <w:p>
      <w:pPr>
        <w:pStyle w:val="Heading2"/>
      </w:pPr>
      <w:r>
        <w:t>Slide 6: Error Type: Content Gap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Open-book icon beside a missing concept.</w:t>
            </w:r>
          </w:p>
        </w:tc>
        <w:tc>
          <w:tcPr>
            <w:tcW w:type="dxa" w:w="5112"/>
            <w:shd w:fill="DCEFF6"/>
            <w:tcMar>
              <w:top w:w="90" w:type="dxa"/>
              <w:start w:w="110" w:type="dxa"/>
              <w:bottom w:w="90" w:type="dxa"/>
              <w:end w:w="110" w:type="dxa"/>
            </w:tcMar>
            <w:vAlign w:val="top"/>
          </w:tcPr>
          <w:p>
            <w:r>
              <w:rPr>
                <w:color w:val="243B53"/>
                <w:sz w:val="17"/>
              </w:rPr>
              <w:t>Content Gap = I Did Not Know or Recall the Rule</w:t>
            </w:r>
          </w:p>
        </w:tc>
      </w:tr>
    </w:tbl>
    <w:p>
      <w:pPr>
        <w:pStyle w:val="CTALabel"/>
      </w:pPr>
      <w:r>
        <w:t>Narration</w:t>
      </w:r>
    </w:p>
    <w:p>
      <w:pPr>
        <w:pStyle w:val="CTANarration"/>
        <w:ind w:left="259" w:right="173"/>
      </w:pPr>
      <w:r>
        <w:t>Use the content-gap category when you did not know, remember, or accurately distinguish the tested concept. The remedy is targeted review. Return to the relevant workbook section, restate the rule in your own words, and create a brief retrieval prompt. Do not reread the entire workbook when one specific distinction caused the miss.</w:t>
      </w:r>
    </w:p>
    <w:p>
      <w:pPr>
        <w:pStyle w:val="Heading2"/>
      </w:pPr>
      <w:r>
        <w:t>Slide 7: Error Type: Task-Word or Stage Error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FIRST/NEXT/BEST and stage labels highlighted.</w:t>
            </w:r>
          </w:p>
        </w:tc>
        <w:tc>
          <w:tcPr>
            <w:tcW w:type="dxa" w:w="5112"/>
            <w:shd w:fill="DCEFF6"/>
            <w:tcMar>
              <w:top w:w="90" w:type="dxa"/>
              <w:start w:w="110" w:type="dxa"/>
              <w:bottom w:w="90" w:type="dxa"/>
              <w:end w:w="110" w:type="dxa"/>
            </w:tcMar>
            <w:vAlign w:val="top"/>
          </w:tcPr>
          <w:p>
            <w:r>
              <w:rPr>
                <w:color w:val="243B53"/>
                <w:sz w:val="17"/>
              </w:rPr>
              <w:t>Task-Word Error</w:t>
              <w:br/>
              <w:t>Stage Error</w:t>
            </w:r>
          </w:p>
        </w:tc>
      </w:tr>
    </w:tbl>
    <w:p>
      <w:pPr>
        <w:pStyle w:val="CTALabel"/>
      </w:pPr>
      <w:r>
        <w:t>Narration</w:t>
      </w:r>
    </w:p>
    <w:p>
      <w:pPr>
        <w:pStyle w:val="CTANarration"/>
        <w:ind w:left="259" w:right="173"/>
      </w:pPr>
      <w:r>
        <w:t>Use task-word error when you missed what FIRST, NEXT, BEST, or MOST required. Use stage error when you confused assessment, planning, intervention, evaluation, or follow-up. The remedy is to rewrite the question as a sequence. State what has already happened and what must occur next.</w:t>
      </w:r>
    </w:p>
    <w:p>
      <w:pPr>
        <w:pStyle w:val="Heading2"/>
      </w:pPr>
      <w:r>
        <w:t>Slide 8: Error Type: Premature Action or Over-Assumption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Later-step arrow and imagined facts outside the question boundary.</w:t>
            </w:r>
          </w:p>
        </w:tc>
        <w:tc>
          <w:tcPr>
            <w:tcW w:type="dxa" w:w="5112"/>
            <w:shd w:fill="DCEFF6"/>
            <w:tcMar>
              <w:top w:w="90" w:type="dxa"/>
              <w:start w:w="110" w:type="dxa"/>
              <w:bottom w:w="90" w:type="dxa"/>
              <w:end w:w="110" w:type="dxa"/>
            </w:tcMar>
            <w:vAlign w:val="top"/>
          </w:tcPr>
          <w:p>
            <w:r>
              <w:rPr>
                <w:color w:val="243B53"/>
                <w:sz w:val="17"/>
              </w:rPr>
              <w:t>Premature Action</w:t>
              <w:br/>
              <w:t>Added Facts</w:t>
            </w:r>
          </w:p>
        </w:tc>
      </w:tr>
    </w:tbl>
    <w:p>
      <w:pPr>
        <w:pStyle w:val="CTALabel"/>
      </w:pPr>
      <w:r>
        <w:t>Narration</w:t>
      </w:r>
    </w:p>
    <w:p>
      <w:pPr>
        <w:pStyle w:val="CTANarration"/>
        <w:ind w:left="259" w:right="173"/>
      </w:pPr>
      <w:r>
        <w:t>Use premature action when you selected a step that could be appropriate later but not yet. Use over-assumption when you added danger, diagnosis, consent, motivation, or history that the stem did not provide. The remedy is to identify the missing prerequisite or unsupported fact and replace it with a rule grounded in the actual scenario.</w:t>
      </w:r>
    </w:p>
    <w:p>
      <w:pPr>
        <w:pStyle w:val="Heading2"/>
      </w:pPr>
      <w:r>
        <w:t>Slide 9: Error Type: Role, Ethics, or Collaboration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Role boundary, consent symbol, and collaboration icon.</w:t>
            </w:r>
          </w:p>
        </w:tc>
        <w:tc>
          <w:tcPr>
            <w:tcW w:type="dxa" w:w="5112"/>
            <w:shd w:fill="DCEFF6"/>
            <w:tcMar>
              <w:top w:w="90" w:type="dxa"/>
              <w:start w:w="110" w:type="dxa"/>
              <w:bottom w:w="90" w:type="dxa"/>
              <w:end w:w="110" w:type="dxa"/>
            </w:tcMar>
            <w:vAlign w:val="top"/>
          </w:tcPr>
          <w:p>
            <w:r>
              <w:rPr>
                <w:color w:val="243B53"/>
                <w:sz w:val="17"/>
              </w:rPr>
              <w:t>Role • Consent • Client Voice • Professional Duty</w:t>
            </w:r>
          </w:p>
        </w:tc>
      </w:tr>
    </w:tbl>
    <w:p>
      <w:pPr>
        <w:pStyle w:val="CTALabel"/>
      </w:pPr>
      <w:r>
        <w:t>Narration</w:t>
      </w:r>
    </w:p>
    <w:p>
      <w:pPr>
        <w:pStyle w:val="CTANarration"/>
        <w:ind w:left="259" w:right="173"/>
      </w:pPr>
      <w:r>
        <w:t>Use this category when the answer ignored the clinician’s role, the client’s self-determination, consent, confidentiality, competence, or a required professional duty. The remedy is to state whose decision it is, what authorization is needed, and whether any safety or legal exception changes the usual process.</w:t>
      </w:r>
    </w:p>
    <w:p>
      <w:pPr>
        <w:pStyle w:val="Heading2"/>
      </w:pPr>
      <w:r>
        <w:t>Slide 10: Error Type: Test Behavior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Clock, changing answers, rushing, and getting stuck.</w:t>
            </w:r>
          </w:p>
        </w:tc>
        <w:tc>
          <w:tcPr>
            <w:tcW w:type="dxa" w:w="5112"/>
            <w:shd w:fill="DCEFF6"/>
            <w:tcMar>
              <w:top w:w="90" w:type="dxa"/>
              <w:start w:w="110" w:type="dxa"/>
              <w:bottom w:w="90" w:type="dxa"/>
              <w:end w:w="110" w:type="dxa"/>
            </w:tcMar>
            <w:vAlign w:val="top"/>
          </w:tcPr>
          <w:p>
            <w:r>
              <w:rPr>
                <w:color w:val="243B53"/>
                <w:sz w:val="17"/>
              </w:rPr>
              <w:t>Rushing • Overthinking • Changing Answers • Time Loss</w:t>
            </w:r>
          </w:p>
        </w:tc>
      </w:tr>
    </w:tbl>
    <w:p>
      <w:pPr>
        <w:pStyle w:val="CTALabel"/>
      </w:pPr>
      <w:r>
        <w:t>Narration</w:t>
      </w:r>
    </w:p>
    <w:p>
      <w:pPr>
        <w:pStyle w:val="CTANarration"/>
        <w:ind w:left="259" w:right="173"/>
      </w:pPr>
      <w:r>
        <w:t>Some misses are caused by test behavior rather than content. You may rush past a task word, spend too long on one item, change a well-reasoned answer without new evidence, or become less accurate when anxious. Record the behavior and the correction. For example: pause for the task word, use a time limit, or change an answer only when you can identify a specific reason.</w:t>
      </w:r>
    </w:p>
    <w:p>
      <w:pPr>
        <w:pStyle w:val="Heading2"/>
      </w:pPr>
      <w:r>
        <w:t>Slide 11: Write a Useful Corrected Rule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Weak note versus strong note comparison.</w:t>
            </w:r>
          </w:p>
        </w:tc>
        <w:tc>
          <w:tcPr>
            <w:tcW w:type="dxa" w:w="5112"/>
            <w:shd w:fill="DCEFF6"/>
            <w:tcMar>
              <w:top w:w="90" w:type="dxa"/>
              <w:start w:w="110" w:type="dxa"/>
              <w:bottom w:w="90" w:type="dxa"/>
              <w:end w:w="110" w:type="dxa"/>
            </w:tcMar>
            <w:vAlign w:val="top"/>
          </w:tcPr>
          <w:p>
            <w:r>
              <w:rPr>
                <w:color w:val="243B53"/>
                <w:sz w:val="17"/>
              </w:rPr>
              <w:t>Weak: “Read Carefully”</w:t>
              <w:br/>
              <w:t>Strong: “When risk is unclear, assess severity before choosing level of care.”</w:t>
            </w:r>
          </w:p>
        </w:tc>
      </w:tr>
    </w:tbl>
    <w:p>
      <w:pPr>
        <w:pStyle w:val="CTALabel"/>
      </w:pPr>
      <w:r>
        <w:t>Narration</w:t>
      </w:r>
    </w:p>
    <w:p>
      <w:pPr>
        <w:pStyle w:val="CTANarration"/>
        <w:ind w:left="259" w:right="173"/>
      </w:pPr>
      <w:r>
        <w:t>Avoid vague notes such as read carefully or do not overthink. Write a rule that tells you what to do. For example: when risk is unclear, assess severity before choosing the level of care. Or: when the stem says assessment is complete, move to the next clinical stage. A useful rule is specific enough to guide a different question.</w:t>
      </w:r>
    </w:p>
    <w:p>
      <w:pPr>
        <w:pStyle w:val="Heading2"/>
      </w:pPr>
      <w:r>
        <w:t>Slide 12: Review the Log on a Schedule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Calendar at 24 hours, one week, and before simulation.</w:t>
            </w:r>
          </w:p>
        </w:tc>
        <w:tc>
          <w:tcPr>
            <w:tcW w:type="dxa" w:w="5112"/>
            <w:shd w:fill="DCEFF6"/>
            <w:tcMar>
              <w:top w:w="90" w:type="dxa"/>
              <w:start w:w="110" w:type="dxa"/>
              <w:bottom w:w="90" w:type="dxa"/>
              <w:end w:w="110" w:type="dxa"/>
            </w:tcMar>
            <w:vAlign w:val="top"/>
          </w:tcPr>
          <w:p>
            <w:r>
              <w:rPr>
                <w:color w:val="243B53"/>
                <w:sz w:val="17"/>
              </w:rPr>
              <w:t>Review Soon • Review Weekly • Review Before Forms A and B</w:t>
            </w:r>
          </w:p>
        </w:tc>
      </w:tr>
    </w:tbl>
    <w:p>
      <w:pPr>
        <w:pStyle w:val="CTALabel"/>
      </w:pPr>
      <w:r>
        <w:t>Narration</w:t>
      </w:r>
    </w:p>
    <w:p>
      <w:pPr>
        <w:pStyle w:val="CTANarration"/>
        <w:ind w:left="259" w:right="173"/>
      </w:pPr>
      <w:r>
        <w:t>Review the log soon after the practice set, again during your weekly review, and before Forms A and B. Cover the corrected rule and try to retrieve it from the error category. Then explain how the tempting distractor could become appropriate under different facts. Retrieval is stronger than simply rereading the entry.</w:t>
      </w:r>
    </w:p>
    <w:p>
      <w:pPr>
        <w:pStyle w:val="Heading2"/>
      </w:pPr>
      <w:r>
        <w:t>Slide 13: Retest the Rule, Not the Letter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Same concept shown in a new scenario rather than the original answer letter.</w:t>
            </w:r>
          </w:p>
        </w:tc>
        <w:tc>
          <w:tcPr>
            <w:tcW w:type="dxa" w:w="5112"/>
            <w:shd w:fill="DCEFF6"/>
            <w:tcMar>
              <w:top w:w="90" w:type="dxa"/>
              <w:start w:w="110" w:type="dxa"/>
              <w:bottom w:w="90" w:type="dxa"/>
              <w:end w:w="110" w:type="dxa"/>
            </w:tcMar>
            <w:vAlign w:val="top"/>
          </w:tcPr>
          <w:p>
            <w:r>
              <w:rPr>
                <w:color w:val="243B53"/>
                <w:sz w:val="17"/>
              </w:rPr>
              <w:t>Transfer the Reasoning to a New Scenario</w:t>
            </w:r>
          </w:p>
        </w:tc>
      </w:tr>
    </w:tbl>
    <w:p>
      <w:pPr>
        <w:pStyle w:val="CTALabel"/>
      </w:pPr>
      <w:r>
        <w:t>Narration</w:t>
      </w:r>
    </w:p>
    <w:p>
      <w:pPr>
        <w:pStyle w:val="CTANarration"/>
        <w:ind w:left="259" w:right="173"/>
      </w:pPr>
      <w:r>
        <w:t>When you repeat an item, do not measure progress by whether you remember the answer letter. Explain the rule before looking at the options. Better yet, apply the same rule to a new scenario. The goal is transfer. You want the reasoning to remain available when the names, symptoms, setting, and answer order change.</w:t>
      </w:r>
    </w:p>
    <w:p>
      <w:pPr>
        <w:pStyle w:val="Heading2"/>
      </w:pPr>
      <w:r>
        <w:t>Slide 14: Use the Log to Plan Remediation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Error counts grouped into top three priorities.</w:t>
            </w:r>
          </w:p>
        </w:tc>
        <w:tc>
          <w:tcPr>
            <w:tcW w:type="dxa" w:w="5112"/>
            <w:shd w:fill="DCEFF6"/>
            <w:tcMar>
              <w:top w:w="90" w:type="dxa"/>
              <w:start w:w="110" w:type="dxa"/>
              <w:bottom w:w="90" w:type="dxa"/>
              <w:end w:w="110" w:type="dxa"/>
            </w:tcMar>
            <w:vAlign w:val="top"/>
          </w:tcPr>
          <w:p>
            <w:r>
              <w:rPr>
                <w:color w:val="243B53"/>
                <w:sz w:val="17"/>
              </w:rPr>
              <w:t>Prioritize the Patterns That Repeat</w:t>
            </w:r>
          </w:p>
        </w:tc>
      </w:tr>
    </w:tbl>
    <w:p>
      <w:pPr>
        <w:pStyle w:val="CTALabel"/>
      </w:pPr>
      <w:r>
        <w:t>Narration</w:t>
      </w:r>
    </w:p>
    <w:p>
      <w:pPr>
        <w:pStyle w:val="CTANarration"/>
        <w:ind w:left="259" w:right="173"/>
      </w:pPr>
      <w:r>
        <w:t>At the end of each week, group your errors by pattern. Choose the two or three patterns that repeat most often and build the next review session around them. Ten unrelated misses may feel overwhelming. Three repeated decision errors are manageable. The log helps you focus effort where it will improve the most questions.</w:t>
      </w:r>
    </w:p>
    <w:p>
      <w:pPr>
        <w:pStyle w:val="Heading2"/>
      </w:pPr>
      <w:r>
        <w:t>Slide 15: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CTA error log ready for the next question bank.</w:t>
            </w:r>
          </w:p>
        </w:tc>
        <w:tc>
          <w:tcPr>
            <w:tcW w:type="dxa" w:w="5112"/>
            <w:shd w:fill="DCEFF6"/>
            <w:tcMar>
              <w:top w:w="90" w:type="dxa"/>
              <w:start w:w="110" w:type="dxa"/>
              <w:bottom w:w="90" w:type="dxa"/>
              <w:end w:w="110" w:type="dxa"/>
            </w:tcMar>
            <w:vAlign w:val="top"/>
          </w:tcPr>
          <w:p>
            <w:r>
              <w:rPr>
                <w:color w:val="243B53"/>
                <w:sz w:val="17"/>
              </w:rPr>
              <w:t>Next: Complete One Bank and Log Every Miss</w:t>
            </w:r>
          </w:p>
        </w:tc>
      </w:tr>
    </w:tbl>
    <w:p>
      <w:pPr>
        <w:pStyle w:val="CTALabel"/>
      </w:pPr>
      <w:r>
        <w:t>Narration</w:t>
      </w:r>
    </w:p>
    <w:p>
      <w:pPr>
        <w:pStyle w:val="CTANarration"/>
        <w:ind w:left="259" w:right="173"/>
      </w:pPr>
      <w:r>
        <w:t>Open the CTA error log before your next question bank. After submission, review every option and record each miss using a clear error category and corrected rule. Then select one pattern for immediate remediation. That process is how practice scores become stronger exam decisions.</w:t>
      </w:r>
    </w:p>
    <w:p>
      <w:pPr>
        <w:pStyle w:val="Heading1"/>
      </w:pPr>
      <w:r>
        <w:t>Audio-Only Adaptation Notes</w:t>
      </w:r>
    </w:p>
    <w:p>
      <w:pPr>
        <w:pStyle w:val="ListBullet"/>
        <w:spacing w:after="40"/>
        <w:ind w:left="360" w:hanging="216"/>
      </w:pPr>
      <w:r>
        <w:t>Read the error categories slowly enough for note-taking.</w:t>
      </w:r>
    </w:p>
    <w:p>
      <w:pPr>
        <w:pStyle w:val="ListBullet"/>
        <w:spacing w:after="40"/>
        <w:ind w:left="360" w:hanging="216"/>
      </w:pPr>
      <w:r>
        <w:t>Describe the weak-versus-strong corrected-rule example fully.</w:t>
      </w:r>
    </w:p>
    <w:p>
      <w:pPr>
        <w:pStyle w:val="ListBullet"/>
        <w:spacing w:after="40"/>
        <w:ind w:left="360" w:hanging="216"/>
      </w:pPr>
      <w:r>
        <w:t>Explain that correct answers also require review when reasoning was uncertain.</w:t>
      </w:r>
    </w:p>
    <w:p>
      <w:pPr>
        <w:pStyle w:val="ListBullet"/>
        <w:spacing w:after="40"/>
        <w:ind w:left="360" w:hanging="216"/>
      </w:pPr>
      <w:r>
        <w:t>End by directing the student to complete one bank with the error log open.</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be linked after every workbook bank and again after Forms A and B. The error log is the bridge between assessment results and focused study.</w:t>
            </w:r>
          </w:p>
        </w:tc>
      </w:tr>
    </w:tbl>
    <w:p>
      <w:pPr>
        <w:spacing w:after="20"/>
      </w:pPr>
    </w:p>
    <w:p>
      <w:pPr>
        <w:pStyle w:val="CTASmall"/>
        <w:jc w:val="center"/>
      </w:pPr>
      <w:r>
        <w:t>Educational exam-preparation content. CTA does not guarantee passage of a licensing examination.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Shared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Rationales and Build an Error Log</dc:title>
  <dc:subject>Shared LMFT &amp; LCSW Multimedia Script 06</dc:subject>
  <dc:creator>Clinical Training Academy</dc:creator>
  <cp:keywords/>
  <dc:description>Version 1.0, July 2026</dc:description>
  <cp:lastModifiedBy/>
  <cp:revision>1</cp:revision>
  <dcterms:created xsi:type="dcterms:W3CDTF">2013-12-23T23:15:00Z</dcterms:created>
  <dcterms:modified xsi:type="dcterms:W3CDTF">2013-12-23T23:15:00Z</dcterms:modified>
  <cp:category/>
</cp:coreProperties>
</file>