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Pacing, Decision Fatigue, and Test Anxiety</w:t>
      </w:r>
    </w:p>
    <w:p>
      <w:pPr>
        <w:jc w:val="center"/>
      </w:pPr>
      <w:r>
        <w:rPr>
          <w:rFonts w:ascii="Aptos Display" w:hAnsi="Aptos Display"/>
          <w:b/>
          <w:color w:val="2AA7D6"/>
          <w:sz w:val="32"/>
        </w:rPr>
        <w:t>Shared LMFT &amp; LCSW Multimedia Script 08</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practical, nonclinical strategies for sustaining attention, using time effectively, recovering from difficult items, and preventing anxiety from taking control of exam decisions.</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LMFT and LCSW candidates preparing for long scenario-based examinations.</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9-12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Shared Core Strategy Library in both the LMFT and LCSW programs.</w:t>
            </w:r>
          </w:p>
        </w:tc>
      </w:tr>
      <w:tr>
        <w:tc>
          <w:tcPr>
            <w:tcW w:type="dxa" w:w="2448"/>
            <w:tcMar>
              <w:top w:w="90" w:type="dxa"/>
              <w:start w:w="110" w:type="dxa"/>
              <w:bottom w:w="90" w:type="dxa"/>
              <w:end w:w="110" w:type="dxa"/>
            </w:tcMar>
            <w:vAlign w:val="top"/>
          </w:tcPr>
          <w:p>
            <w:pPr>
              <w:spacing w:after="40"/>
            </w:pPr>
            <w:r>
              <w:rPr>
                <w:color w:val="243B53"/>
                <w:sz w:val="17"/>
              </w:rPr>
              <w:t>Script Use</w:t>
            </w:r>
          </w:p>
        </w:tc>
        <w:tc>
          <w:tcPr>
            <w:tcW w:type="dxa" w:w="8208"/>
            <w:tcMar>
              <w:top w:w="90" w:type="dxa"/>
              <w:start w:w="110" w:type="dxa"/>
              <w:bottom w:w="90" w:type="dxa"/>
              <w:end w:w="110" w:type="dxa"/>
            </w:tcMar>
            <w:vAlign w:val="top"/>
          </w:tcPr>
          <w:p>
            <w:pPr>
              <w:spacing w:after="40"/>
            </w:pPr>
            <w:r>
              <w:rPr>
                <w:color w:val="243B53"/>
                <w:sz w:val="17"/>
              </w:rPr>
              <w:t>The narration below also serves as the caption and transcript source after final recording edits.</w:t>
            </w:r>
          </w:p>
        </w:tc>
      </w:tr>
    </w:tbl>
    <w:p>
      <w:pPr>
        <w:spacing w:after="20"/>
      </w:pPr>
    </w:p>
    <w:p>
      <w:pPr>
        <w:pStyle w:val="Heading1"/>
      </w:pPr>
      <w:r>
        <w:t>Learning Outcomes</w:t>
      </w:r>
    </w:p>
    <w:p>
      <w:pPr>
        <w:pStyle w:val="ListBullet"/>
        <w:spacing w:after="40"/>
        <w:ind w:left="360" w:hanging="216"/>
      </w:pPr>
      <w:r>
        <w:t>Use a profession-specific pacing plan and quarter-point checkpoints.</w:t>
      </w:r>
    </w:p>
    <w:p>
      <w:pPr>
        <w:pStyle w:val="ListBullet"/>
        <w:spacing w:after="40"/>
        <w:ind w:left="360" w:hanging="216"/>
      </w:pPr>
      <w:r>
        <w:t>Recognize common signs of decision fatigue.</w:t>
      </w:r>
    </w:p>
    <w:p>
      <w:pPr>
        <w:pStyle w:val="ListBullet"/>
        <w:spacing w:after="40"/>
        <w:ind w:left="360" w:hanging="216"/>
      </w:pPr>
      <w:r>
        <w:t>Apply a brief reset routine and five-step recovery plan.</w:t>
      </w:r>
    </w:p>
    <w:p>
      <w:pPr>
        <w:pStyle w:val="ListBullet"/>
        <w:spacing w:after="40"/>
        <w:ind w:left="360" w:hanging="216"/>
      </w:pPr>
      <w:r>
        <w:t>Separate anxious thoughts from the task of answering the current question.</w:t>
      </w:r>
    </w:p>
    <w:p>
      <w:pPr>
        <w:pStyle w:val="Heading1"/>
      </w:pPr>
      <w:r>
        <w:t>Voice and Presentation Direction</w:t>
      </w:r>
    </w:p>
    <w:p>
      <w:pPr>
        <w:pStyle w:val="ListBullet"/>
        <w:spacing w:after="40"/>
        <w:ind w:left="360" w:hanging="216"/>
      </w:pPr>
      <w:r>
        <w:t>Grounded, reassuring, and practical.</w:t>
      </w:r>
    </w:p>
    <w:p>
      <w:pPr>
        <w:pStyle w:val="ListBullet"/>
        <w:spacing w:after="40"/>
        <w:ind w:left="360" w:hanging="216"/>
      </w:pPr>
      <w:r>
        <w:t>Avoid promising that anxiety will disappear.</w:t>
      </w:r>
    </w:p>
    <w:p>
      <w:pPr>
        <w:pStyle w:val="ListBullet"/>
        <w:spacing w:after="40"/>
        <w:ind w:left="360" w:hanging="216"/>
      </w:pPr>
      <w:r>
        <w:t>Frame regulation skills as test-performance tools rather than mental-health treatment.</w:t>
      </w:r>
    </w:p>
    <w:p>
      <w:pPr>
        <w:pStyle w:val="ListBullet"/>
        <w:spacing w:after="40"/>
        <w:ind w:left="360" w:hanging="216"/>
      </w:pPr>
      <w:r>
        <w:t>Encourage practice of pacing and recovery before test day.</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Speak naturally and directly to one candidate. Do not read the slide text word for word. Pause briefly after important decision rules and use a calm, confident pace.</w:t>
            </w:r>
          </w:p>
        </w:tc>
      </w:tr>
    </w:tbl>
    <w:p>
      <w:pPr>
        <w:spacing w:after="20"/>
      </w:pPr>
    </w:p>
    <w:p>
      <w:pPr>
        <w:pStyle w:val="Heading1"/>
      </w:pPr>
      <w:r>
        <w:t>Slide-by-Slide Script</w:t>
      </w:r>
    </w:p>
    <w:p>
      <w:pPr>
        <w:pStyle w:val="Heading2"/>
      </w:pPr>
      <w:r>
        <w:t>Slide 1: Performance Depends on More Than Knowledge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30-40 seconds</w:t>
            </w:r>
          </w:p>
        </w:tc>
        <w:tc>
          <w:tcPr>
            <w:tcW w:type="dxa" w:w="3528"/>
            <w:shd w:fill="F3F8FA"/>
            <w:tcMar>
              <w:top w:w="90" w:type="dxa"/>
              <w:start w:w="110" w:type="dxa"/>
              <w:bottom w:w="90" w:type="dxa"/>
              <w:end w:w="110" w:type="dxa"/>
            </w:tcMar>
            <w:vAlign w:val="top"/>
          </w:tcPr>
          <w:p>
            <w:r>
              <w:rPr>
                <w:color w:val="243B53"/>
                <w:sz w:val="17"/>
              </w:rPr>
              <w:t>Three circles: knowledge, pacing, emotional regulation.</w:t>
            </w:r>
          </w:p>
        </w:tc>
        <w:tc>
          <w:tcPr>
            <w:tcW w:type="dxa" w:w="5112"/>
            <w:shd w:fill="DCEFF6"/>
            <w:tcMar>
              <w:top w:w="90" w:type="dxa"/>
              <w:start w:w="110" w:type="dxa"/>
              <w:bottom w:w="90" w:type="dxa"/>
              <w:end w:w="110" w:type="dxa"/>
            </w:tcMar>
            <w:vAlign w:val="top"/>
          </w:tcPr>
          <w:p>
            <w:r>
              <w:rPr>
                <w:color w:val="243B53"/>
                <w:sz w:val="17"/>
              </w:rPr>
              <w:t>Knowledge + Pacing + Regulation</w:t>
            </w:r>
          </w:p>
        </w:tc>
      </w:tr>
    </w:tbl>
    <w:p>
      <w:pPr>
        <w:pStyle w:val="CTALabel"/>
      </w:pPr>
      <w:r>
        <w:t>Narration</w:t>
      </w:r>
    </w:p>
    <w:p>
      <w:pPr>
        <w:pStyle w:val="CTANarration"/>
        <w:ind w:left="259" w:right="173"/>
      </w:pPr>
      <w:r>
        <w:t>Exam performance depends on more than knowing the content. You also need a pace you can sustain, a way to recover when attention drops, and a plan for anxiety. These skills can be practiced. They are not personality traits you either have or do not have.</w:t>
      </w:r>
    </w:p>
    <w:p>
      <w:pPr>
        <w:pStyle w:val="Heading2"/>
      </w:pPr>
      <w:r>
        <w:t>Slide 2: Use a Pace Plan Before You Begin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Profession-specific roadmap with quarter checkpoints.</w:t>
            </w:r>
          </w:p>
        </w:tc>
        <w:tc>
          <w:tcPr>
            <w:tcW w:type="dxa" w:w="5112"/>
            <w:shd w:fill="DCEFF6"/>
            <w:tcMar>
              <w:top w:w="90" w:type="dxa"/>
              <w:start w:w="110" w:type="dxa"/>
              <w:bottom w:w="90" w:type="dxa"/>
              <w:end w:w="110" w:type="dxa"/>
            </w:tcMar>
            <w:vAlign w:val="top"/>
          </w:tcPr>
          <w:p>
            <w:r>
              <w:rPr>
                <w:color w:val="243B53"/>
                <w:sz w:val="17"/>
              </w:rPr>
              <w:t>Use the Timing Plan in Your Roadmap</w:t>
            </w:r>
          </w:p>
        </w:tc>
      </w:tr>
    </w:tbl>
    <w:p>
      <w:pPr>
        <w:pStyle w:val="CTALabel"/>
      </w:pPr>
      <w:r>
        <w:t>Narration</w:t>
      </w:r>
    </w:p>
    <w:p>
      <w:pPr>
        <w:pStyle w:val="CTANarration"/>
        <w:ind w:left="259" w:right="173"/>
      </w:pPr>
      <w:r>
        <w:t>Before a comprehensive simulation or the official exam, review the timing plan in your profession-specific roadmap. Know the approximate point you want to reach at each quarter of the available time. A pace plan reduces uncertainty and lets you correct early instead of discovering near the end that too many questions remain.</w:t>
      </w:r>
    </w:p>
    <w:p>
      <w:pPr>
        <w:pStyle w:val="Heading2"/>
      </w:pPr>
      <w:r>
        <w:t>Slide 3: Do Not Spend Equal Time on Every Item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Easy, moderate, and difficult item clocks with different time use.</w:t>
            </w:r>
          </w:p>
        </w:tc>
        <w:tc>
          <w:tcPr>
            <w:tcW w:type="dxa" w:w="5112"/>
            <w:shd w:fill="DCEFF6"/>
            <w:tcMar>
              <w:top w:w="90" w:type="dxa"/>
              <w:start w:w="110" w:type="dxa"/>
              <w:bottom w:w="90" w:type="dxa"/>
              <w:end w:w="110" w:type="dxa"/>
            </w:tcMar>
            <w:vAlign w:val="top"/>
          </w:tcPr>
          <w:p>
            <w:r>
              <w:rPr>
                <w:color w:val="243B53"/>
                <w:sz w:val="17"/>
              </w:rPr>
              <w:t>Use Time Where It Changes the Decision</w:t>
            </w:r>
          </w:p>
        </w:tc>
      </w:tr>
    </w:tbl>
    <w:p>
      <w:pPr>
        <w:pStyle w:val="CTALabel"/>
      </w:pPr>
      <w:r>
        <w:t>Narration</w:t>
      </w:r>
    </w:p>
    <w:p>
      <w:pPr>
        <w:pStyle w:val="CTANarration"/>
        <w:ind w:left="259" w:right="173"/>
      </w:pPr>
      <w:r>
        <w:t>You do not need to spend equal time on every item. Some questions will be clear after one careful read. Others require comparison between two plausible options. Use additional time when it may change the decision, not simply because the item feels uncomfortable. Saving time on clear items gives you flexibility for harder ones.</w:t>
      </w:r>
    </w:p>
    <w:p>
      <w:pPr>
        <w:pStyle w:val="Heading2"/>
      </w:pPr>
      <w:r>
        <w:t>Slide 4: Use a Time-Limit Rule for Stuck Items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Timer leading to choose, flag, and move.</w:t>
            </w:r>
          </w:p>
        </w:tc>
        <w:tc>
          <w:tcPr>
            <w:tcW w:type="dxa" w:w="5112"/>
            <w:shd w:fill="DCEFF6"/>
            <w:tcMar>
              <w:top w:w="90" w:type="dxa"/>
              <w:start w:w="110" w:type="dxa"/>
              <w:bottom w:w="90" w:type="dxa"/>
              <w:end w:w="110" w:type="dxa"/>
            </w:tcMar>
            <w:vAlign w:val="top"/>
          </w:tcPr>
          <w:p>
            <w:r>
              <w:rPr>
                <w:color w:val="243B53"/>
                <w:sz w:val="17"/>
              </w:rPr>
              <w:t>Re-Read the Task → Eliminate → Choose → Flag if Needed → Move</w:t>
            </w:r>
          </w:p>
        </w:tc>
      </w:tr>
    </w:tbl>
    <w:p>
      <w:pPr>
        <w:pStyle w:val="CTALabel"/>
      </w:pPr>
      <w:r>
        <w:t>Narration</w:t>
      </w:r>
    </w:p>
    <w:p>
      <w:pPr>
        <w:pStyle w:val="CTANarration"/>
        <w:ind w:left="259" w:right="173"/>
      </w:pPr>
      <w:r>
        <w:t>When you become stuck, use a time-limit rule. Re-read the task word, identify the stage, eliminate unsupported options, choose the strongest remaining answer, flag only if a specific review may help, and move on. Staying with one item too long can cost accuracy on several later questions.</w:t>
      </w:r>
    </w:p>
    <w:p>
      <w:pPr>
        <w:pStyle w:val="Heading2"/>
      </w:pPr>
      <w:r>
        <w:t>Slide 5: Decision Fatigue Changes How You Read</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Early versus late exam reading: careful scan versus skipped task words.</w:t>
            </w:r>
          </w:p>
        </w:tc>
        <w:tc>
          <w:tcPr>
            <w:tcW w:type="dxa" w:w="5112"/>
            <w:shd w:fill="DCEFF6"/>
            <w:tcMar>
              <w:top w:w="90" w:type="dxa"/>
              <w:start w:w="110" w:type="dxa"/>
              <w:bottom w:w="90" w:type="dxa"/>
              <w:end w:w="110" w:type="dxa"/>
            </w:tcMar>
            <w:vAlign w:val="top"/>
          </w:tcPr>
          <w:p>
            <w:r>
              <w:rPr>
                <w:color w:val="243B53"/>
                <w:sz w:val="17"/>
              </w:rPr>
              <w:t>Fatigue Can Cause Rushing, Overthinking, and Missed Task Words</w:t>
            </w:r>
          </w:p>
        </w:tc>
      </w:tr>
    </w:tbl>
    <w:p>
      <w:pPr>
        <w:pStyle w:val="CTALabel"/>
      </w:pPr>
      <w:r>
        <w:t>Narration</w:t>
      </w:r>
    </w:p>
    <w:p>
      <w:pPr>
        <w:pStyle w:val="CTANarration"/>
        <w:ind w:left="259" w:right="173"/>
      </w:pPr>
      <w:r>
        <w:t>Decision fatigue often appears as reading too quickly, rereading without gaining clarity, missing task words, choosing the most dramatic option, or doubting answers that were based on sound reasoning. Recognizing the signs matters because the correction is different from studying more content.</w:t>
      </w:r>
    </w:p>
    <w:p>
      <w:pPr>
        <w:pStyle w:val="Heading2"/>
      </w:pPr>
      <w:r>
        <w:t>Slide 6: Use a Brief Reset Routine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60-70 seconds</w:t>
            </w:r>
          </w:p>
        </w:tc>
        <w:tc>
          <w:tcPr>
            <w:tcW w:type="dxa" w:w="3528"/>
            <w:shd w:fill="F3F8FA"/>
            <w:tcMar>
              <w:top w:w="90" w:type="dxa"/>
              <w:start w:w="110" w:type="dxa"/>
              <w:bottom w:w="90" w:type="dxa"/>
              <w:end w:w="110" w:type="dxa"/>
            </w:tcMar>
            <w:vAlign w:val="top"/>
          </w:tcPr>
          <w:p>
            <w:r>
              <w:rPr>
                <w:color w:val="243B53"/>
                <w:sz w:val="17"/>
              </w:rPr>
              <w:t>Reset steps: posture, exhale, orient, next question.</w:t>
            </w:r>
          </w:p>
        </w:tc>
        <w:tc>
          <w:tcPr>
            <w:tcW w:type="dxa" w:w="5112"/>
            <w:shd w:fill="DCEFF6"/>
            <w:tcMar>
              <w:top w:w="90" w:type="dxa"/>
              <w:start w:w="110" w:type="dxa"/>
              <w:bottom w:w="90" w:type="dxa"/>
              <w:end w:w="110" w:type="dxa"/>
            </w:tcMar>
            <w:vAlign w:val="top"/>
          </w:tcPr>
          <w:p>
            <w:r>
              <w:rPr>
                <w:color w:val="243B53"/>
                <w:sz w:val="17"/>
              </w:rPr>
              <w:t>Pause • Exhale • Relax • Re-Orient • Continue</w:t>
            </w:r>
          </w:p>
        </w:tc>
      </w:tr>
    </w:tbl>
    <w:p>
      <w:pPr>
        <w:pStyle w:val="CTALabel"/>
      </w:pPr>
      <w:r>
        <w:t>Narration</w:t>
      </w:r>
    </w:p>
    <w:p>
      <w:pPr>
        <w:pStyle w:val="CTANarration"/>
        <w:ind w:left="259" w:right="173"/>
      </w:pPr>
      <w:r>
        <w:t>Use a brief reset routine when you notice fatigue or anxiety. Stop for a few seconds. Let your exhale become slightly longer than your inhale. Relax your jaw and shoulders. Look away from the screen or page, then return and read the next question from the beginning. A short reset can prevent several minutes of unfocused effort.</w:t>
      </w:r>
    </w:p>
    <w:p>
      <w:pPr>
        <w:pStyle w:val="Heading2"/>
      </w:pPr>
      <w:r>
        <w:t>Slide 7: Anxiety Is Not the Same as Unreadiness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Anxiety meter beside a readiness checklist.</w:t>
            </w:r>
          </w:p>
        </w:tc>
        <w:tc>
          <w:tcPr>
            <w:tcW w:type="dxa" w:w="5112"/>
            <w:shd w:fill="DCEFF6"/>
            <w:tcMar>
              <w:top w:w="90" w:type="dxa"/>
              <w:start w:w="110" w:type="dxa"/>
              <w:bottom w:w="90" w:type="dxa"/>
              <w:end w:w="110" w:type="dxa"/>
            </w:tcMar>
            <w:vAlign w:val="top"/>
          </w:tcPr>
          <w:p>
            <w:r>
              <w:rPr>
                <w:color w:val="243B53"/>
                <w:sz w:val="17"/>
              </w:rPr>
              <w:t>Feeling Anxious Does Not Automatically Mean You Are Unprepared</w:t>
            </w:r>
          </w:p>
        </w:tc>
      </w:tr>
    </w:tbl>
    <w:p>
      <w:pPr>
        <w:pStyle w:val="CTALabel"/>
      </w:pPr>
      <w:r>
        <w:t>Narration</w:t>
      </w:r>
    </w:p>
    <w:p>
      <w:pPr>
        <w:pStyle w:val="CTANarration"/>
        <w:ind w:left="259" w:right="173"/>
      </w:pPr>
      <w:r>
        <w:t>Feeling anxious does not automatically mean you are unprepared. Anxiety may increase because the exam matters, the setting is unfamiliar, or the outcome feels important. Evaluate readiness using evidence: completion of the curriculum, practice patterns, simulation performance, pacing, and the ability to apply your decision routine.</w:t>
      </w:r>
    </w:p>
    <w:p>
      <w:pPr>
        <w:pStyle w:val="Heading2"/>
      </w:pPr>
      <w:r>
        <w:t>Slide 8: Separate the Thought from the Task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Thought bubble “I am failing” moved aside from a question card.</w:t>
            </w:r>
          </w:p>
        </w:tc>
        <w:tc>
          <w:tcPr>
            <w:tcW w:type="dxa" w:w="5112"/>
            <w:shd w:fill="DCEFF6"/>
            <w:tcMar>
              <w:top w:w="90" w:type="dxa"/>
              <w:start w:w="110" w:type="dxa"/>
              <w:bottom w:w="90" w:type="dxa"/>
              <w:end w:w="110" w:type="dxa"/>
            </w:tcMar>
            <w:vAlign w:val="top"/>
          </w:tcPr>
          <w:p>
            <w:r>
              <w:rPr>
                <w:color w:val="243B53"/>
                <w:sz w:val="17"/>
              </w:rPr>
              <w:t>Notice the Thought, Then Return to the Question</w:t>
            </w:r>
          </w:p>
        </w:tc>
      </w:tr>
    </w:tbl>
    <w:p>
      <w:pPr>
        <w:pStyle w:val="CTALabel"/>
      </w:pPr>
      <w:r>
        <w:t>Narration</w:t>
      </w:r>
    </w:p>
    <w:p>
      <w:pPr>
        <w:pStyle w:val="CTANarration"/>
        <w:ind w:left="259" w:right="173"/>
      </w:pPr>
      <w:r>
        <w:t>When an anxious thought appears, notice it without arguing with it. You might say, I am having the thought that I am doing badly. Then return to the task: What is the question asking? What stage is this? Which option best fits the facts? The goal is not to eliminate anxiety before continuing. It is to keep the anxiety from choosing the answer.</w:t>
      </w:r>
    </w:p>
    <w:p>
      <w:pPr>
        <w:pStyle w:val="Heading2"/>
      </w:pPr>
      <w:r>
        <w:t>Slide 9: Avoid Score-Calculating During the Exam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Mental score tally crossed out.</w:t>
            </w:r>
          </w:p>
        </w:tc>
        <w:tc>
          <w:tcPr>
            <w:tcW w:type="dxa" w:w="5112"/>
            <w:shd w:fill="DCEFF6"/>
            <w:tcMar>
              <w:top w:w="90" w:type="dxa"/>
              <w:start w:w="110" w:type="dxa"/>
              <w:bottom w:w="90" w:type="dxa"/>
              <w:end w:w="110" w:type="dxa"/>
            </w:tcMar>
            <w:vAlign w:val="top"/>
          </w:tcPr>
          <w:p>
            <w:r>
              <w:rPr>
                <w:color w:val="243B53"/>
                <w:sz w:val="17"/>
              </w:rPr>
              <w:t>One Difficult Question Does Not Predict the Final Result</w:t>
            </w:r>
          </w:p>
        </w:tc>
      </w:tr>
    </w:tbl>
    <w:p>
      <w:pPr>
        <w:pStyle w:val="CTALabel"/>
      </w:pPr>
      <w:r>
        <w:t>Narration</w:t>
      </w:r>
    </w:p>
    <w:p>
      <w:pPr>
        <w:pStyle w:val="CTANarration"/>
        <w:ind w:left="259" w:right="173"/>
      </w:pPr>
      <w:r>
        <w:t>Avoid estimating your score while testing. One unfamiliar question can trigger the belief that the entire exam is going poorly. You do not know which items others find difficult, how later questions will feel, or the final result. Your job is to answer the current item using the process you practiced.</w:t>
      </w:r>
    </w:p>
    <w:p>
      <w:pPr>
        <w:pStyle w:val="Heading2"/>
      </w:pPr>
      <w:r>
        <w:t>Slide 10: Use Answer Changes Carefully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Answer change allowed only with a specific reason.</w:t>
            </w:r>
          </w:p>
        </w:tc>
        <w:tc>
          <w:tcPr>
            <w:tcW w:type="dxa" w:w="5112"/>
            <w:shd w:fill="DCEFF6"/>
            <w:tcMar>
              <w:top w:w="90" w:type="dxa"/>
              <w:start w:w="110" w:type="dxa"/>
              <w:bottom w:w="90" w:type="dxa"/>
              <w:end w:w="110" w:type="dxa"/>
            </w:tcMar>
            <w:vAlign w:val="top"/>
          </w:tcPr>
          <w:p>
            <w:r>
              <w:rPr>
                <w:color w:val="243B53"/>
                <w:sz w:val="17"/>
              </w:rPr>
              <w:t>Change an Answer When You Can Name the Reason</w:t>
            </w:r>
          </w:p>
        </w:tc>
      </w:tr>
    </w:tbl>
    <w:p>
      <w:pPr>
        <w:pStyle w:val="CTALabel"/>
      </w:pPr>
      <w:r>
        <w:t>Narration</w:t>
      </w:r>
    </w:p>
    <w:p>
      <w:pPr>
        <w:pStyle w:val="CTANarration"/>
        <w:ind w:left="259" w:right="173"/>
      </w:pPr>
      <w:r>
        <w:t>Changing an answer can be appropriate when you notice a missed task word, a factual error, or a stronger comparison between the remaining options. Do not change an answer only because anxiety increased after you selected it. Require a specific reason. This protects well-reasoned first choices from emotion-driven revision.</w:t>
      </w:r>
    </w:p>
    <w:p>
      <w:pPr>
        <w:pStyle w:val="Heading2"/>
      </w:pPr>
      <w:r>
        <w:t>Slide 11: Practice Stamina Before Test Day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Study sessions increasing from short sets to full simulation.</w:t>
            </w:r>
          </w:p>
        </w:tc>
        <w:tc>
          <w:tcPr>
            <w:tcW w:type="dxa" w:w="5112"/>
            <w:shd w:fill="DCEFF6"/>
            <w:tcMar>
              <w:top w:w="90" w:type="dxa"/>
              <w:start w:w="110" w:type="dxa"/>
              <w:bottom w:w="90" w:type="dxa"/>
              <w:end w:w="110" w:type="dxa"/>
            </w:tcMar>
            <w:vAlign w:val="top"/>
          </w:tcPr>
          <w:p>
            <w:r>
              <w:rPr>
                <w:color w:val="243B53"/>
                <w:sz w:val="17"/>
              </w:rPr>
              <w:t>Build from Focused Sets to Full-Length Simulation</w:t>
            </w:r>
          </w:p>
        </w:tc>
      </w:tr>
    </w:tbl>
    <w:p>
      <w:pPr>
        <w:pStyle w:val="CTALabel"/>
      </w:pPr>
      <w:r>
        <w:t>Narration</w:t>
      </w:r>
    </w:p>
    <w:p>
      <w:pPr>
        <w:pStyle w:val="CTANarration"/>
        <w:ind w:left="259" w:right="173"/>
      </w:pPr>
      <w:r>
        <w:t>Stamina improves through gradual practice. Begin with focused question sets, then longer mixed sets, and finally full-length Forms A and B. Pay attention to when accuracy drops and practice the reset routine at that point. The purpose of simulation is partly to train sustained decision-making, not only to measure knowledge.</w:t>
      </w:r>
    </w:p>
    <w:p>
      <w:pPr>
        <w:pStyle w:val="Heading2"/>
      </w:pPr>
      <w:r>
        <w:t>Slide 12: Use a Consistent Pre-Test Routine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Checklist: materials, meal, hydration, arrival, breathing, instructions.</w:t>
            </w:r>
          </w:p>
        </w:tc>
        <w:tc>
          <w:tcPr>
            <w:tcW w:type="dxa" w:w="5112"/>
            <w:shd w:fill="DCEFF6"/>
            <w:tcMar>
              <w:top w:w="90" w:type="dxa"/>
              <w:start w:w="110" w:type="dxa"/>
              <w:bottom w:w="90" w:type="dxa"/>
              <w:end w:w="110" w:type="dxa"/>
            </w:tcMar>
            <w:vAlign w:val="top"/>
          </w:tcPr>
          <w:p>
            <w:r>
              <w:rPr>
                <w:color w:val="243B53"/>
                <w:sz w:val="17"/>
              </w:rPr>
              <w:t>Reduce Avoidable Decisions Before the Exam</w:t>
            </w:r>
          </w:p>
        </w:tc>
      </w:tr>
    </w:tbl>
    <w:p>
      <w:pPr>
        <w:pStyle w:val="CTALabel"/>
      </w:pPr>
      <w:r>
        <w:t>Narration</w:t>
      </w:r>
    </w:p>
    <w:p>
      <w:pPr>
        <w:pStyle w:val="CTANarration"/>
        <w:ind w:left="259" w:right="173"/>
      </w:pPr>
      <w:r>
        <w:t>Use a consistent pre-test routine. Prepare required materials, confirm logistics, plan food and hydration, and arrive or log in with time to settle. Avoid major last-minute changes to sleep, caffeine, or study habits. The goal is to reduce avoidable decisions so your attention is available for the exam.</w:t>
      </w:r>
    </w:p>
    <w:p>
      <w:pPr>
        <w:pStyle w:val="Heading2"/>
      </w:pPr>
      <w:r>
        <w:t>Slide 13: The Five-Step Recovery Plan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65-75 seconds</w:t>
            </w:r>
          </w:p>
        </w:tc>
        <w:tc>
          <w:tcPr>
            <w:tcW w:type="dxa" w:w="3528"/>
            <w:shd w:fill="F3F8FA"/>
            <w:tcMar>
              <w:top w:w="90" w:type="dxa"/>
              <w:start w:w="110" w:type="dxa"/>
              <w:bottom w:w="90" w:type="dxa"/>
              <w:end w:w="110" w:type="dxa"/>
            </w:tcMar>
            <w:vAlign w:val="top"/>
          </w:tcPr>
          <w:p>
            <w:r>
              <w:rPr>
                <w:color w:val="243B53"/>
                <w:sz w:val="17"/>
              </w:rPr>
              <w:t>Five-step card.</w:t>
            </w:r>
          </w:p>
        </w:tc>
        <w:tc>
          <w:tcPr>
            <w:tcW w:type="dxa" w:w="5112"/>
            <w:shd w:fill="DCEFF6"/>
            <w:tcMar>
              <w:top w:w="90" w:type="dxa"/>
              <w:start w:w="110" w:type="dxa"/>
              <w:bottom w:w="90" w:type="dxa"/>
              <w:end w:w="110" w:type="dxa"/>
            </w:tcMar>
            <w:vAlign w:val="top"/>
          </w:tcPr>
          <w:p>
            <w:r>
              <w:rPr>
                <w:color w:val="243B53"/>
                <w:sz w:val="17"/>
              </w:rPr>
              <w:t>1. Stop</w:t>
              <w:br/>
              <w:t>2. Breathe</w:t>
              <w:br/>
              <w:t>3. Name the Task</w:t>
              <w:br/>
              <w:t>4. Choose the Best Fit</w:t>
              <w:br/>
              <w:t>5. Move Forward</w:t>
            </w:r>
          </w:p>
        </w:tc>
      </w:tr>
    </w:tbl>
    <w:p>
      <w:pPr>
        <w:pStyle w:val="CTALabel"/>
      </w:pPr>
      <w:r>
        <w:t>Narration</w:t>
      </w:r>
    </w:p>
    <w:p>
      <w:pPr>
        <w:pStyle w:val="CTANarration"/>
        <w:ind w:left="259" w:right="173"/>
      </w:pPr>
      <w:r>
        <w:t>Use this five-step recovery plan when you feel overwhelmed. Stop for a moment. Breathe with a longer exhale. Name the task word and clinical stage. Choose the best answer supported by the facts. Then move forward without judging the entire exam from one question. The routine is short enough to use repeatedly without losing meaningful time.</w:t>
      </w:r>
    </w:p>
    <w:p>
      <w:pPr>
        <w:pStyle w:val="Heading2"/>
      </w:pPr>
      <w:r>
        <w:t>Slide 14: Measure Process Goals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Process metrics: task words caught, pace checks met, resets used, fewer changed answers.</w:t>
            </w:r>
          </w:p>
        </w:tc>
        <w:tc>
          <w:tcPr>
            <w:tcW w:type="dxa" w:w="5112"/>
            <w:shd w:fill="DCEFF6"/>
            <w:tcMar>
              <w:top w:w="90" w:type="dxa"/>
              <w:start w:w="110" w:type="dxa"/>
              <w:bottom w:w="90" w:type="dxa"/>
              <w:end w:w="110" w:type="dxa"/>
            </w:tcMar>
            <w:vAlign w:val="top"/>
          </w:tcPr>
          <w:p>
            <w:r>
              <w:rPr>
                <w:color w:val="243B53"/>
                <w:sz w:val="17"/>
              </w:rPr>
              <w:t>Track Behaviors You Can Control</w:t>
            </w:r>
          </w:p>
        </w:tc>
      </w:tr>
    </w:tbl>
    <w:p>
      <w:pPr>
        <w:pStyle w:val="CTALabel"/>
      </w:pPr>
      <w:r>
        <w:t>Narration</w:t>
      </w:r>
    </w:p>
    <w:p>
      <w:pPr>
        <w:pStyle w:val="CTANarration"/>
        <w:ind w:left="259" w:right="173"/>
      </w:pPr>
      <w:r>
        <w:t>During practice, track process goals you can control. Did you catch the task words? Did you meet your pace checks? Did you use the reset before fatigue affected several questions? Did you avoid unnecessary answer changes? These measures show improvement even before the overall score changes.</w:t>
      </w:r>
    </w:p>
    <w:p>
      <w:pPr>
        <w:pStyle w:val="Heading2"/>
      </w:pPr>
      <w:r>
        <w:t>Slide 15: Your Next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25-35 seconds</w:t>
            </w:r>
          </w:p>
        </w:tc>
        <w:tc>
          <w:tcPr>
            <w:tcW w:type="dxa" w:w="3528"/>
            <w:shd w:fill="F3F8FA"/>
            <w:tcMar>
              <w:top w:w="90" w:type="dxa"/>
              <w:start w:w="110" w:type="dxa"/>
              <w:bottom w:w="90" w:type="dxa"/>
              <w:end w:w="110" w:type="dxa"/>
            </w:tcMar>
            <w:vAlign w:val="top"/>
          </w:tcPr>
          <w:p>
            <w:r>
              <w:rPr>
                <w:color w:val="243B53"/>
                <w:sz w:val="17"/>
              </w:rPr>
              <w:t>Roadmap timing plan and reset card.</w:t>
            </w:r>
          </w:p>
        </w:tc>
        <w:tc>
          <w:tcPr>
            <w:tcW w:type="dxa" w:w="5112"/>
            <w:shd w:fill="DCEFF6"/>
            <w:tcMar>
              <w:top w:w="90" w:type="dxa"/>
              <w:start w:w="110" w:type="dxa"/>
              <w:bottom w:w="90" w:type="dxa"/>
              <w:end w:w="110" w:type="dxa"/>
            </w:tcMar>
            <w:vAlign w:val="top"/>
          </w:tcPr>
          <w:p>
            <w:r>
              <w:rPr>
                <w:color w:val="243B53"/>
                <w:sz w:val="17"/>
              </w:rPr>
              <w:t>Next: Write Your Pace and Reset Plan Before the Next Simulation</w:t>
            </w:r>
          </w:p>
        </w:tc>
      </w:tr>
    </w:tbl>
    <w:p>
      <w:pPr>
        <w:pStyle w:val="CTALabel"/>
      </w:pPr>
      <w:r>
        <w:t>Narration</w:t>
      </w:r>
    </w:p>
    <w:p>
      <w:pPr>
        <w:pStyle w:val="CTANarration"/>
        <w:ind w:left="259" w:right="173"/>
      </w:pPr>
      <w:r>
        <w:t>Before your next long practice session, write down your timing checkpoints, stuck-item rule, and five-step recovery plan. Practice them during the session, not only when anxiety becomes intense. A strategy used repeatedly in practice is much easier to access on test day.</w:t>
      </w:r>
    </w:p>
    <w:p>
      <w:pPr>
        <w:pStyle w:val="Heading1"/>
      </w:pPr>
      <w:r>
        <w:t>Audio-Only Adaptation Notes</w:t>
      </w:r>
    </w:p>
    <w:p>
      <w:pPr>
        <w:pStyle w:val="ListBullet"/>
        <w:spacing w:after="40"/>
        <w:ind w:left="360" w:hanging="216"/>
      </w:pPr>
      <w:r>
        <w:t>Describe the reset routine step by step for audio-only listeners.</w:t>
      </w:r>
    </w:p>
    <w:p>
      <w:pPr>
        <w:pStyle w:val="ListBullet"/>
        <w:spacing w:after="40"/>
        <w:ind w:left="360" w:hanging="216"/>
      </w:pPr>
      <w:r>
        <w:t>Avoid giving profession-specific minute counts; direct students to their roadmap.</w:t>
      </w:r>
    </w:p>
    <w:p>
      <w:pPr>
        <w:pStyle w:val="ListBullet"/>
        <w:spacing w:after="40"/>
        <w:ind w:left="360" w:hanging="216"/>
      </w:pPr>
      <w:r>
        <w:t>Use a calm pace during the anxiety and recovery sections.</w:t>
      </w:r>
    </w:p>
    <w:p>
      <w:pPr>
        <w:pStyle w:val="ListBullet"/>
        <w:spacing w:after="40"/>
        <w:ind w:left="360" w:hanging="216"/>
      </w:pPr>
      <w:r>
        <w:t>End by asking the student to write a pacing and reset plan before the next simulation.</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is educational and should not be presented as treatment for an anxiety disorder. It provides practical exam-performance strategies and encourages evidence-based readiness decisions.</w:t>
            </w:r>
          </w:p>
        </w:tc>
      </w:tr>
    </w:tbl>
    <w:p>
      <w:pPr>
        <w:spacing w:after="20"/>
      </w:pPr>
    </w:p>
    <w:p>
      <w:pPr>
        <w:pStyle w:val="CTASmall"/>
        <w:jc w:val="center"/>
      </w:pPr>
      <w:r>
        <w:t>Educational exam-preparation content. CTA does not guarantee passage of a licensing examination.</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Shared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Pacing, Decision Fatigue, and Test Anxiety</dc:title>
  <dc:subject>Shared LMFT &amp; LCSW Multimedia Script 08</dc:subject>
  <dc:creator>Clinical Training Academy</dc:creator>
  <cp:keywords/>
  <dc:description>Version 1.0, July 2026</dc:description>
  <cp:lastModifiedBy/>
  <cp:revision>1</cp:revision>
  <dcterms:created xsi:type="dcterms:W3CDTF">2013-12-23T23:15:00Z</dcterms:created>
  <dcterms:modified xsi:type="dcterms:W3CDTF">2013-12-23T23:15:00Z</dcterms:modified>
  <cp:category/>
</cp:coreProperties>
</file>