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 Companion: ASWB Exam Strategy and Applied Reasoning</w:t>
      </w:r>
    </w:p>
    <w:p>
      <w:pPr>
        <w:jc w:val="center"/>
      </w:pPr>
      <w:r>
        <w:rPr>
          <w:rFonts w:ascii="Aptos Display" w:hAnsi="Aptos Display"/>
          <w:b/>
          <w:color w:val="2AA7D6"/>
          <w:sz w:val="32"/>
        </w:rPr>
        <w:t>LCSW Workbook 1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the applied reasoning process used throughout the LCSW program: identify the task, sequence priorities, integrate person-in-environment factors, compare plausible options, and review errors productively.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1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1: ASWB Exam Strategy and Applied Reasoning, including the social work decision sequence, three-pass vignette method, VALUES memory aid, pacing, and error review.</w:t>
            </w:r>
          </w:p>
        </w:tc>
      </w:tr>
    </w:tbl>
    <w:p>
      <w:pPr>
        <w:spacing w:after="20"/>
      </w:pPr>
    </w:p>
    <w:p>
      <w:pPr>
        <w:pStyle w:val="Heading1"/>
      </w:pPr>
      <w:r>
        <w:t>Learning Outcomes</w:t>
      </w:r>
    </w:p>
    <w:p>
      <w:pPr>
        <w:pStyle w:val="ListBullet"/>
        <w:spacing w:after="40"/>
        <w:ind w:left="360" w:hanging="216"/>
      </w:pPr>
      <w:r>
        <w:t>Identify the qualifier and practice function in an ASWB-style question.</w:t>
      </w:r>
    </w:p>
    <w:p>
      <w:pPr>
        <w:pStyle w:val="ListBullet"/>
        <w:spacing w:after="40"/>
        <w:ind w:left="360" w:hanging="216"/>
      </w:pPr>
      <w:r>
        <w:t>Apply the social work decision sequence before choosing an action.</w:t>
      </w:r>
    </w:p>
    <w:p>
      <w:pPr>
        <w:pStyle w:val="ListBullet"/>
        <w:spacing w:after="40"/>
        <w:ind w:left="360" w:hanging="216"/>
      </w:pPr>
      <w:r>
        <w:t>Use VALUES and the three-pass vignette method to compare options.</w:t>
      </w:r>
    </w:p>
    <w:p>
      <w:pPr>
        <w:pStyle w:val="ListBullet"/>
        <w:spacing w:after="40"/>
        <w:ind w:left="360" w:hanging="216"/>
      </w:pPr>
      <w:r>
        <w:t>Recognize premature, paternalistic, and system-blind distractors.</w:t>
      </w:r>
    </w:p>
    <w:p>
      <w:pPr>
        <w:pStyle w:val="Heading1"/>
      </w:pPr>
      <w:r>
        <w:t>Voice and Presentation Direction</w:t>
      </w:r>
    </w:p>
    <w:p>
      <w:pPr>
        <w:pStyle w:val="ListBullet"/>
        <w:spacing w:after="40"/>
        <w:ind w:left="360" w:hanging="216"/>
      </w:pPr>
      <w:r>
        <w:t>Speak as a practical exam coach.</w:t>
      </w:r>
    </w:p>
    <w:p>
      <w:pPr>
        <w:pStyle w:val="ListBullet"/>
        <w:spacing w:after="40"/>
        <w:ind w:left="360" w:hanging="216"/>
      </w:pPr>
      <w:r>
        <w:t>Pause briefly after each reasoning question.</w:t>
      </w:r>
    </w:p>
    <w:p>
      <w:pPr>
        <w:pStyle w:val="ListBullet"/>
        <w:spacing w:after="40"/>
        <w:ind w:left="360" w:hanging="216"/>
      </w:pPr>
      <w:r>
        <w:t>Keep client participation visible unless a supported duty changes the sequence.</w:t>
      </w:r>
    </w:p>
    <w:p>
      <w:pPr>
        <w:pStyle w:val="ListBullet"/>
        <w:spacing w:after="40"/>
        <w:ind w:left="360" w:hanging="216"/>
      </w:pPr>
      <w:r>
        <w:t>Close with a specific Workbook 1 practice routine.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a calm exam-coaching tone. Emphasize role, timing, self-determination, and person-in-environment reasoning instead of memorized slogans.</w:t>
            </w:r>
          </w:p>
        </w:tc>
      </w:tr>
    </w:tbl>
    <w:p>
      <w:pPr>
        <w:spacing w:after="20"/>
      </w:pPr>
    </w:p>
    <w:p>
      <w:pPr>
        <w:pStyle w:val="Heading1"/>
      </w:pPr>
      <w:r>
        <w:t>Slide-by-Slide Script</w:t>
      </w:r>
    </w:p>
    <w:p>
      <w:pPr>
        <w:pStyle w:val="Heading2"/>
        <w:keepNext/>
      </w:pPr>
      <w:r>
        <w:t>Slide 1: Why Workbook 1 Matters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A pathway from question qualifier to role, priority, option comparison, and review.</w:t>
            </w:r>
          </w:p>
        </w:tc>
        <w:tc>
          <w:tcPr>
            <w:tcW w:type="dxa" w:w="5112"/>
            <w:shd w:fill="DCEFF6"/>
            <w:tcMar>
              <w:top w:w="90" w:type="dxa"/>
              <w:start w:w="110" w:type="dxa"/>
              <w:bottom w:w="90" w:type="dxa"/>
              <w:end w:w="110" w:type="dxa"/>
            </w:tcMar>
            <w:vAlign w:val="top"/>
          </w:tcPr>
          <w:p>
            <w:pPr>
              <w:keepNext/>
              <w:keepLines/>
            </w:pPr>
            <w:r>
              <w:rPr>
                <w:color w:val="243B53"/>
                <w:sz w:val="17"/>
              </w:rPr>
              <w:t>Task → Priority → Fit → Answer</w:t>
            </w:r>
          </w:p>
        </w:tc>
      </w:tr>
    </w:tbl>
    <w:p>
      <w:pPr>
        <w:pStyle w:val="CTALabel"/>
        <w:keepNext/>
      </w:pPr>
      <w:r>
        <w:t>Narration</w:t>
      </w:r>
    </w:p>
    <w:p>
      <w:pPr>
        <w:pStyle w:val="CTANarration"/>
        <w:keepLines/>
        <w:ind w:left="259" w:right="173"/>
      </w:pPr>
      <w:r>
        <w:t>Workbook 1 gives you the reasoning structure for the entire LCSW program. ASWB-style questions often include several actions that could eventually help. The challenge is to identify the action that fits the exact qualifier, the social worker role, the stage of practice, the client or client system, and the facts already provided. Strong answers are not automatically the most intensive, the most service-heavy, or the most protective sounding. They are the least assumptive, proportionate, client-centered actions that address the controlling priority. In this lesson, focus on three habits: define the task before solving the story, use a consistent decision sequence, and compare options for timing, role, self-determination, and person-in-environment fit.</w:t>
      </w:r>
    </w:p>
    <w:p>
      <w:pPr>
        <w:pStyle w:val="Heading2"/>
        <w:keepNext/>
      </w:pPr>
      <w:r>
        <w:t>Slide 2: Let the Qualifier Define the Task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FIRST, NEXT, BEST, MOST, and INITIAL appear beside different practice stages.</w:t>
            </w:r>
          </w:p>
        </w:tc>
        <w:tc>
          <w:tcPr>
            <w:tcW w:type="dxa" w:w="5112"/>
            <w:shd w:fill="DCEFF6"/>
            <w:tcMar>
              <w:top w:w="90" w:type="dxa"/>
              <w:start w:w="110" w:type="dxa"/>
              <w:bottom w:w="90" w:type="dxa"/>
              <w:end w:w="110" w:type="dxa"/>
            </w:tcMar>
            <w:vAlign w:val="top"/>
          </w:tcPr>
          <w:p>
            <w:pPr>
              <w:keepNext/>
              <w:keepLines/>
            </w:pPr>
            <w:r>
              <w:rPr>
                <w:color w:val="243B53"/>
                <w:sz w:val="17"/>
              </w:rPr>
              <w:t>Read the Final Question First</w:t>
            </w:r>
          </w:p>
        </w:tc>
      </w:tr>
    </w:tbl>
    <w:p>
      <w:pPr>
        <w:pStyle w:val="CTALabel"/>
        <w:keepNext/>
      </w:pPr>
      <w:r>
        <w:t>Narration</w:t>
      </w:r>
    </w:p>
    <w:p>
      <w:pPr>
        <w:pStyle w:val="CTANarration"/>
        <w:keepLines/>
        <w:ind w:left="259" w:right="173"/>
      </w:pPr>
      <w:r>
        <w:t>Start with the final question. FIRST asks for the earliest necessary step. NEXT asks what follows from work already completed. BEST or MOST appropriate asks which option fits the whole situation better than the alternatives. INITIAL usually points to the opening phase of engagement or assessment. Then name the practice function: ethics, safety, engagement, assessment, diagnosis, planning, intervention, referral, case management, advocacy, supervision, or evaluation. This prevents a common error: choosing a good intervention when the item is asking what must be assessed first. After defining the task, return to the vignette and mark only the facts that change the decision, including safety, capacity, client preference, environmental barriers, available resources, and what the social worker has already done.</w:t>
      </w:r>
    </w:p>
    <w:p>
      <w:pPr>
        <w:pStyle w:val="Heading2"/>
        <w:keepNext/>
      </w:pPr>
      <w:r>
        <w:t>Slide 3: Use the Social Work Decision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vertical ladder moves from emergency and duty to engagement, assessment, planning, action, and review.</w:t>
            </w:r>
          </w:p>
        </w:tc>
        <w:tc>
          <w:tcPr>
            <w:tcW w:type="dxa" w:w="5112"/>
            <w:shd w:fill="DCEFF6"/>
            <w:tcMar>
              <w:top w:w="90" w:type="dxa"/>
              <w:start w:w="110" w:type="dxa"/>
              <w:bottom w:w="90" w:type="dxa"/>
              <w:end w:w="110" w:type="dxa"/>
            </w:tcMar>
            <w:vAlign w:val="top"/>
          </w:tcPr>
          <w:p>
            <w:pPr>
              <w:keepNext/>
              <w:keepLines/>
            </w:pPr>
            <w:r>
              <w:rPr>
                <w:color w:val="243B53"/>
                <w:sz w:val="17"/>
              </w:rPr>
              <w:t>Safety → Duty → Engage → Assess → Plan → Act → Review</w:t>
            </w:r>
          </w:p>
        </w:tc>
      </w:tr>
    </w:tbl>
    <w:p>
      <w:pPr>
        <w:pStyle w:val="CTALabel"/>
        <w:keepNext/>
      </w:pPr>
      <w:r>
        <w:t>Narration</w:t>
      </w:r>
    </w:p>
    <w:p>
      <w:pPr>
        <w:pStyle w:val="CTANarration"/>
        <w:keepLines/>
        <w:ind w:left="259" w:right="173"/>
      </w:pPr>
      <w:r>
        <w:t>Use a priority sequence when several answers seem reasonable. Address immediate medical instability or danger first. Respond to a clearly supported legal or ethical duty. Clarify role, consent, and the client or client system when those are uncertain. Engage and assess before choosing a diagnosis, referral, service plan, or intervention that depends on missing information. Integrate symptoms and functioning with housing, income, health care, family, school, work, discrimination, transportation, culture, and resources. Then collaborate on goals, implement the least intrusive effective response, and evaluate the outcome. The sequence is flexible rather than mechanical. It prevents premature action while allowing urgent action when the facts already establish an emergency, mandatory duty, or inability to remain safe.</w:t>
      </w:r>
    </w:p>
    <w:p>
      <w:pPr>
        <w:pStyle w:val="Heading2"/>
        <w:keepNext/>
      </w:pPr>
      <w:r>
        <w:t>Slide 4: Use VALUES to Compare Plausible Options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Six VALUES prompts surround a candidate comparing answer choices.</w:t>
            </w:r>
          </w:p>
        </w:tc>
        <w:tc>
          <w:tcPr>
            <w:tcW w:type="dxa" w:w="5112"/>
            <w:shd w:fill="DCEFF6"/>
            <w:tcMar>
              <w:top w:w="90" w:type="dxa"/>
              <w:start w:w="110" w:type="dxa"/>
              <w:bottom w:w="90" w:type="dxa"/>
              <w:end w:w="110" w:type="dxa"/>
            </w:tcMar>
            <w:vAlign w:val="top"/>
          </w:tcPr>
          <w:p>
            <w:pPr>
              <w:keepNext/>
              <w:keepLines/>
            </w:pPr>
            <w:r>
              <w:rPr>
                <w:color w:val="243B53"/>
                <w:sz w:val="17"/>
              </w:rPr>
              <w:t>Values • Assessment • Least Assumptive • Understand • Environment • Safety/System</w:t>
            </w:r>
          </w:p>
        </w:tc>
      </w:tr>
    </w:tbl>
    <w:p>
      <w:pPr>
        <w:pStyle w:val="CTALabel"/>
        <w:keepNext/>
      </w:pPr>
      <w:r>
        <w:t>Narration</w:t>
      </w:r>
    </w:p>
    <w:p>
      <w:pPr>
        <w:pStyle w:val="CTANarration"/>
        <w:keepLines/>
        <w:ind w:left="259" w:right="173"/>
      </w:pPr>
      <w:r>
        <w:t>VALUES helps you test answer choices. V asks what professional value or ethical duty applies. A asks what assessment is needed before acting. L asks for the least assumptive, proportionate response. U asks how the client or client system can be understood and included. E asks which environmental and resource factors matter. S asks what safety, service, supervision, or system action comes next. When two options both sound clinically acceptable, run them through these prompts. The stronger answer usually preserves client participation, responds to the real level of urgency, addresses practical barriers, and stays within role. The weaker answer often assumes facts, overrides choice without a basis, refers before assessing, ignores the environment, or solves the problem without the client.</w:t>
      </w:r>
    </w:p>
    <w:p>
      <w:pPr>
        <w:pStyle w:val="Heading2"/>
        <w:keepNext/>
      </w:pPr>
      <w:r>
        <w:t>Slide 5: Use the Three-Pass Vignette Method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Three passes highlight qualifier, decision facts, and option comparison.</w:t>
            </w:r>
          </w:p>
        </w:tc>
        <w:tc>
          <w:tcPr>
            <w:tcW w:type="dxa" w:w="5112"/>
            <w:shd w:fill="DCEFF6"/>
            <w:tcMar>
              <w:top w:w="90" w:type="dxa"/>
              <w:start w:w="110" w:type="dxa"/>
              <w:bottom w:w="90" w:type="dxa"/>
              <w:end w:w="110" w:type="dxa"/>
            </w:tcMar>
            <w:vAlign w:val="top"/>
          </w:tcPr>
          <w:p>
            <w:pPr>
              <w:keepNext/>
              <w:keepLines/>
            </w:pPr>
            <w:r>
              <w:rPr>
                <w:color w:val="243B53"/>
                <w:sz w:val="17"/>
              </w:rPr>
              <w:t>Pass 1: Task • Pass 2: Facts • Pass 3: Options</w:t>
            </w:r>
          </w:p>
        </w:tc>
      </w:tr>
    </w:tbl>
    <w:p>
      <w:pPr>
        <w:pStyle w:val="CTALabel"/>
        <w:keepNext/>
      </w:pPr>
      <w:r>
        <w:t>Narration</w:t>
      </w:r>
    </w:p>
    <w:p>
      <w:pPr>
        <w:pStyle w:val="CTANarration"/>
        <w:keepLines/>
        <w:ind w:left="259" w:right="173"/>
      </w:pPr>
      <w:r>
        <w:t>On the first pass, read the final question and define the qualifier and practice function. On the second pass, mark decision facts: danger, medical concerns, capacity, consent, client goals, stage of service, systems, resources, barriers, and what has already occurred. On the third pass, compare options. Eliminate answers that are outside role, too intensive, too vague, paternalistic, system-blind, or correctly principled but mistimed. Do not reward an answer merely because it contains more services or stronger language. Ask what the option would require you to assume and whether the stem supports that assumption. This method slows impulsive answers without requiring you to reread every sentence repeatedly.</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premature referral, passive self-determination, extra facts, excessive services, and wrong timing.</w:t>
            </w:r>
          </w:p>
        </w:tc>
        <w:tc>
          <w:tcPr>
            <w:tcW w:type="dxa" w:w="5112"/>
            <w:shd w:fill="DCEFF6"/>
            <w:tcMar>
              <w:top w:w="90" w:type="dxa"/>
              <w:start w:w="110" w:type="dxa"/>
              <w:bottom w:w="90" w:type="dxa"/>
              <w:end w:w="110" w:type="dxa"/>
            </w:tcMar>
            <w:vAlign w:val="top"/>
          </w:tcPr>
          <w:p>
            <w:pPr>
              <w:keepNext/>
              <w:keepLines/>
            </w:pPr>
            <w:r>
              <w:rPr>
                <w:color w:val="243B53"/>
                <w:sz w:val="17"/>
              </w:rPr>
              <w:t>Good Idea, Wrong Stage = Wrong Answer</w:t>
            </w:r>
          </w:p>
        </w:tc>
      </w:tr>
    </w:tbl>
    <w:p>
      <w:pPr>
        <w:pStyle w:val="CTALabel"/>
        <w:keepNext/>
      </w:pPr>
      <w:r>
        <w:t>Narration</w:t>
      </w:r>
    </w:p>
    <w:p>
      <w:pPr>
        <w:pStyle w:val="CTANarration"/>
        <w:keepLines/>
        <w:ind w:left="259" w:right="173"/>
      </w:pPr>
      <w:r>
        <w:t>Common traps include referring before assessing need, urgency, eligibility, access, and preference; confusing self-determination with passivity when risk still requires assessment; importing a jurisdiction-specific rule that the national item did not provide; ignoring housing, benefits, health, school, work, or discrimination; solving the problem without client participation; choosing the answer with the most services; and selecting a correct principle at the wrong stage. Another trap is adding facts. Do not assume incapacity, abuse, psychosis, consent, or resource availability unless the stem supports it. The best answer uses the information given, not the story you fear or hope may be true.</w:t>
      </w:r>
    </w:p>
    <w:p>
      <w:pPr>
        <w:pStyle w:val="Heading2"/>
        <w:keepNext/>
      </w:pPr>
      <w:r>
        <w:t>Slide 7: Mini Scenario: Depression and Housing Loss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client reports depression, an eviction notice, and missed medication appointments.</w:t>
            </w:r>
          </w:p>
        </w:tc>
        <w:tc>
          <w:tcPr>
            <w:tcW w:type="dxa" w:w="5112"/>
            <w:shd w:fill="DCEFF6"/>
            <w:tcMar>
              <w:top w:w="90" w:type="dxa"/>
              <w:start w:w="110" w:type="dxa"/>
              <w:bottom w:w="90" w:type="dxa"/>
              <w:end w:w="110" w:type="dxa"/>
            </w:tcMar>
            <w:vAlign w:val="top"/>
          </w:tcPr>
          <w:p>
            <w:pPr>
              <w:keepNext/>
              <w:keepLines/>
            </w:pPr>
            <w:r>
              <w:rPr>
                <w:color w:val="243B53"/>
                <w:sz w:val="17"/>
              </w:rPr>
              <w:t>Assess Urgency and Access Before Routine Technique</w:t>
            </w:r>
          </w:p>
        </w:tc>
      </w:tr>
    </w:tbl>
    <w:p>
      <w:pPr>
        <w:pStyle w:val="CTALabel"/>
        <w:keepNext/>
      </w:pPr>
      <w:r>
        <w:t>Narration</w:t>
      </w:r>
    </w:p>
    <w:p>
      <w:pPr>
        <w:pStyle w:val="CTANarration"/>
        <w:keepLines/>
        <w:ind w:left="259" w:right="173"/>
      </w:pPr>
      <w:r>
        <w:t>A client seeks help for depression, reports an eviction notice, and has missed medication appointments because transportation is unreliable. One option begins cognitive restructuring, another gives a long referral list, and another labels the client noncompliant. A stronger first response clarifies immediate safety, the timing of the housing loss, medication access, transportation, current functioning, and the client’s priorities. The social worker then coordinates a feasible plan with the client. Therapy may be appropriate, but the first answer should not ignore basic needs or assume that missed appointments reflect motivation. The vignette is testing whether you can integrate clinical assessment with person-in-environment barriers and sequence the response.</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VALUES worksheet and error log lead into the Workbook 1 question bank.</w:t>
            </w:r>
          </w:p>
        </w:tc>
        <w:tc>
          <w:tcPr>
            <w:tcW w:type="dxa" w:w="5112"/>
            <w:shd w:fill="DCEFF6"/>
            <w:tcMar>
              <w:top w:w="90" w:type="dxa"/>
              <w:start w:w="110" w:type="dxa"/>
              <w:bottom w:w="90" w:type="dxa"/>
              <w:end w:w="110" w:type="dxa"/>
            </w:tcMar>
            <w:vAlign w:val="top"/>
          </w:tcPr>
          <w:p>
            <w:pPr>
              <w:keepNext/>
              <w:keepLines/>
            </w:pPr>
            <w:r>
              <w:rPr>
                <w:color w:val="243B53"/>
                <w:sz w:val="17"/>
              </w:rPr>
              <w:t>Task • Priority • Assumption • Client • Environment • Next Step</w:t>
            </w:r>
          </w:p>
        </w:tc>
      </w:tr>
    </w:tbl>
    <w:p>
      <w:pPr>
        <w:pStyle w:val="CTALabel"/>
        <w:keepNext/>
      </w:pPr>
      <w:r>
        <w:t>Narration</w:t>
      </w:r>
    </w:p>
    <w:p>
      <w:pPr>
        <w:pStyle w:val="CTANarration"/>
        <w:keepLines/>
        <w:ind w:left="259" w:right="173"/>
      </w:pPr>
      <w:r>
        <w:t>For each Workbook 1 question, write six short notes: the qualifier, the practice function, the controlling priority, the assumption made by each tempting distractor, how the client is included, and which environmental factor changes the plan. In your error log, classify each miss as content, sequence, role, self-determination, person-in-environment, or distractor recognition. Rewrite one best-answer rule in your own words. The goal is not to memorize the option. It is to recognize the reasoning pattern when the people and facts change.</w:t>
      </w:r>
    </w:p>
    <w:p>
      <w:pPr>
        <w:pStyle w:val="Heading1"/>
      </w:pPr>
      <w:r>
        <w:t>Audio-Only Adaptation Notes</w:t>
      </w:r>
    </w:p>
    <w:p>
      <w:pPr>
        <w:pStyle w:val="ListBullet"/>
        <w:spacing w:after="40"/>
        <w:ind w:left="360" w:hanging="216"/>
      </w:pPr>
      <w:r>
        <w:t>Spell out VALUES once and then use the prompts naturally.</w:t>
      </w:r>
    </w:p>
    <w:p>
      <w:pPr>
        <w:pStyle w:val="ListBullet"/>
        <w:spacing w:after="40"/>
        <w:ind w:left="360" w:hanging="216"/>
      </w:pPr>
      <w:r>
        <w:t>Pause after the social work decision sequence.</w:t>
      </w:r>
    </w:p>
    <w:p>
      <w:pPr>
        <w:pStyle w:val="ListBullet"/>
        <w:spacing w:after="40"/>
        <w:ind w:left="360" w:hanging="216"/>
      </w:pPr>
      <w:r>
        <w:t>Use “good idea, wrong stage” as a repeated verbal anchor.</w:t>
      </w:r>
    </w:p>
    <w:p>
      <w:pPr>
        <w:pStyle w:val="ListBullet"/>
        <w:spacing w:after="40"/>
        <w:ind w:left="360" w:hanging="216"/>
      </w:pPr>
      <w:r>
        <w:t>End with the six-note study routine.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establish a repeatable applied-reasoning process that candidates use in every later LCSW workbook.</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1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 Companion: ASWB Exam Strategy and Applied Reasoning</dc:title>
  <dc:subject>CTA LCSW Workbook 1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