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Workbook 2 Companion: Values, Ethics, Self-Determination, and Social Justice</w:t>
      </w:r>
    </w:p>
    <w:p>
      <w:pPr>
        <w:jc w:val="center"/>
      </w:pPr>
      <w:r>
        <w:rPr>
          <w:rFonts w:ascii="Aptos Display" w:hAnsi="Aptos Display"/>
          <w:b/>
          <w:color w:val="2AA7D6"/>
          <w:sz w:val="32"/>
        </w:rPr>
        <w:t>LCSW Workbook 2 Companion Multimedia Script</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Preview ethical reasoning that connects professional values to role clarity, client rights, safety, power, access, proportional action, documentation, and follow-up.</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LCSW candidates completing the corresponding CTA workbook and question bank.</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8-10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At the beginning of the LCSW Workbook 2 online module, before the workbook download and practice bank.</w:t>
            </w:r>
          </w:p>
        </w:tc>
      </w:tr>
      <w:tr>
        <w:tc>
          <w:tcPr>
            <w:tcW w:type="dxa" w:w="2448"/>
            <w:tcMar>
              <w:top w:w="90" w:type="dxa"/>
              <w:start w:w="110" w:type="dxa"/>
              <w:bottom w:w="90" w:type="dxa"/>
              <w:end w:w="110" w:type="dxa"/>
            </w:tcMar>
            <w:vAlign w:val="top"/>
          </w:tcPr>
          <w:p>
            <w:pPr>
              <w:spacing w:after="40"/>
            </w:pPr>
            <w:r>
              <w:rPr>
                <w:color w:val="243B53"/>
                <w:sz w:val="17"/>
              </w:rPr>
              <w:t>Source Alignment</w:t>
            </w:r>
          </w:p>
        </w:tc>
        <w:tc>
          <w:tcPr>
            <w:tcW w:type="dxa" w:w="8208"/>
            <w:tcMar>
              <w:top w:w="90" w:type="dxa"/>
              <w:start w:w="110" w:type="dxa"/>
              <w:bottom w:w="90" w:type="dxa"/>
              <w:end w:w="110" w:type="dxa"/>
            </w:tcMar>
            <w:vAlign w:val="top"/>
          </w:tcPr>
          <w:p>
            <w:pPr>
              <w:spacing w:after="40"/>
            </w:pPr>
            <w:r>
              <w:rPr>
                <w:color w:val="243B53"/>
                <w:sz w:val="17"/>
              </w:rPr>
              <w:t>CTA LCSW Workbook 2: Values, Ethics, Self-Determination, and Social Justice, including the CLEAR ethical decision sequence.</w:t>
            </w:r>
          </w:p>
        </w:tc>
      </w:tr>
    </w:tbl>
    <w:p>
      <w:pPr>
        <w:spacing w:after="20"/>
      </w:pPr>
    </w:p>
    <w:p>
      <w:pPr>
        <w:pStyle w:val="Heading1"/>
      </w:pPr>
      <w:r>
        <w:t>Learning Outcomes</w:t>
      </w:r>
    </w:p>
    <w:p>
      <w:pPr>
        <w:pStyle w:val="ListBullet"/>
        <w:spacing w:after="40"/>
        <w:ind w:left="360" w:hanging="216"/>
      </w:pPr>
      <w:r>
        <w:t>Use CLEAR to organize ethical scenarios.</w:t>
      </w:r>
    </w:p>
    <w:p>
      <w:pPr>
        <w:pStyle w:val="ListBullet"/>
        <w:spacing w:after="40"/>
        <w:ind w:left="360" w:hanging="216"/>
      </w:pPr>
      <w:r>
        <w:t>Differentiate consent, privacy, confidentiality, privilege, and authorization.</w:t>
      </w:r>
    </w:p>
    <w:p>
      <w:pPr>
        <w:pStyle w:val="ListBullet"/>
        <w:spacing w:after="40"/>
        <w:ind w:left="360" w:hanging="216"/>
      </w:pPr>
      <w:r>
        <w:t>Balance self-determination with capacity and supported safety limits.</w:t>
      </w:r>
    </w:p>
    <w:p>
      <w:pPr>
        <w:pStyle w:val="ListBullet"/>
        <w:spacing w:after="40"/>
        <w:ind w:left="360" w:hanging="216"/>
      </w:pPr>
      <w:r>
        <w:t>Recognize power, accessibility, discrimination, competence, and boundary concerns.</w:t>
      </w:r>
    </w:p>
    <w:p>
      <w:pPr>
        <w:pStyle w:val="Heading1"/>
      </w:pPr>
      <w:r>
        <w:t>Voice and Presentation Direction</w:t>
      </w:r>
    </w:p>
    <w:p>
      <w:pPr>
        <w:pStyle w:val="ListBullet"/>
        <w:spacing w:after="40"/>
        <w:ind w:left="360" w:hanging="216"/>
      </w:pPr>
      <w:r>
        <w:t>Avoid presenting ethics as a list of prohibitions.</w:t>
      </w:r>
    </w:p>
    <w:p>
      <w:pPr>
        <w:pStyle w:val="ListBullet"/>
        <w:spacing w:after="40"/>
        <w:ind w:left="360" w:hanging="216"/>
      </w:pPr>
      <w:r>
        <w:t>Emphasize the least intrusive proportionate response.</w:t>
      </w:r>
    </w:p>
    <w:p>
      <w:pPr>
        <w:pStyle w:val="ListBullet"/>
        <w:spacing w:after="40"/>
        <w:ind w:left="360" w:hanging="216"/>
      </w:pPr>
      <w:r>
        <w:t>Name organizational and structural barriers when relevant.</w:t>
      </w:r>
    </w:p>
    <w:p>
      <w:pPr>
        <w:pStyle w:val="ListBullet"/>
        <w:spacing w:after="40"/>
        <w:ind w:left="360" w:hanging="216"/>
      </w:pPr>
      <w:r>
        <w:t>Close with a CLEAR worksheet routine.</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Use respectful, non-paternalistic language. Distinguish ethical principles from personal values and connect social justice to concrete access and systems actions.</w:t>
            </w:r>
          </w:p>
        </w:tc>
      </w:tr>
    </w:tbl>
    <w:p>
      <w:pPr>
        <w:spacing w:after="20"/>
      </w:pPr>
    </w:p>
    <w:p>
      <w:pPr>
        <w:pStyle w:val="Heading1"/>
      </w:pPr>
      <w:r>
        <w:t>Slide-by-Slide Script</w:t>
      </w:r>
    </w:p>
    <w:p>
      <w:pPr>
        <w:pStyle w:val="Heading2"/>
        <w:keepNext/>
      </w:pPr>
      <w:r>
        <w:t>Slide 1: Ethical Reasoning Is Applied, Not Memorized</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45-55 seconds</w:t>
            </w:r>
          </w:p>
        </w:tc>
        <w:tc>
          <w:tcPr>
            <w:tcW w:type="dxa" w:w="3528"/>
            <w:shd w:fill="F3F8FA"/>
            <w:tcMar>
              <w:top w:w="90" w:type="dxa"/>
              <w:start w:w="110" w:type="dxa"/>
              <w:bottom w:w="90" w:type="dxa"/>
              <w:end w:w="110" w:type="dxa"/>
            </w:tcMar>
            <w:vAlign w:val="top"/>
          </w:tcPr>
          <w:p>
            <w:pPr>
              <w:keepNext/>
              <w:keepLines/>
            </w:pPr>
            <w:r>
              <w:rPr>
                <w:color w:val="243B53"/>
                <w:sz w:val="17"/>
              </w:rPr>
              <w:t>Values flow into role, rights, risk, power, action, and review.</w:t>
            </w:r>
          </w:p>
        </w:tc>
        <w:tc>
          <w:tcPr>
            <w:tcW w:type="dxa" w:w="5112"/>
            <w:shd w:fill="DCEFF6"/>
            <w:tcMar>
              <w:top w:w="90" w:type="dxa"/>
              <w:start w:w="110" w:type="dxa"/>
              <w:bottom w:w="90" w:type="dxa"/>
              <w:end w:w="110" w:type="dxa"/>
            </w:tcMar>
            <w:vAlign w:val="top"/>
          </w:tcPr>
          <w:p>
            <w:pPr>
              <w:keepNext/>
              <w:keepLines/>
            </w:pPr>
            <w:r>
              <w:rPr>
                <w:color w:val="243B53"/>
                <w:sz w:val="17"/>
              </w:rPr>
              <w:t>Values Must Change the Action</w:t>
            </w:r>
          </w:p>
        </w:tc>
      </w:tr>
    </w:tbl>
    <w:p>
      <w:pPr>
        <w:pStyle w:val="CTALabel"/>
        <w:keepNext/>
      </w:pPr>
      <w:r>
        <w:t>Narration</w:t>
      </w:r>
    </w:p>
    <w:p>
      <w:pPr>
        <w:pStyle w:val="CTANarration"/>
        <w:keepLines/>
        <w:ind w:left="259" w:right="173"/>
      </w:pPr>
      <w:r>
        <w:t>Ethical questions are rarely solved by choosing the most restrictive or morally forceful answer. They are solved by clarifying the social worker’s role, identifying the actual conflict, protecting rights and safety, examining power and access, and choosing a proportionate action. Professional values guide behavior; they are not slogans. Respect for dignity and self-determination affects how information is presented and how choices are supported. Integrity affects honesty and role clarity. Competence affects consultation, referral, and service limits. Social justice affects whether an answer addresses an actionable barrier rather than asking the client to cope alone with discrimination or exclusion.</w:t>
      </w:r>
    </w:p>
    <w:p>
      <w:pPr>
        <w:pStyle w:val="Heading2"/>
        <w:keepNext/>
      </w:pPr>
      <w:r>
        <w:t>Slide 2: Use the CLEAR Ethical Sequence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75-85 seconds</w:t>
            </w:r>
          </w:p>
        </w:tc>
        <w:tc>
          <w:tcPr>
            <w:tcW w:type="dxa" w:w="3528"/>
            <w:shd w:fill="F3F8FA"/>
            <w:tcMar>
              <w:top w:w="90" w:type="dxa"/>
              <w:start w:w="110" w:type="dxa"/>
              <w:bottom w:w="90" w:type="dxa"/>
              <w:end w:w="110" w:type="dxa"/>
            </w:tcMar>
            <w:vAlign w:val="top"/>
          </w:tcPr>
          <w:p>
            <w:pPr>
              <w:keepNext/>
              <w:keepLines/>
            </w:pPr>
            <w:r>
              <w:rPr>
                <w:color w:val="243B53"/>
                <w:sz w:val="17"/>
              </w:rPr>
              <w:t>CLEAR steps form a decision pathway.</w:t>
            </w:r>
          </w:p>
        </w:tc>
        <w:tc>
          <w:tcPr>
            <w:tcW w:type="dxa" w:w="5112"/>
            <w:shd w:fill="DCEFF6"/>
            <w:tcMar>
              <w:top w:w="90" w:type="dxa"/>
              <w:start w:w="110" w:type="dxa"/>
              <w:bottom w:w="90" w:type="dxa"/>
              <w:end w:w="110" w:type="dxa"/>
            </w:tcMar>
            <w:vAlign w:val="top"/>
          </w:tcPr>
          <w:p>
            <w:pPr>
              <w:keepNext/>
              <w:keepLines/>
            </w:pPr>
            <w:r>
              <w:rPr>
                <w:color w:val="243B53"/>
                <w:sz w:val="17"/>
              </w:rPr>
              <w:t>Clarify • Locate • Evaluate • Act • Review</w:t>
            </w:r>
          </w:p>
        </w:tc>
      </w:tr>
    </w:tbl>
    <w:p>
      <w:pPr>
        <w:pStyle w:val="CTALabel"/>
        <w:keepNext/>
      </w:pPr>
      <w:r>
        <w:t>Narration</w:t>
      </w:r>
    </w:p>
    <w:p>
      <w:pPr>
        <w:pStyle w:val="CTANarration"/>
        <w:keepLines/>
        <w:ind w:left="259" w:right="173"/>
      </w:pPr>
      <w:r>
        <w:t>C means clarify the role, facts, setting, and governing duties. L means locate the ethical conflict and affected rights. E means evaluate safety, capacity, consent, power, culture, access, alternatives, and likely consequences. A means act with the least intrusive proportionate response. R means review, document, consult when useful, and follow up. CLEAR helps when the stem includes competing concerns, such as autonomy and risk, confidentiality and team coordination, client choice and agency pressure, or individual coping and structural discrimination. Consultation may strengthen judgment, but it is not a substitute for an immediate action when the facts already establish a serious danger or required duty.</w:t>
      </w:r>
    </w:p>
    <w:p>
      <w:pPr>
        <w:pStyle w:val="Heading2"/>
        <w:keepNext/>
      </w:pPr>
      <w:r>
        <w:t>Slide 3: Clarify Information Rights and Roles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Consent, confidentiality, privacy, privilege, and authorization appear in separate labeled circles.</w:t>
            </w:r>
          </w:p>
        </w:tc>
        <w:tc>
          <w:tcPr>
            <w:tcW w:type="dxa" w:w="5112"/>
            <w:shd w:fill="DCEFF6"/>
            <w:tcMar>
              <w:top w:w="90" w:type="dxa"/>
              <w:start w:w="110" w:type="dxa"/>
              <w:bottom w:w="90" w:type="dxa"/>
              <w:end w:w="110" w:type="dxa"/>
            </w:tcMar>
            <w:vAlign w:val="top"/>
          </w:tcPr>
          <w:p>
            <w:pPr>
              <w:keepNext/>
              <w:keepLines/>
            </w:pPr>
            <w:r>
              <w:rPr>
                <w:color w:val="243B53"/>
                <w:sz w:val="17"/>
              </w:rPr>
              <w:t>Do Not Collapse Different Concepts</w:t>
            </w:r>
          </w:p>
        </w:tc>
      </w:tr>
    </w:tbl>
    <w:p>
      <w:pPr>
        <w:pStyle w:val="CTALabel"/>
        <w:keepNext/>
      </w:pPr>
      <w:r>
        <w:t>Narration</w:t>
      </w:r>
    </w:p>
    <w:p>
      <w:pPr>
        <w:pStyle w:val="CTANarration"/>
        <w:keepLines/>
        <w:ind w:left="259" w:right="173"/>
      </w:pPr>
      <w:r>
        <w:t>Informed consent is an ongoing process that explains role, purpose, risks, benefits, alternatives, fees, records, technology, and foreseeable limits. Privacy concerns control over personal information. Confidentiality is the professional duty to protect information. Privilege concerns protection from compelled disclosure in legal proceedings and depends on the applicable rules. Authorization is permission to release defined information to a defined recipient for a defined purpose. A family member, payer, referral source, or team member does not automatically have a right to information. Strong exam answers clarify who the client is, what the social worker’s role is, what authority exists, and whether limited relevant information can meet the purpose.</w:t>
      </w:r>
    </w:p>
    <w:p>
      <w:pPr>
        <w:pStyle w:val="Heading2"/>
        <w:keepNext/>
      </w:pPr>
      <w:r>
        <w:t>Slide 4: Support Self-Determination Without Becoming Passive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A client decision sits beside understanding, capacity, alternatives, risk, and barriers.</w:t>
            </w:r>
          </w:p>
        </w:tc>
        <w:tc>
          <w:tcPr>
            <w:tcW w:type="dxa" w:w="5112"/>
            <w:shd w:fill="DCEFF6"/>
            <w:tcMar>
              <w:top w:w="90" w:type="dxa"/>
              <w:start w:w="110" w:type="dxa"/>
              <w:bottom w:w="90" w:type="dxa"/>
              <w:end w:w="110" w:type="dxa"/>
            </w:tcMar>
            <w:vAlign w:val="top"/>
          </w:tcPr>
          <w:p>
            <w:pPr>
              <w:keepNext/>
              <w:keepLines/>
            </w:pPr>
            <w:r>
              <w:rPr>
                <w:color w:val="243B53"/>
                <w:sz w:val="17"/>
              </w:rPr>
              <w:t>Informed Choice + Proportionate Limits</w:t>
            </w:r>
          </w:p>
        </w:tc>
      </w:tr>
    </w:tbl>
    <w:p>
      <w:pPr>
        <w:pStyle w:val="CTALabel"/>
        <w:keepNext/>
      </w:pPr>
      <w:r>
        <w:t>Narration</w:t>
      </w:r>
    </w:p>
    <w:p>
      <w:pPr>
        <w:pStyle w:val="CTANarration"/>
        <w:keepLines/>
        <w:ind w:left="259" w:right="173"/>
      </w:pPr>
      <w:r>
        <w:t>Self-determination means supporting informed client choice, including choices the social worker would not make. It does not mean ignoring danger, failing to provide information, or abandoning assessment. Clarify the client’s understanding of benefits, risks, alternatives, and consequences. Assess decision-specific capacity only when the facts raise a concern; do not equate disagreement with incapacity. Explore values, culture, work, caregiving, cost, transportation, prior harm, and access barriers. A limit on choice requires a supported legal, ethical, capacity, or serious safety basis and should be no broader than necessary. When possible, involve the client in even a protective response.</w:t>
      </w:r>
    </w:p>
    <w:p>
      <w:pPr>
        <w:pStyle w:val="Heading2"/>
        <w:keepNext/>
      </w:pPr>
      <w:r>
        <w:t>Slide 5: Power, Boundaries, Competence, and Social Justice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75-85 seconds</w:t>
            </w:r>
          </w:p>
        </w:tc>
        <w:tc>
          <w:tcPr>
            <w:tcW w:type="dxa" w:w="3528"/>
            <w:shd w:fill="F3F8FA"/>
            <w:tcMar>
              <w:top w:w="90" w:type="dxa"/>
              <w:start w:w="110" w:type="dxa"/>
              <w:bottom w:w="90" w:type="dxa"/>
              <w:end w:w="110" w:type="dxa"/>
            </w:tcMar>
            <w:vAlign w:val="top"/>
          </w:tcPr>
          <w:p>
            <w:pPr>
              <w:keepNext/>
              <w:keepLines/>
            </w:pPr>
            <w:r>
              <w:rPr>
                <w:color w:val="243B53"/>
                <w:sz w:val="17"/>
              </w:rPr>
              <w:t>Four panels show power, boundary impact, competence, and access barriers.</w:t>
            </w:r>
          </w:p>
        </w:tc>
        <w:tc>
          <w:tcPr>
            <w:tcW w:type="dxa" w:w="5112"/>
            <w:shd w:fill="DCEFF6"/>
            <w:tcMar>
              <w:top w:w="90" w:type="dxa"/>
              <w:start w:w="110" w:type="dxa"/>
              <w:bottom w:w="90" w:type="dxa"/>
              <w:end w:w="110" w:type="dxa"/>
            </w:tcMar>
            <w:vAlign w:val="top"/>
          </w:tcPr>
          <w:p>
            <w:pPr>
              <w:keepNext/>
              <w:keepLines/>
            </w:pPr>
            <w:r>
              <w:rPr>
                <w:color w:val="243B53"/>
                <w:sz w:val="17"/>
              </w:rPr>
              <w:t>Ask Who Benefits, Who Is Pressured, and Who Is Excluded</w:t>
            </w:r>
          </w:p>
        </w:tc>
      </w:tr>
    </w:tbl>
    <w:p>
      <w:pPr>
        <w:pStyle w:val="CTALabel"/>
        <w:keepNext/>
      </w:pPr>
      <w:r>
        <w:t>Narration</w:t>
      </w:r>
    </w:p>
    <w:p>
      <w:pPr>
        <w:pStyle w:val="CTANarration"/>
        <w:keepLines/>
        <w:ind w:left="259" w:right="173"/>
      </w:pPr>
      <w:r>
        <w:t>Boundary decisions require attention to power, vulnerability, clinical purpose, culture, community context, alternatives, and potential exploitation. Do not rigidly treat every gift, self-disclosure, or community contact as identical, but do not use context to excuse harmful or prohibited conduct. Competence includes education, training, supervised experience, current knowledge, and recognition of limits. Impairment requires action to protect clients and continuity. Social justice reasoning asks whether policy, language, disability, cost, transportation, technology, discrimination, or organizational practice prevents meaningful access. The answer may require advocacy or service adaptation, not only emotional support.</w:t>
      </w:r>
    </w:p>
    <w:p>
      <w:pPr>
        <w:pStyle w:val="Heading2"/>
        <w:keepNext/>
      </w:pPr>
      <w:r>
        <w:t>Slide 6: Common Examination Traps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Trap cards show paternalism, full-record release, payer access, consultation delay, and coping-only responses.</w:t>
            </w:r>
          </w:p>
        </w:tc>
        <w:tc>
          <w:tcPr>
            <w:tcW w:type="dxa" w:w="5112"/>
            <w:shd w:fill="DCEFF6"/>
            <w:tcMar>
              <w:top w:w="90" w:type="dxa"/>
              <w:start w:w="110" w:type="dxa"/>
              <w:bottom w:w="90" w:type="dxa"/>
              <w:end w:w="110" w:type="dxa"/>
            </w:tcMar>
            <w:vAlign w:val="top"/>
          </w:tcPr>
          <w:p>
            <w:pPr>
              <w:keepNext/>
              <w:keepLines/>
            </w:pPr>
            <w:r>
              <w:rPr>
                <w:color w:val="243B53"/>
                <w:sz w:val="17"/>
              </w:rPr>
              <w:t>Protect Rights Without Overreaching</w:t>
            </w:r>
          </w:p>
        </w:tc>
      </w:tr>
    </w:tbl>
    <w:p>
      <w:pPr>
        <w:pStyle w:val="CTALabel"/>
        <w:keepNext/>
      </w:pPr>
      <w:r>
        <w:t>Narration</w:t>
      </w:r>
    </w:p>
    <w:p>
      <w:pPr>
        <w:pStyle w:val="CTANarration"/>
        <w:keepLines/>
        <w:ind w:left="259" w:right="173"/>
      </w:pPr>
      <w:r>
        <w:t>Common traps include choosing what the worker believes is best instead of supporting informed choice; treating a signed form as the entire consent process; releasing a full record when limited information would meet the purpose; assuming family, payer, referral source, or team membership creates access; using confidentiality to avoid a stated safety or reporting duty; using consultation to delay an urgent action; labeling every boundary situation the same without assessing power and impact; and responding to discrimination only with coping advice while ignoring an actionable barrier. Also avoid confusing personal discomfort or cultural preference with an ethical violation.</w:t>
      </w:r>
    </w:p>
    <w:p>
      <w:pPr>
        <w:pStyle w:val="Heading2"/>
        <w:keepNext/>
      </w:pPr>
      <w:r>
        <w:t>Slide 7: Mini Scenario: Client Declines Medical Treatment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75-85 seconds</w:t>
            </w:r>
          </w:p>
        </w:tc>
        <w:tc>
          <w:tcPr>
            <w:tcW w:type="dxa" w:w="3528"/>
            <w:shd w:fill="F3F8FA"/>
            <w:tcMar>
              <w:top w:w="90" w:type="dxa"/>
              <w:start w:w="110" w:type="dxa"/>
              <w:bottom w:w="90" w:type="dxa"/>
              <w:end w:w="110" w:type="dxa"/>
            </w:tcMar>
            <w:vAlign w:val="top"/>
          </w:tcPr>
          <w:p>
            <w:pPr>
              <w:keepNext/>
              <w:keepLines/>
            </w:pPr>
            <w:r>
              <w:rPr>
                <w:color w:val="243B53"/>
                <w:sz w:val="17"/>
              </w:rPr>
              <w:t>A client weighs side effects, work demands, medical options, and social work support.</w:t>
            </w:r>
          </w:p>
        </w:tc>
        <w:tc>
          <w:tcPr>
            <w:tcW w:type="dxa" w:w="5112"/>
            <w:shd w:fill="DCEFF6"/>
            <w:tcMar>
              <w:top w:w="90" w:type="dxa"/>
              <w:start w:w="110" w:type="dxa"/>
              <w:bottom w:w="90" w:type="dxa"/>
              <w:end w:w="110" w:type="dxa"/>
            </w:tcMar>
            <w:vAlign w:val="top"/>
          </w:tcPr>
          <w:p>
            <w:pPr>
              <w:keepNext/>
              <w:keepLines/>
            </w:pPr>
            <w:r>
              <w:rPr>
                <w:color w:val="243B53"/>
                <w:sz w:val="17"/>
              </w:rPr>
              <w:t>Clarify Understanding, Capacity, Barriers, and Choice</w:t>
            </w:r>
          </w:p>
        </w:tc>
      </w:tr>
    </w:tbl>
    <w:p>
      <w:pPr>
        <w:pStyle w:val="CTALabel"/>
        <w:keepNext/>
      </w:pPr>
      <w:r>
        <w:t>Narration</w:t>
      </w:r>
    </w:p>
    <w:p>
      <w:pPr>
        <w:pStyle w:val="CTANarration"/>
        <w:keepLines/>
        <w:ind w:left="259" w:right="173"/>
      </w:pPr>
      <w:r>
        <w:t>An adult client with a chronic medical condition plans to stop a recommended treatment because side effects interfere with work. The social worker strongly disagrees. The first response is not to threaten services, contact family without authority, or assume incapacity. Clarify the social worker’s role and the client’s understanding of benefits, risks, alternatives, and likely consequences. Assess whether there is a decision-specific capacity concern. Explore employment pressure, cost, transportation, caregiving, prior experiences, and whether the medical team has discussed alternatives. Support informed choice and appropriate coordination unless the facts establish a specific legal or serious safety limit. Document the discussion and follow up.</w:t>
      </w:r>
    </w:p>
    <w:p>
      <w:pPr>
        <w:pStyle w:val="Heading2"/>
        <w:keepNext/>
      </w:pPr>
      <w:r>
        <w:t>Slide 8: Study Direction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40-50 seconds</w:t>
            </w:r>
          </w:p>
        </w:tc>
        <w:tc>
          <w:tcPr>
            <w:tcW w:type="dxa" w:w="3528"/>
            <w:shd w:fill="F3F8FA"/>
            <w:tcMar>
              <w:top w:w="90" w:type="dxa"/>
              <w:start w:w="110" w:type="dxa"/>
              <w:bottom w:w="90" w:type="dxa"/>
              <w:end w:w="110" w:type="dxa"/>
            </w:tcMar>
            <w:vAlign w:val="top"/>
          </w:tcPr>
          <w:p>
            <w:pPr>
              <w:keepNext/>
              <w:keepLines/>
            </w:pPr>
            <w:r>
              <w:rPr>
                <w:color w:val="243B53"/>
                <w:sz w:val="17"/>
              </w:rPr>
              <w:t>A CLEAR worksheet leads into the Workbook 2 practice bank.</w:t>
            </w:r>
          </w:p>
        </w:tc>
        <w:tc>
          <w:tcPr>
            <w:tcW w:type="dxa" w:w="5112"/>
            <w:shd w:fill="DCEFF6"/>
            <w:tcMar>
              <w:top w:w="90" w:type="dxa"/>
              <w:start w:w="110" w:type="dxa"/>
              <w:bottom w:w="90" w:type="dxa"/>
              <w:end w:w="110" w:type="dxa"/>
            </w:tcMar>
            <w:vAlign w:val="top"/>
          </w:tcPr>
          <w:p>
            <w:pPr>
              <w:keepNext/>
              <w:keepLines/>
            </w:pPr>
            <w:r>
              <w:rPr>
                <w:color w:val="243B53"/>
                <w:sz w:val="17"/>
              </w:rPr>
              <w:t>Role • Conflict • Rights/Risk/Power • Action • Review</w:t>
            </w:r>
          </w:p>
        </w:tc>
      </w:tr>
    </w:tbl>
    <w:p>
      <w:pPr>
        <w:pStyle w:val="CTALabel"/>
        <w:keepNext/>
      </w:pPr>
      <w:r>
        <w:t>Narration</w:t>
      </w:r>
    </w:p>
    <w:p>
      <w:pPr>
        <w:pStyle w:val="CTANarration"/>
        <w:keepLines/>
        <w:ind w:left="259" w:right="173"/>
      </w:pPr>
      <w:r>
        <w:t>For each Workbook 2 vignette, complete one CLEAR line: clarify the role and facts; locate the conflict; evaluate rights, risk, power, culture, and access; identify the least intrusive action; and name the documentation, consultation, or follow-up step. In your error log, mark paternalism, authority confusion, overdisclosure, capacity assumptions, boundary overgeneralization, competence limits, or missed social-justice action. Strong ethical reasoning protects both client rights and client welfare without using more control than the facts support.</w:t>
      </w:r>
    </w:p>
    <w:p>
      <w:pPr>
        <w:pStyle w:val="Heading1"/>
      </w:pPr>
      <w:r>
        <w:t>Audio-Only Adaptation Notes</w:t>
      </w:r>
    </w:p>
    <w:p>
      <w:pPr>
        <w:pStyle w:val="ListBullet"/>
        <w:spacing w:after="40"/>
        <w:ind w:left="360" w:hanging="216"/>
      </w:pPr>
      <w:r>
        <w:t>Spell out CLEAR slowly.</w:t>
      </w:r>
    </w:p>
    <w:p>
      <w:pPr>
        <w:pStyle w:val="ListBullet"/>
        <w:spacing w:after="40"/>
        <w:ind w:left="360" w:hanging="216"/>
      </w:pPr>
      <w:r>
        <w:t>Distinguish confidentiality, privacy, privilege, and authorization clearly.</w:t>
      </w:r>
    </w:p>
    <w:p>
      <w:pPr>
        <w:pStyle w:val="ListBullet"/>
        <w:spacing w:after="40"/>
        <w:ind w:left="360" w:hanging="216"/>
      </w:pPr>
      <w:r>
        <w:t>Use “least intrusive proportionate response” as a verbal anchor.</w:t>
      </w:r>
    </w:p>
    <w:p>
      <w:pPr>
        <w:pStyle w:val="ListBullet"/>
        <w:spacing w:after="40"/>
        <w:ind w:left="360" w:hanging="216"/>
      </w:pPr>
      <w:r>
        <w:t>End with the five CLEAR worksheet lines.</w:t>
      </w:r>
    </w:p>
    <w:p>
      <w:pPr>
        <w:pStyle w:val="Heading1"/>
      </w:pPr>
      <w:r>
        <w:t>Recording Completion Checklist</w:t>
      </w:r>
    </w:p>
    <w:p>
      <w:pPr>
        <w:pStyle w:val="ListBullet"/>
        <w:spacing w:after="40"/>
        <w:ind w:left="360" w:hanging="216"/>
      </w:pPr>
      <w:r>
        <w:t>Narration matches the final slide order.</w:t>
      </w:r>
    </w:p>
    <w:p>
      <w:pPr>
        <w:pStyle w:val="ListBullet"/>
        <w:spacing w:after="40"/>
        <w:ind w:left="360" w:hanging="216"/>
      </w:pPr>
      <w:r>
        <w:t>Captions are synchronized and reviewed for clinical terminology.</w:t>
      </w:r>
    </w:p>
    <w:p>
      <w:pPr>
        <w:pStyle w:val="ListBullet"/>
        <w:spacing w:after="40"/>
        <w:ind w:left="360" w:hanging="216"/>
      </w:pPr>
      <w:r>
        <w:t>Transcript reflects the final recorded wording.</w:t>
      </w:r>
    </w:p>
    <w:p>
      <w:pPr>
        <w:pStyle w:val="ListBullet"/>
        <w:spacing w:after="40"/>
        <w:ind w:left="360" w:hanging="216"/>
      </w:pPr>
      <w:r>
        <w:t>Any screen demonstrations are verbally described for audio-only listeners.</w:t>
      </w:r>
    </w:p>
    <w:p>
      <w:pPr>
        <w:pStyle w:val="ListBullet"/>
        <w:spacing w:after="40"/>
        <w:ind w:left="360" w:hanging="216"/>
      </w:pPr>
      <w:r>
        <w:t>Volume is consistent and background noise is removed.</w:t>
      </w:r>
    </w:p>
    <w:p>
      <w:pPr>
        <w:pStyle w:val="ListBullet"/>
        <w:spacing w:after="40"/>
        <w:ind w:left="360" w:hanging="216"/>
      </w:pPr>
      <w:r>
        <w:t>Final video, transcript, captions, and MP3 use the same version number.</w:t>
      </w:r>
    </w:p>
    <w:p>
      <w:pPr>
        <w:pStyle w:val="ListBullet"/>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The recording should connect social work values to concrete ethical actions, power awareness, accessible services, and accountable follow-up.</w:t>
            </w:r>
          </w:p>
        </w:tc>
      </w:tr>
    </w:tbl>
    <w:p>
      <w:pPr>
        <w:spacing w:after="20"/>
      </w:pPr>
    </w:p>
    <w:p>
      <w:pPr>
        <w:pStyle w:val="CTASmall"/>
        <w:jc w:val="center"/>
      </w:pPr>
      <w:r>
        <w:t>Educational exam-preparation content. CTA is not affiliated with or endorsed by the Association of Social Work Boards, Pearson VUE, the California Board of Behavioral Sciences, or any licensing or testing organization and does not guarantee examination passage.</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LCSW Workbook 2 Companion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Workbook 2 Companion: Values, Ethics, Self-Determination, and Social Justice</dc:title>
  <dc:subject>CTA LCSW Workbook 2 Companion Multimedia Script</dc:subject>
  <dc:creator>Clinical Training Academy</dc:creator>
  <cp:keywords>LCSW, ASWB Clinical exam, workbook companion, exam preparation, narration script, Clinical Training Academy</cp:keywords>
  <dc:description>Ready-to-record workbook companion narration and slide production guide.</dc:description>
  <cp:lastModifiedBy>Clinical Training Academy</cp:lastModifiedBy>
  <cp:revision>1</cp:revision>
  <dcterms:created xsi:type="dcterms:W3CDTF">2013-12-23T23:15:00Z</dcterms:created>
  <dcterms:modified xsi:type="dcterms:W3CDTF">2013-12-23T23:15:00Z</dcterms:modified>
  <cp:category/>
</cp:coreProperties>
</file>