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3 Companion: Human Development, Diversity, and Person-in-Environment</w:t>
      </w:r>
    </w:p>
    <w:p>
      <w:pPr>
        <w:jc w:val="center"/>
      </w:pPr>
      <w:r>
        <w:rPr>
          <w:rFonts w:ascii="Aptos Display" w:hAnsi="Aptos Display"/>
          <w:b/>
          <w:color w:val="2AA7D6"/>
          <w:sz w:val="32"/>
        </w:rPr>
        <w:t>LCSW Workbook 3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how development, identity, social determinants, institutions, accessibility, discrimination, strengths, and client meaning change assessment and the next social work action.</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LCSW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LCSW Workbook 3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LCSW Workbook 3: Human Development, Diversity, and Person-in-Environment, including the seven-step person-in-environment reasoning sequence.</w:t>
            </w:r>
          </w:p>
        </w:tc>
      </w:tr>
    </w:tbl>
    <w:p>
      <w:pPr>
        <w:spacing w:after="20"/>
      </w:pPr>
    </w:p>
    <w:p>
      <w:pPr>
        <w:pStyle w:val="Heading1"/>
      </w:pPr>
      <w:r>
        <w:t>Learning Outcomes</w:t>
      </w:r>
    </w:p>
    <w:p>
      <w:pPr>
        <w:pStyle w:val="ListBullet"/>
        <w:spacing w:after="40"/>
        <w:ind w:left="360" w:hanging="216"/>
      </w:pPr>
      <w:r>
        <w:t>Differentiate age, developmental level, life stage, and context.</w:t>
      </w:r>
    </w:p>
    <w:p>
      <w:pPr>
        <w:pStyle w:val="ListBullet"/>
        <w:spacing w:after="40"/>
        <w:ind w:left="360" w:hanging="216"/>
      </w:pPr>
      <w:r>
        <w:t>Map interacting biological, psychological, relational, institutional, and environmental factors.</w:t>
      </w:r>
    </w:p>
    <w:p>
      <w:pPr>
        <w:pStyle w:val="ListBullet"/>
        <w:spacing w:after="40"/>
        <w:ind w:left="360" w:hanging="216"/>
      </w:pPr>
      <w:r>
        <w:t>Assess social determinants, accessibility, discrimination, and structural barriers.</w:t>
      </w:r>
    </w:p>
    <w:p>
      <w:pPr>
        <w:pStyle w:val="ListBullet"/>
        <w:spacing w:after="40"/>
        <w:ind w:left="360" w:hanging="216"/>
      </w:pPr>
      <w:r>
        <w:t>Use client meaning, strengths, and participation to select the next action.</w:t>
      </w:r>
    </w:p>
    <w:p>
      <w:pPr>
        <w:pStyle w:val="Heading1"/>
      </w:pPr>
      <w:r>
        <w:t>Voice and Presentation Direction</w:t>
      </w:r>
    </w:p>
    <w:p>
      <w:pPr>
        <w:pStyle w:val="ListBullet"/>
        <w:spacing w:after="40"/>
        <w:ind w:left="360" w:hanging="216"/>
      </w:pPr>
      <w:r>
        <w:t>Ask rather than assume.</w:t>
      </w:r>
    </w:p>
    <w:p>
      <w:pPr>
        <w:pStyle w:val="ListBullet"/>
        <w:spacing w:after="40"/>
        <w:ind w:left="360" w:hanging="216"/>
      </w:pPr>
      <w:r>
        <w:t>Treat access barriers as clinical data.</w:t>
      </w:r>
    </w:p>
    <w:p>
      <w:pPr>
        <w:pStyle w:val="ListBullet"/>
        <w:spacing w:after="40"/>
        <w:ind w:left="360" w:hanging="216"/>
      </w:pPr>
      <w:r>
        <w:t>Do not pathologize identity or understandable responses to adversity.</w:t>
      </w:r>
    </w:p>
    <w:p>
      <w:pPr>
        <w:pStyle w:val="ListBullet"/>
        <w:spacing w:after="40"/>
        <w:ind w:left="360" w:hanging="216"/>
      </w:pPr>
      <w:r>
        <w:t>Close with the seven-step context map.</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culturally humble, strengths-based, anti-oppressive language. Avoid stereotyping and connect contextual observations to concrete decisions.</w:t>
            </w:r>
          </w:p>
        </w:tc>
      </w:tr>
    </w:tbl>
    <w:p>
      <w:pPr>
        <w:spacing w:after="20"/>
      </w:pPr>
    </w:p>
    <w:p>
      <w:pPr>
        <w:pStyle w:val="Heading1"/>
      </w:pPr>
      <w:r>
        <w:t>Slide-by-Slide Script</w:t>
      </w:r>
    </w:p>
    <w:p>
      <w:pPr>
        <w:pStyle w:val="Heading2"/>
        <w:keepNext/>
      </w:pPr>
      <w:r>
        <w:t>Slide 1: Person-in-Environment Changes the Decision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45-55 seconds</w:t>
            </w:r>
          </w:p>
        </w:tc>
        <w:tc>
          <w:tcPr>
            <w:tcW w:type="dxa" w:w="3528"/>
            <w:shd w:fill="F3F8FA"/>
            <w:tcMar>
              <w:top w:w="90" w:type="dxa"/>
              <w:start w:w="110" w:type="dxa"/>
              <w:bottom w:w="90" w:type="dxa"/>
              <w:end w:w="110" w:type="dxa"/>
            </w:tcMar>
            <w:vAlign w:val="top"/>
          </w:tcPr>
          <w:p>
            <w:pPr>
              <w:keepNext/>
              <w:keepLines/>
            </w:pPr>
            <w:r>
              <w:rPr>
                <w:color w:val="243B53"/>
                <w:sz w:val="17"/>
              </w:rPr>
              <w:t>A person is shown within family, community, institutions, resources, and history.</w:t>
            </w:r>
          </w:p>
        </w:tc>
        <w:tc>
          <w:tcPr>
            <w:tcW w:type="dxa" w:w="5112"/>
            <w:shd w:fill="DCEFF6"/>
            <w:tcMar>
              <w:top w:w="90" w:type="dxa"/>
              <w:start w:w="110" w:type="dxa"/>
              <w:bottom w:w="90" w:type="dxa"/>
              <w:end w:w="110" w:type="dxa"/>
            </w:tcMar>
            <w:vAlign w:val="top"/>
          </w:tcPr>
          <w:p>
            <w:pPr>
              <w:keepNext/>
              <w:keepLines/>
            </w:pPr>
            <w:r>
              <w:rPr>
                <w:color w:val="243B53"/>
                <w:sz w:val="17"/>
              </w:rPr>
              <w:t>Context Is Part of the Clinical Picture</w:t>
            </w:r>
          </w:p>
        </w:tc>
      </w:tr>
    </w:tbl>
    <w:p>
      <w:pPr>
        <w:pStyle w:val="CTALabel"/>
        <w:keepNext/>
      </w:pPr>
      <w:r>
        <w:t>Narration</w:t>
      </w:r>
    </w:p>
    <w:p>
      <w:pPr>
        <w:pStyle w:val="CTANarration"/>
        <w:keepLines/>
        <w:ind w:left="259" w:right="173"/>
      </w:pPr>
      <w:r>
        <w:t>Human development and diversity are not background sections added after symptom assessment. They shape the meaning, severity, function, and treatment implications of the presenting concern. A behavior may reflect developmental capacity, a family or community transition, discrimination, migration, disability access, caregiving burden, housing instability, school conditions, health needs, or a combination of factors. Person-in-environment reasoning does not minimize individual symptoms or responsibility. It prevents the social worker from reducing a complex problem to an internal defect and helps identify which change is most urgent, feasible, and aligned with the client’s priorities.</w:t>
      </w:r>
    </w:p>
    <w:p>
      <w:pPr>
        <w:pStyle w:val="Heading2"/>
        <w:keepNext/>
      </w:pPr>
      <w:r>
        <w:t>Slide 2: Use the Seven-Step PIE Sequence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Seven steps move from time and systems to meaning, strengths, participation, and action.</w:t>
            </w:r>
          </w:p>
        </w:tc>
        <w:tc>
          <w:tcPr>
            <w:tcW w:type="dxa" w:w="5112"/>
            <w:shd w:fill="DCEFF6"/>
            <w:tcMar>
              <w:top w:w="90" w:type="dxa"/>
              <w:start w:w="110" w:type="dxa"/>
              <w:bottom w:w="90" w:type="dxa"/>
              <w:end w:w="110" w:type="dxa"/>
            </w:tcMar>
            <w:vAlign w:val="top"/>
          </w:tcPr>
          <w:p>
            <w:pPr>
              <w:keepNext/>
              <w:keepLines/>
            </w:pPr>
            <w:r>
              <w:rPr>
                <w:color w:val="243B53"/>
                <w:sz w:val="17"/>
              </w:rPr>
              <w:t>Time • Systems • Change • Meaning • Strengths/Barriers • Choice • Action</w:t>
            </w:r>
          </w:p>
        </w:tc>
      </w:tr>
    </w:tbl>
    <w:p>
      <w:pPr>
        <w:pStyle w:val="CTALabel"/>
        <w:keepNext/>
      </w:pPr>
      <w:r>
        <w:t>Narration</w:t>
      </w:r>
    </w:p>
    <w:p>
      <w:pPr>
        <w:pStyle w:val="CTANarration"/>
        <w:keepLines/>
        <w:ind w:left="259" w:right="173"/>
      </w:pPr>
      <w:r>
        <w:t>First, locate the client in time: age, developmental level, life stage, family or community transition, and recent change. Second, identify the systems: family, peers, school, work, health care, legal, military, community, culture, and services. Third, ask what changed, including loss, illness, conflict, discrimination, displacement, role change, or access barrier. Fourth, assess meaning and impact on symptoms, functioning, identity, relationships, safety, and goals. Fifth, identify strengths and barriers. Sixth, include the client or client system in priorities and choices. Seventh, select the next action: assess further, address an urgent need, adapt access, coordinate a resource, plan, refer, advocate, or intervene.</w:t>
      </w:r>
    </w:p>
    <w:p>
      <w:pPr>
        <w:pStyle w:val="Heading2"/>
        <w:keepNext/>
      </w:pPr>
      <w:r>
        <w:t>Slide 3: Development Is More Than Chronological Age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Age, demonstrated capacity, life stage, and family or community role appear as separate dimensions.</w:t>
            </w:r>
          </w:p>
        </w:tc>
        <w:tc>
          <w:tcPr>
            <w:tcW w:type="dxa" w:w="5112"/>
            <w:shd w:fill="DCEFF6"/>
            <w:tcMar>
              <w:top w:w="90" w:type="dxa"/>
              <w:start w:w="110" w:type="dxa"/>
              <w:bottom w:w="90" w:type="dxa"/>
              <w:end w:w="110" w:type="dxa"/>
            </w:tcMar>
            <w:vAlign w:val="top"/>
          </w:tcPr>
          <w:p>
            <w:pPr>
              <w:keepNext/>
              <w:keepLines/>
            </w:pPr>
            <w:r>
              <w:rPr>
                <w:color w:val="243B53"/>
                <w:sz w:val="17"/>
              </w:rPr>
              <w:t>Assess Capacity and Context, Not Age Alone</w:t>
            </w:r>
          </w:p>
        </w:tc>
      </w:tr>
    </w:tbl>
    <w:p>
      <w:pPr>
        <w:pStyle w:val="CTALabel"/>
        <w:keepNext/>
      </w:pPr>
      <w:r>
        <w:t>Narration</w:t>
      </w:r>
    </w:p>
    <w:p>
      <w:pPr>
        <w:pStyle w:val="CTANarration"/>
        <w:keepLines/>
        <w:ind w:left="259" w:right="173"/>
      </w:pPr>
      <w:r>
        <w:t>Chronological age does not determine cognitive, emotional, social, or adaptive capacity. Developmental assessment considers communication, executive functioning, identity, attachment, health, relationships, independence, caregiving, school or work roles, and the client’s own understanding. A teenager may need privacy and meaningful choices while still requiring caregiver support. An adult may face developmental disruption after disability, migration, parenthood, or job loss. An older adult may have intact decision-making alongside sensory or mobility barriers. The exam rewards answers that adapt communication and participation to demonstrated capacity rather than relying on stereotypes about a life stage.</w:t>
      </w:r>
    </w:p>
    <w:p>
      <w:pPr>
        <w:pStyle w:val="Heading2"/>
        <w:keepNext/>
      </w:pPr>
      <w:r>
        <w:t>Slide 4: Culture, Identity, Intersectionality, and Power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Identity dimensions intersect with institutions, minority stress, community supports, and power.</w:t>
            </w:r>
          </w:p>
        </w:tc>
        <w:tc>
          <w:tcPr>
            <w:tcW w:type="dxa" w:w="5112"/>
            <w:shd w:fill="DCEFF6"/>
            <w:tcMar>
              <w:top w:w="90" w:type="dxa"/>
              <w:start w:w="110" w:type="dxa"/>
              <w:bottom w:w="90" w:type="dxa"/>
              <w:end w:w="110" w:type="dxa"/>
            </w:tcMar>
            <w:vAlign w:val="top"/>
          </w:tcPr>
          <w:p>
            <w:pPr>
              <w:keepNext/>
              <w:keepLines/>
            </w:pPr>
            <w:r>
              <w:rPr>
                <w:color w:val="243B53"/>
                <w:sz w:val="17"/>
              </w:rPr>
              <w:t>Ask How the Client Understands the Situation</w:t>
            </w:r>
          </w:p>
        </w:tc>
      </w:tr>
    </w:tbl>
    <w:p>
      <w:pPr>
        <w:pStyle w:val="CTALabel"/>
        <w:keepNext/>
      </w:pPr>
      <w:r>
        <w:t>Narration</w:t>
      </w:r>
    </w:p>
    <w:p>
      <w:pPr>
        <w:pStyle w:val="CTANarration"/>
        <w:keepLines/>
        <w:ind w:left="259" w:right="173"/>
      </w:pPr>
      <w:r>
        <w:t>Cultural humility requires openness, self-reflection, attention to power, and willingness to be corrected. Ask how the client understands the concern, what identities and communities matter, what experiences of discrimination or exclusion are relevant, and what would make the service respectful and useful. Intersectionality means that identities and social positions combine rather than operate separately. Do not treat culture, spirituality, gender, sexual orientation, disability, race, migration, or family structure as pathology. At the same time, do not romanticize culture or ignore danger. Use the client’s meaning, actual behavior, context, and functioning to guide the next step.</w:t>
      </w:r>
    </w:p>
    <w:p>
      <w:pPr>
        <w:pStyle w:val="Heading2"/>
        <w:keepNext/>
      </w:pPr>
      <w:r>
        <w:t>Slide 5: Social Determinants, Accessibility, and Resilience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Housing, income, food, transportation, language, disability, health care, and community support feed into functioning.</w:t>
            </w:r>
          </w:p>
        </w:tc>
        <w:tc>
          <w:tcPr>
            <w:tcW w:type="dxa" w:w="5112"/>
            <w:shd w:fill="DCEFF6"/>
            <w:tcMar>
              <w:top w:w="90" w:type="dxa"/>
              <w:start w:w="110" w:type="dxa"/>
              <w:bottom w:w="90" w:type="dxa"/>
              <w:end w:w="110" w:type="dxa"/>
            </w:tcMar>
            <w:vAlign w:val="top"/>
          </w:tcPr>
          <w:p>
            <w:pPr>
              <w:keepNext/>
              <w:keepLines/>
            </w:pPr>
            <w:r>
              <w:rPr>
                <w:color w:val="243B53"/>
                <w:sz w:val="17"/>
              </w:rPr>
              <w:t>Barrier + Resource + Strength + Access Plan</w:t>
            </w:r>
          </w:p>
        </w:tc>
      </w:tr>
    </w:tbl>
    <w:p>
      <w:pPr>
        <w:pStyle w:val="CTALabel"/>
        <w:keepNext/>
      </w:pPr>
      <w:r>
        <w:t>Narration</w:t>
      </w:r>
    </w:p>
    <w:p>
      <w:pPr>
        <w:pStyle w:val="CTANarration"/>
        <w:keepLines/>
        <w:ind w:left="259" w:right="173"/>
      </w:pPr>
      <w:r>
        <w:t>Housing, food, income, transportation, health care, education, employment, caregiving, legal status, technology, language, and disability access can produce or maintain distress and determine whether a plan is usable. Missed appointments, incomplete applications, or difficulty following recommendations are not automatic evidence of poor motivation. Assess the barrier and the client’s prior experiences with systems. Identify resilience, mutual aid, family or community support, practical skills, spirituality, advocacy experience, and prior successful coping. Strengths matter when they can be mobilized to reduce risk, improve access, or support a client-defined goal.</w:t>
      </w:r>
    </w:p>
    <w:p>
      <w:pPr>
        <w:pStyle w:val="Heading2"/>
        <w:keepNext/>
      </w:pPr>
      <w:r>
        <w:t>Slide 6: Common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age stereotypes, cultural assumptions, intrapsychic-only answers, and access-as-resistance.</w:t>
            </w:r>
          </w:p>
        </w:tc>
        <w:tc>
          <w:tcPr>
            <w:tcW w:type="dxa" w:w="5112"/>
            <w:shd w:fill="DCEFF6"/>
            <w:tcMar>
              <w:top w:w="90" w:type="dxa"/>
              <w:start w:w="110" w:type="dxa"/>
              <w:bottom w:w="90" w:type="dxa"/>
              <w:end w:w="110" w:type="dxa"/>
            </w:tcMar>
            <w:vAlign w:val="top"/>
          </w:tcPr>
          <w:p>
            <w:pPr>
              <w:keepNext/>
              <w:keepLines/>
            </w:pPr>
            <w:r>
              <w:rPr>
                <w:color w:val="243B53"/>
                <w:sz w:val="17"/>
              </w:rPr>
              <w:t>Do Not Stereotype or Decontextualize</w:t>
            </w:r>
          </w:p>
        </w:tc>
      </w:tr>
    </w:tbl>
    <w:p>
      <w:pPr>
        <w:pStyle w:val="CTALabel"/>
        <w:keepNext/>
      </w:pPr>
      <w:r>
        <w:t>Narration</w:t>
      </w:r>
    </w:p>
    <w:p>
      <w:pPr>
        <w:pStyle w:val="CTANarration"/>
        <w:keepLines/>
        <w:ind w:left="259" w:right="173"/>
      </w:pPr>
      <w:r>
        <w:t>Common traps include assuming developmental capacity from age, treating cultural norms as symptoms, asking the client to educate the worker instead of doing appropriate consultation, focusing only on individual coping when a structural barrier is actionable, labeling access problems as resistance, involving family automatically, ignoring language or disability access, and describing strengths without showing how they change the plan. Another trap is using context to explain away a serious symptom or danger. Person-in-environment reasoning integrates individual and environmental information; it does not replace direct risk or medical assessment.</w:t>
      </w:r>
    </w:p>
    <w:p>
      <w:pPr>
        <w:pStyle w:val="Heading2"/>
        <w:keepNext/>
      </w:pPr>
      <w:r>
        <w:t>Slide 7: Mini Scenario: School Absence After Displacement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A youth, family move, school, housing stress, peers, and transportation appear on a context map.</w:t>
            </w:r>
          </w:p>
        </w:tc>
        <w:tc>
          <w:tcPr>
            <w:tcW w:type="dxa" w:w="5112"/>
            <w:shd w:fill="DCEFF6"/>
            <w:tcMar>
              <w:top w:w="90" w:type="dxa"/>
              <w:start w:w="110" w:type="dxa"/>
              <w:bottom w:w="90" w:type="dxa"/>
              <w:end w:w="110" w:type="dxa"/>
            </w:tcMar>
            <w:vAlign w:val="top"/>
          </w:tcPr>
          <w:p>
            <w:pPr>
              <w:keepNext/>
              <w:keepLines/>
            </w:pPr>
            <w:r>
              <w:rPr>
                <w:color w:val="243B53"/>
                <w:sz w:val="17"/>
              </w:rPr>
              <w:t>Assess the Transition and Systems Before Labeling Defiance</w:t>
            </w:r>
          </w:p>
        </w:tc>
      </w:tr>
    </w:tbl>
    <w:p>
      <w:pPr>
        <w:pStyle w:val="CTALabel"/>
        <w:keepNext/>
      </w:pPr>
      <w:r>
        <w:t>Narration</w:t>
      </w:r>
    </w:p>
    <w:p>
      <w:pPr>
        <w:pStyle w:val="CTANarration"/>
        <w:keepLines/>
        <w:ind w:left="259" w:right="173"/>
      </w:pPr>
      <w:r>
        <w:t>A 15-year-old begins missing school after the family is displaced and moves between relatives. A caregiver describes the youth as defiant and requests behavior consequences. A stronger first response assesses immediate safety, transportation, sleep, privacy, peer and school experiences, developmental needs, family stress, discrimination, symptoms, and the youth’s perspective. The social worker identifies practical barriers and strengths, such as a supportive teacher or relative, before selecting an intervention. This does not excuse all behavior. It prevents a premature plan that ignores the conditions maintaining the problem and excludes the youth from defining what would help.</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A seven-line PIE context map leads into Workbook 3 practice.</w:t>
            </w:r>
          </w:p>
        </w:tc>
        <w:tc>
          <w:tcPr>
            <w:tcW w:type="dxa" w:w="5112"/>
            <w:shd w:fill="DCEFF6"/>
            <w:tcMar>
              <w:top w:w="90" w:type="dxa"/>
              <w:start w:w="110" w:type="dxa"/>
              <w:bottom w:w="90" w:type="dxa"/>
              <w:end w:w="110" w:type="dxa"/>
            </w:tcMar>
            <w:vAlign w:val="top"/>
          </w:tcPr>
          <w:p>
            <w:pPr>
              <w:keepNext/>
              <w:keepLines/>
            </w:pPr>
            <w:r>
              <w:rPr>
                <w:color w:val="243B53"/>
                <w:sz w:val="17"/>
              </w:rPr>
              <w:t>Time • Systems • Change • Meaning • Strengths • Choice • Action</w:t>
            </w:r>
          </w:p>
        </w:tc>
      </w:tr>
    </w:tbl>
    <w:p>
      <w:pPr>
        <w:pStyle w:val="CTALabel"/>
        <w:keepNext/>
      </w:pPr>
      <w:r>
        <w:t>Narration</w:t>
      </w:r>
    </w:p>
    <w:p>
      <w:pPr>
        <w:pStyle w:val="CTANarration"/>
        <w:keepLines/>
        <w:ind w:left="259" w:right="173"/>
      </w:pPr>
      <w:r>
        <w:t>For each Workbook 3 question, complete the seven-line person-in-environment sequence. Then ask which contextual factor actually changes the next action. In your error log, mark age assumptions, cultural stereotyping, ignored social determinants, missed accessibility needs, pathologized identity, unsupported family involvement, or strengths that were named but not used. Your goal is not to mention every system. It is to identify the system, barrier, strength, or meaning that most affects safety, functioning, participation, and the next social work decision.</w:t>
      </w:r>
    </w:p>
    <w:p>
      <w:pPr>
        <w:pStyle w:val="Heading1"/>
      </w:pPr>
      <w:r>
        <w:t>Audio-Only Adaptation Notes</w:t>
      </w:r>
    </w:p>
    <w:p>
      <w:pPr>
        <w:pStyle w:val="ListBullet"/>
        <w:spacing w:after="40"/>
        <w:ind w:left="360" w:hanging="216"/>
      </w:pPr>
      <w:r>
        <w:t>Repeat the seven-step sequence at the end.</w:t>
      </w:r>
    </w:p>
    <w:p>
      <w:pPr>
        <w:pStyle w:val="ListBullet"/>
        <w:spacing w:after="40"/>
        <w:ind w:left="360" w:hanging="216"/>
      </w:pPr>
      <w:r>
        <w:t>Use “ask, do not assume” as a verbal anchor.</w:t>
      </w:r>
    </w:p>
    <w:p>
      <w:pPr>
        <w:pStyle w:val="ListBullet"/>
        <w:spacing w:after="40"/>
        <w:ind w:left="360" w:hanging="216"/>
      </w:pPr>
      <w:r>
        <w:t>Group contextual factors rather than reading long lists rapidly.</w:t>
      </w:r>
    </w:p>
    <w:p>
      <w:pPr>
        <w:pStyle w:val="ListBullet"/>
        <w:spacing w:after="40"/>
        <w:ind w:left="360" w:hanging="216"/>
      </w:pPr>
      <w:r>
        <w:t>End with the seven-line context map.</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The recording should make person-in-environment reasoning operational by showing how context changes assessment, access, intervention, and advocacy.</w:t>
            </w:r>
          </w:p>
        </w:tc>
      </w:tr>
    </w:tbl>
    <w:p>
      <w:pPr>
        <w:spacing w:after="20"/>
      </w:pPr>
    </w:p>
    <w:p>
      <w:pPr>
        <w:pStyle w:val="CTASmall"/>
        <w:jc w:val="center"/>
      </w:pPr>
      <w:r>
        <w:t>Educational exam-preparation content. CTA is not affiliated with or endorsed by the Association of Social Work Boards, Pearson VUE, the California Board of Behavioral Sciences, or any licensing or testing organization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LCSW Workbook 3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3 Companion: Human Development, Diversity, and Person-in-Environment</dc:title>
  <dc:subject>CTA LCSW Workbook 3 Companion Multimedia Script</dc:subject>
  <dc:creator>Clinical Training Academy</dc:creator>
  <cp:keywords>LCSW, ASWB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